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559AC" w14:textId="6BFC0724" w:rsidR="00CB5FF2" w:rsidRDefault="00CB5FF2" w:rsidP="00CB5FF2">
      <w:pPr>
        <w:widowControl w:val="0"/>
        <w:autoSpaceDE w:val="0"/>
        <w:autoSpaceDN w:val="0"/>
        <w:adjustRightInd w:val="0"/>
        <w:spacing w:after="120" w:line="480" w:lineRule="auto"/>
        <w:jc w:val="both"/>
        <w:rPr>
          <w:rFonts w:ascii="Times" w:hAnsi="Times"/>
          <w:b/>
        </w:rPr>
      </w:pPr>
      <w:r>
        <w:rPr>
          <w:rFonts w:ascii="Times" w:hAnsi="Times"/>
          <w:b/>
        </w:rPr>
        <w:t>Supplementary Methods</w:t>
      </w:r>
    </w:p>
    <w:p w14:paraId="35AB4A4F" w14:textId="77777777" w:rsidR="002E08BE" w:rsidRPr="00A23953" w:rsidRDefault="002E08BE" w:rsidP="002E08BE">
      <w:pPr>
        <w:spacing w:line="480" w:lineRule="auto"/>
        <w:jc w:val="both"/>
        <w:rPr>
          <w:rFonts w:ascii="Times" w:hAnsi="Times"/>
          <w:b/>
        </w:rPr>
      </w:pPr>
      <w:r w:rsidRPr="00A23953">
        <w:rPr>
          <w:rFonts w:ascii="Times" w:hAnsi="Times"/>
          <w:b/>
        </w:rPr>
        <w:t xml:space="preserve">Clinical samples </w:t>
      </w:r>
    </w:p>
    <w:p w14:paraId="44D0FCAE" w14:textId="64360F4F" w:rsidR="00373260" w:rsidRDefault="002E08BE" w:rsidP="00303626">
      <w:pPr>
        <w:widowControl w:val="0"/>
        <w:autoSpaceDE w:val="0"/>
        <w:autoSpaceDN w:val="0"/>
        <w:adjustRightInd w:val="0"/>
        <w:spacing w:after="120" w:line="480" w:lineRule="auto"/>
        <w:jc w:val="both"/>
        <w:rPr>
          <w:rFonts w:ascii="Times" w:hAnsi="Times" w:cs="Arial"/>
        </w:rPr>
      </w:pPr>
      <w:r w:rsidRPr="00A23953">
        <w:rPr>
          <w:rFonts w:ascii="Times" w:hAnsi="Times" w:cs="Arial"/>
        </w:rPr>
        <w:t xml:space="preserve">The complete set of METABRIC </w:t>
      </w:r>
      <w:r w:rsidRPr="00A23953">
        <w:rPr>
          <w:rFonts w:ascii="Times" w:hAnsi="Times" w:cs="Arial"/>
        </w:rPr>
        <w:fldChar w:fldCharType="begin" w:fldLock="1"/>
      </w:r>
      <w:r w:rsidR="000D7A1F">
        <w:rPr>
          <w:rFonts w:ascii="Times" w:hAnsi="Times" w:cs="Arial"/>
        </w:rPr>
        <w:instrText>ADDIN CSL_CITATION { "citationItems" : [ { "id" : "ITEM-1", "itemData" : { "DOI" : "10.1038/nature10983", "ISSN" : "1476-4687", "PMID" : "22522925", "abstract" : "The elucidation of breast cancer subgroups and their molecular drivers requires integrated views of the genome and transcriptome from representative numbers of patients. We present an integrated analysis of copy number and gene expression in a discovery and validation set of 997 and 995 primary breast tumours, respectively, with long-term clinical follow-up. Inherited variants (copy number variants and single nucleotide polymorphisms) and acquired somatic copy number aberrations (CNAs) were associated with expression in ~40% of genes, with the landscape dominated by cis- and trans-acting CNAs. By delineating expression outlier genes driven in cis by CNAs, we identified putative cancer genes, including deletions in PPP2R2A, MTAP and MAP2K4. Unsupervised analysis of paired DNA\u2013RNA profiles revealed novel subgroups with distinct clinical outcomes, which reproduced in the validation cohort. These include a high-risk, oestrogen-receptor-positive 11q13/14 cis-acting subgroup and a favourable prognosis subgroup devoid of CNAs. Trans-acting aberration hotspots were found to modulate subgroup-specific gene networks, including a TCR deletion-mediated adaptive immune response in the \u2018CNA-devoid\u2019 subgroup and a basal-specific chromosome 5 deletion-associated mitotic network. Our results provide a novel molecular stratification of the breast cancer population, derived from the impact of somatic CNAs on the transcriptome.", "author" : [ { "dropping-particle" : "", "family" : "Curtis", "given" : "Christina", "non-dropping-particle" : "", "parse-names" : false, "suffix" : "" }, { "dropping-particle" : "", "family" : "Shah", "given" : "Sohrab P", "non-dropping-particle" : "", "parse-names" : false, "suffix" : "" }, { "dropping-particle" : "", "family" : "Chin", "given" : "Suet-Feung", "non-dropping-particle" : "", "parse-names" : false, "suffix" : "" }, { "dropping-particle" : "", "family" : "Turashvili", "given" : "Gulisa", "non-dropping-particle" : "", "parse-names" : false, "suffix" : "" }, { "dropping-particle" : "", "family" : "Rueda", "given" : "Oscar M", "non-dropping-particle" : "", "parse-names" : false, "suffix" : "" }, { "dropping-particle" : "", "family" : "Dunning", "given" : "Mark J", "non-dropping-particle" : "", "parse-names" : false, "suffix" : "" }, { "dropping-particle" : "", "family" : "Speed", "given" : "Doug", "non-dropping-particle" : "", "parse-names" : false, "suffix" : "" }, { "dropping-particle" : "", "family" : "Lynch", "given" : "Andy G", "non-dropping-particle" : "", "parse-names" : false, "suffix" : "" }, { "dropping-particle" : "", "family" : "Samarajiwa", "given" : "Shamith", "non-dropping-particle" : "", "parse-names" : false, "suffix" : "" }, { "dropping-particle" : "", "family" : "Yuan", "given" : "Yinyin", "non-dropping-particle" : "", "parse-names" : false, "suffix" : "" }, { "dropping-particle" : "", "family" : "Gr\u00e4f", "given" : "Stefan", "non-dropping-particle" : "", "parse-names" : false, "suffix" : "" }, { "dropping-particle" : "", "family" : "Ha", "given" : "Gavin", "non-dropping-particle" : "", "parse-names" : false, "suffix" : "" }, { "dropping-particle" : "", "family" : "Haffari", "given" : "Gholamreza", "non-dropping-particle" : "", "parse-names" : false, "suffix" : "" }, { "dropping-particle" : "", "family" : "Bashashati", "given" : "Ali", "non-dropping-particle" : "", "parse-names" : false, "suffix" : "" }, { "dropping-particle" : "", "family" : "Russell", "given" : "Roslin", "non-dropping-particle" : "", "parse-names" : false, "suffix" : "" }, { "dropping-particle" : "", "family" : "McKinney", "given" : "Steven", "non-dropping-particle" : "", "parse-names" : false, "suffix" : "" }, { "dropping-particle" : "", "family" : "Langer\u00f8d", "given" : "Anita", "non-dropping-particle" : "", "parse-names" : false, "suffix" : "" }, { "dropping-particle" : "", "family" : "Green", "given" : "Andrew", "non-dropping-particle" : "", "parse-names" : false, "suffix" : "" }, { "dropping-particle" : "", "family" : "Provenzano", "given" : "Elena", "non-dropping-particle" : "", "parse-names" : false, "suffix" : "" }, { "dropping-particle" : "", "family" : "Wishart", "given" : "Gordon", "non-dropping-particle" : "", "parse-names" : false, "suffix" : "" }, { "dropping-particle" : "", "family" : "Pinder", "given" : "Sarah", "non-dropping-particle" : "", "parse-names" : false, "suffix" : "" }, { "dropping-particle" : "", "family" : "Watson", "given" : "Peter", "non-dropping-particle" : "", "parse-names" : false, "suffix" : "" }, { "dropping-particle" : "", "family" : "Markowetz", "given" : "Florian", "non-dropping-particle" : "", "parse-names" : false, "suffix" : "" }, { "dropping-particle" : "", "family" : "Murphy", "given" : "Leigh", "non-dropping-particle" : "", "parse-names" : false, "suffix" : "" }, { "dropping-particle" : "", "family" : "Ellis", "given" : "Ian", "non-dropping-particle" : "", "parse-names" : false, "suffix" : "" }, { "dropping-particle" : "", "family" : "Purushotham", "given" : "Arnie", "non-dropping-particle" : "", "parse-names" : false, "suffix" : "" }, { "dropping-particle" : "", "family" : "B\u00f8rresen-Dale", "given" : "Anne-Lise", "non-dropping-particle" : "", "parse-names" : false, "suffix" : "" }, { "dropping-particle" : "", "family" : "Brenton", "given" : "James D", "non-dropping-particle" : "", "parse-names" : false, "suffix" : "" }, { "dropping-particle" : "", "family" : "Tavar\u00e9", "given" : "Simon", "non-dropping-particle" : "", "parse-names" : false, "suffix" : "" }, { "dropping-particle" : "", "family" : "Caldas", "given" : "Carlos", "non-dropping-particle" : "", "parse-names" : false, "suffix" : "" }, { "dropping-particle" : "", "family" : "Aparicio", "given" : "Samuel", "non-dropping-particle" : "", "parse-names" : false, "suffix" : "" } ], "container-title" : "Nature", "id" : "ITEM-1", "issue" : "7403", "issued" : { "date-parts" : [ [ "2012", "6", "21" ] ] }, "page" : "346-52", "title" : "The genomic and transcriptomic architecture of 2,000 breast tumours reveals novel subgroups.", "type" : "article-journal", "volume" : "486" }, "uris" : [ "http://www.mendeley.com/documents/?uuid=2600ec81-eb1d-4bda-8139-61d8e161a8cf" ] } ], "mendeley" : { "formattedCitation" : "(1)", "plainTextFormattedCitation" : "(1)", "previouslyFormattedCitation" : "(25)" }, "properties" : { "noteIndex" : 0 }, "schema" : "https://github.com/citation-style-language/schema/raw/master/csl-citation.json" }</w:instrText>
      </w:r>
      <w:r w:rsidRPr="00A23953">
        <w:rPr>
          <w:rFonts w:ascii="Times" w:hAnsi="Times" w:cs="Arial"/>
        </w:rPr>
        <w:fldChar w:fldCharType="separate"/>
      </w:r>
      <w:r w:rsidR="000D7A1F" w:rsidRPr="000D7A1F">
        <w:rPr>
          <w:rFonts w:ascii="Times" w:hAnsi="Times" w:cs="Arial"/>
          <w:noProof/>
        </w:rPr>
        <w:t>(1)</w:t>
      </w:r>
      <w:r w:rsidRPr="00A23953">
        <w:rPr>
          <w:rFonts w:ascii="Times" w:hAnsi="Times" w:cs="Arial"/>
        </w:rPr>
        <w:fldChar w:fldCharType="end"/>
      </w:r>
      <w:r w:rsidRPr="00A23953">
        <w:rPr>
          <w:rFonts w:ascii="Times" w:hAnsi="Times" w:cs="Arial"/>
        </w:rPr>
        <w:t xml:space="preserve"> samples contains 1,980 primary frozen breast </w:t>
      </w:r>
      <w:proofErr w:type="spellStart"/>
      <w:r w:rsidRPr="00A23953">
        <w:rPr>
          <w:rFonts w:ascii="Times" w:hAnsi="Times" w:cs="Arial"/>
        </w:rPr>
        <w:t>tumors</w:t>
      </w:r>
      <w:proofErr w:type="spellEnd"/>
      <w:r w:rsidRPr="00A23953">
        <w:rPr>
          <w:rFonts w:ascii="Times" w:hAnsi="Times" w:cs="Arial"/>
        </w:rPr>
        <w:t xml:space="preserve"> from five contributing hospitals. Among these, 1,026 </w:t>
      </w:r>
      <w:proofErr w:type="spellStart"/>
      <w:r w:rsidRPr="00A23953">
        <w:rPr>
          <w:rFonts w:ascii="Times" w:hAnsi="Times" w:cs="Arial"/>
        </w:rPr>
        <w:t>tumors</w:t>
      </w:r>
      <w:proofErr w:type="spellEnd"/>
      <w:r w:rsidRPr="00A23953">
        <w:rPr>
          <w:rFonts w:ascii="Times" w:hAnsi="Times" w:cs="Arial"/>
        </w:rPr>
        <w:t xml:space="preserve"> from three hospitals have good quality H&amp;E sections, whist the H&amp;E samples from the other two hospitals are highly fragmented due to long-term frozen storage. Of these, 24 samples did not contain sufficient tissue for analysis of </w:t>
      </w:r>
      <w:proofErr w:type="spellStart"/>
      <w:r w:rsidRPr="00A23953">
        <w:rPr>
          <w:rFonts w:ascii="Times" w:hAnsi="Times" w:cs="Arial"/>
        </w:rPr>
        <w:t>colocalization</w:t>
      </w:r>
      <w:proofErr w:type="spellEnd"/>
      <w:r w:rsidRPr="00A23953">
        <w:rPr>
          <w:rFonts w:ascii="Times" w:hAnsi="Times" w:cs="Arial"/>
        </w:rPr>
        <w:t xml:space="preserve">. Therefore, we only considered the remaining 1,002 </w:t>
      </w:r>
      <w:proofErr w:type="spellStart"/>
      <w:r w:rsidRPr="00A23953">
        <w:rPr>
          <w:rFonts w:ascii="Times" w:hAnsi="Times" w:cs="Arial"/>
        </w:rPr>
        <w:t>tumors</w:t>
      </w:r>
      <w:proofErr w:type="spellEnd"/>
      <w:r w:rsidRPr="00A23953">
        <w:rPr>
          <w:rFonts w:ascii="Times" w:hAnsi="Times" w:cs="Arial"/>
        </w:rPr>
        <w:t xml:space="preserve"> for this study, 989 of which complete follow-up for disease-specific survival was available (median 68.3 months). On average three </w:t>
      </w:r>
      <w:proofErr w:type="spellStart"/>
      <w:r w:rsidRPr="00A23953">
        <w:rPr>
          <w:rFonts w:ascii="Times" w:hAnsi="Times" w:cs="Arial"/>
        </w:rPr>
        <w:t>tumor</w:t>
      </w:r>
      <w:proofErr w:type="spellEnd"/>
      <w:r w:rsidRPr="00A23953">
        <w:rPr>
          <w:rFonts w:ascii="Times" w:hAnsi="Times" w:cs="Arial"/>
        </w:rPr>
        <w:t xml:space="preserve"> sections were obtained for each primary </w:t>
      </w:r>
      <w:proofErr w:type="spellStart"/>
      <w:r w:rsidRPr="00A23953">
        <w:rPr>
          <w:rFonts w:ascii="Times" w:hAnsi="Times" w:cs="Arial"/>
        </w:rPr>
        <w:t>tumor</w:t>
      </w:r>
      <w:proofErr w:type="spellEnd"/>
      <w:r w:rsidRPr="00A23953">
        <w:rPr>
          <w:rFonts w:ascii="Times" w:hAnsi="Times" w:cs="Arial"/>
        </w:rPr>
        <w:t xml:space="preserve"> and placed onto the same slide </w:t>
      </w:r>
      <w:r w:rsidRPr="00A23953">
        <w:rPr>
          <w:rFonts w:ascii="Times" w:hAnsi="Times"/>
        </w:rPr>
        <w:fldChar w:fldCharType="begin" w:fldLock="1"/>
      </w:r>
      <w:r w:rsidR="000D7A1F">
        <w:rPr>
          <w:rFonts w:ascii="Times" w:hAnsi="Times"/>
        </w:rPr>
        <w:instrText>ADDIN CSL_CITATION { "citationItems" : [ { "id" : "ITEM-1", "itemData" : { "DOI" : "10.1126/scitranslmed.3004330", "ISBN" : "1946-6242 (Electronic)\n1946-6234 (Linking)", "ISSN" : "1946-6242", "PMID" : "23100629", "abstract" : "Solid tumors are heterogeneous tissues composed of a mixture of cancer and normal cells, which complicates the interpretation of their molecular profiles. Furthermore, tissue architecture is generally not reflected in molecular assays, rendering this rich information underused. To address these challenges, we developed a computational approach based on standard hematoxylin and eosin-stained tissue sections and demonstrated its power in a discovery and validation cohort of 323 and 241 breast tumors, respectively. To deconvolute cellular heterogeneity and detect subtle genomic aberrations, we introduced an algorithm based on tumor cellularity to increase the comparability of copy number profiles between samples. We next devised a predictor for survival in estrogen receptor-negative breast cancer that integrated both image-based and gene expression analyses and significantly outperformed classifiers that use single data types, such as microarray expression signatures. Image processing also allowed us to describe and validate an independent prognostic factor based on quantitative analysis of spatial patterns between stromal cells, which are not detectable by molecular assays. Our quantitative, image-based method could benefit any large-scale cancer study by refining and complementing molecular assays of tumor samples.", "author" : [ { "dropping-particle" : "", "family" : "Yuan", "given" : "Yinyin", "non-dropping-particle" : "", "parse-names" : false, "suffix" : "" }, { "dropping-particle" : "", "family" : "Failmezger", "given" : "Henrik", "non-dropping-particle" : "", "parse-names" : false, "suffix" : "" }, { "dropping-particle" : "", "family" : "Rueda", "given" : "Oscar M", "non-dropping-particle" : "", "parse-names" : false, "suffix" : "" }, { "dropping-particle" : "", "family" : "Ali", "given" : "H Raza", "non-dropping-particle" : "", "parse-names" : false, "suffix" : "" }, { "dropping-particle" : "", "family" : "Graf", "given" : "S", "non-dropping-particle" : "", "parse-names" : false, "suffix" : "" }, { "dropping-particle" : "", "family" : "Chin", "given" : "Suet-Feung F", "non-dropping-particle" : "", "parse-names" : false, "suffix" : "" }, { "dropping-particle" : "", "family" : "Schwarz", "given" : "Roland F", "non-dropping-particle" : "", "parse-names" : false, "suffix" : "" }, { "dropping-particle" : "", "family" : "Curtis", "given" : "Christina", "non-dropping-particle" : "", "parse-names" : false, "suffix" : "" }, { "dropping-particle" : "", "family" : "Dunning", "given" : "Mark J", "non-dropping-particle" : "", "parse-names" : false, "suffix" : "" }, { "dropping-particle" : "", "family" : "Bardwell", "given" : "Helen", "non-dropping-particle" : "", "parse-names" : false, "suffix" : "" }, { "dropping-particle" : "", "family" : "Johnson", "given" : "Nicola", "non-dropping-particle" : "", "parse-names" : false, "suffix" : "" }, { "dropping-particle" : "", "family" : "Doyle", "given" : "Sarah", "non-dropping-particle" : "", "parse-names" : false, "suffix" : "" }, { "dropping-particle" : "", "family" : "Turashvili", "given" : "Gulisa", "non-dropping-particle" : "", "parse-names" : false, "suffix" : "" }, { "dropping-particle" : "", "family" : "Provenzano", "given" : "Elena", "non-dropping-particle" : "", "parse-names" : false, "suffix" : "" }, { "dropping-particle" : "", "family" : "Aparicio", "given" : "Sam", "non-dropping-particle" : "", "parse-names" : false, "suffix" : "" }, { "dropping-particle" : "", "family" : "Caldas", "given" : "Carlos", "non-dropping-particle" : "", "parse-names" : false, "suffix" : "" }, { "dropping-particle" : "", "family" : "Markowetz", "given" : "Florian", "non-dropping-particle" : "", "parse-names" : false, "suffix" : "" }, { "dropping-particle" : "", "family" : "Gr\u00e4f", "given" : "Stefan", "non-dropping-particle" : "", "parse-names" : false, "suffix" : "" } ], "container-title" : "Sci Transl Med", "edition" : "2012/11/24", "id" : "ITEM-1", "issue" : "157", "issued" : { "date-parts" : [ [ "2012" ] ] }, "note" : "        From Duplicate 1 (                   Quantitative image analysis of cellular heterogeneity in breast tumors complements genomic profiling                 - Yuan, Y; Failmezger, H; Rueda, O M; Ali, H R; Graf, S; Chin, S F; Schwarz, R F; Curtis, C; Dunning, M J; Bardwell, H; Johnson, N; Doyle, S; Turashvili, G; Provenzano, E; Aparicio, S; Caldas, C; Markowetz, F )\nAnd  Duplicate 5 (                   Quantitative image analysis of cellular heterogeneity in breast tumors complements genomic profiling                 - Yuan, Y; Failmezger, H; Rueda, O M; Ali, H R; Graf, S; Chin, S F; Schwarz, R F; Curtis, C; Dunning, M J; Bardwell, H; Johnson, N; Doyle, S; Turashvili, G; Provenzano, E; Aparicio, S; Caldas, C; Markowetz, F )\n                \nYuan, Yinyin\nFailmezger, Henrik\nRueda, Oscar M\nAli, H Raza\nGraf, Stefan\nChin, Suet-Feung\nSchwarz, Roland F\nCurtis, Christina\nDunning, Mark J\nBardwell, Helen\nJohnson, Nicola\nDoyle, Sarah\nTurashvili, Gulisa\nProvenzano, Elena\nAparicio, Sam\nCaldas, Carlos\nMarkowetz, Florian\nCancer Research UK/United Kingdom\nSci Transl Med. 2012 Oct 24;4(157):157ra143. doi: 10.1126/scitranslmed.3004330.\n        \n        From Duplicate 3 (                   A correction to the research article titled: \"quantitative image analysis of cellular heterogeneity in breast tumors complements genomic profiling\" by y. Yuan, h. Failmezger, o. M. Rueda, h. R. Ali, s. Graf, s.-F. Chin, R. F. Schwarz, C. Curtis, m. J. Dun                 -  )\nAnd  Duplicate 4 (                   A correction to the research article titled: \"quantitative image analysis of cellular heterogeneity in breast tumors complements genomic profiling\" by y. Yuan, h. Failmezger, o. M. Rueda, h. R. Ali, s. Graf, s.-F. Chin, R. F. Schwarz, C. Curtis, m. J. Dun                 -  )\n                \nSci Transl Med. 2012 Nov 21;4(161):161er6. doi: 10.1126/scitranslmed.3005298.\n        \n      ", "page" : "157ra143", "title" : "Quantitative image analysis of cellular heterogeneity in breast tumors complements genomic profiling", "type" : "article-journal", "volume" : "4" }, "uris" : [ "http://www.mendeley.com/documents/?uuid=d9475abd-b5c9-45bb-b776-67905211a661" ] } ], "mendeley" : { "formattedCitation" : "(2)", "plainTextFormattedCitation" : "(2)", "previouslyFormattedCitation" : "(26)" }, "properties" : { "noteIndex" : 0 }, "schema" : "https://github.com/citation-style-language/schema/raw/master/csl-citation.json" }</w:instrText>
      </w:r>
      <w:r w:rsidRPr="00A23953">
        <w:rPr>
          <w:rFonts w:ascii="Times" w:hAnsi="Times"/>
        </w:rPr>
        <w:fldChar w:fldCharType="separate"/>
      </w:r>
      <w:r w:rsidR="000D7A1F" w:rsidRPr="000D7A1F">
        <w:rPr>
          <w:rFonts w:ascii="Times" w:hAnsi="Times"/>
          <w:noProof/>
        </w:rPr>
        <w:t>(2)</w:t>
      </w:r>
      <w:r w:rsidRPr="00A23953">
        <w:rPr>
          <w:rFonts w:ascii="Times" w:hAnsi="Times"/>
        </w:rPr>
        <w:fldChar w:fldCharType="end"/>
      </w:r>
      <w:r w:rsidRPr="00A23953">
        <w:rPr>
          <w:rFonts w:ascii="Times" w:hAnsi="Times" w:cs="Arial"/>
        </w:rPr>
        <w:t xml:space="preserve">. </w:t>
      </w:r>
      <w:proofErr w:type="spellStart"/>
      <w:r w:rsidRPr="00A23953">
        <w:rPr>
          <w:rFonts w:ascii="Times" w:hAnsi="Times" w:cs="Arial"/>
        </w:rPr>
        <w:t>Estrogen</w:t>
      </w:r>
      <w:proofErr w:type="spellEnd"/>
      <w:r w:rsidRPr="00A23953">
        <w:rPr>
          <w:rFonts w:ascii="Times" w:hAnsi="Times" w:cs="Arial"/>
        </w:rPr>
        <w:t xml:space="preserve"> Receptor (ER</w:t>
      </w:r>
      <w:r w:rsidRPr="00A23953">
        <w:rPr>
          <w:rFonts w:ascii="Times" w:hAnsi="Times" w:cs="Arial"/>
          <w:i/>
        </w:rPr>
        <w:t>)</w:t>
      </w:r>
      <w:r w:rsidRPr="00A23953">
        <w:rPr>
          <w:rFonts w:ascii="Times" w:hAnsi="Times" w:cs="Arial"/>
        </w:rPr>
        <w:t xml:space="preserve"> status was determined based on the bimodal distribution of </w:t>
      </w:r>
      <w:r w:rsidRPr="00A23953">
        <w:rPr>
          <w:rFonts w:ascii="Times" w:hAnsi="Times" w:cs="Arial"/>
          <w:i/>
        </w:rPr>
        <w:t>ESR1</w:t>
      </w:r>
      <w:r w:rsidRPr="00A23953">
        <w:rPr>
          <w:rFonts w:ascii="Times" w:hAnsi="Times" w:cs="Arial"/>
        </w:rPr>
        <w:t xml:space="preserve"> expression microarray data since ER status by immunohistochemistry was not available for all samples. The Epidermal growth factor receptor </w:t>
      </w:r>
      <w:proofErr w:type="gramStart"/>
      <w:r w:rsidRPr="00A23953">
        <w:rPr>
          <w:rFonts w:ascii="Times" w:hAnsi="Times" w:cs="Arial"/>
        </w:rPr>
        <w:t>2 (HER2</w:t>
      </w:r>
      <w:r w:rsidRPr="00A23953">
        <w:rPr>
          <w:rFonts w:ascii="Times" w:hAnsi="Times" w:cs="Arial"/>
          <w:i/>
        </w:rPr>
        <w:t>)</w:t>
      </w:r>
      <w:r w:rsidRPr="00A23953">
        <w:rPr>
          <w:rFonts w:ascii="Times" w:hAnsi="Times" w:cs="Arial"/>
        </w:rPr>
        <w:t xml:space="preserve"> status</w:t>
      </w:r>
      <w:proofErr w:type="gramEnd"/>
      <w:r w:rsidRPr="00A23953">
        <w:rPr>
          <w:rFonts w:ascii="Times" w:hAnsi="Times" w:cs="Arial"/>
        </w:rPr>
        <w:t xml:space="preserve"> was determined by SNP6 amplification.</w:t>
      </w:r>
      <w:r w:rsidR="00303626">
        <w:rPr>
          <w:rFonts w:ascii="Times" w:hAnsi="Times" w:cs="Arial"/>
        </w:rPr>
        <w:t xml:space="preserve"> Our image analysis </w:t>
      </w:r>
      <w:r w:rsidR="00373260" w:rsidRPr="00A23953">
        <w:rPr>
          <w:rFonts w:ascii="Times" w:hAnsi="Times" w:cs="Arial"/>
        </w:rPr>
        <w:t>tool was used to classify all whole-</w:t>
      </w:r>
      <w:proofErr w:type="spellStart"/>
      <w:r w:rsidR="00373260" w:rsidRPr="00A23953">
        <w:rPr>
          <w:rFonts w:ascii="Times" w:hAnsi="Times" w:cs="Arial"/>
        </w:rPr>
        <w:t>tumor</w:t>
      </w:r>
      <w:proofErr w:type="spellEnd"/>
      <w:r w:rsidR="00373260" w:rsidRPr="00A23953">
        <w:rPr>
          <w:rFonts w:ascii="Times" w:hAnsi="Times" w:cs="Arial"/>
        </w:rPr>
        <w:t xml:space="preserve"> sections, resulting in an average of 63,230 cancer cells, 10,670 immune cells and 12,940 stromal cells for each image. </w:t>
      </w:r>
    </w:p>
    <w:p w14:paraId="698CCA01" w14:textId="77777777" w:rsidR="002E08BE" w:rsidRDefault="002E08BE" w:rsidP="002E08BE">
      <w:pPr>
        <w:widowControl w:val="0"/>
        <w:autoSpaceDE w:val="0"/>
        <w:autoSpaceDN w:val="0"/>
        <w:adjustRightInd w:val="0"/>
        <w:spacing w:after="120" w:line="480" w:lineRule="auto"/>
        <w:jc w:val="both"/>
        <w:rPr>
          <w:rFonts w:ascii="Times" w:hAnsi="Times"/>
          <w:b/>
        </w:rPr>
      </w:pPr>
    </w:p>
    <w:p w14:paraId="0D710ACA" w14:textId="77777777" w:rsidR="00EC3F39" w:rsidRPr="00AC5EBF" w:rsidRDefault="00EC3F39" w:rsidP="00EC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w:hAnsi="Times" w:cs="Times"/>
          <w:b/>
          <w:bCs/>
          <w:lang w:val="en-US"/>
        </w:rPr>
      </w:pPr>
      <w:r w:rsidRPr="00AC5EBF">
        <w:rPr>
          <w:rFonts w:ascii="Times" w:hAnsi="Times" w:cs="Times"/>
          <w:b/>
          <w:bCs/>
          <w:lang w:val="en-US"/>
        </w:rPr>
        <w:t>Spatial configuration with tessellations</w:t>
      </w:r>
    </w:p>
    <w:p w14:paraId="44B7A1D4" w14:textId="77777777" w:rsidR="00EC3F39" w:rsidRPr="00AC5EBF" w:rsidRDefault="00EC3F39" w:rsidP="00EC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w:hAnsi="Times" w:cs="Times"/>
          <w:lang w:val="en-US"/>
        </w:rPr>
      </w:pPr>
      <w:r w:rsidRPr="00AC5EBF">
        <w:rPr>
          <w:rFonts w:ascii="Times" w:hAnsi="Times" w:cs="Times"/>
          <w:lang w:val="en-US"/>
        </w:rPr>
        <w:t xml:space="preserve">For square tessellation, a fixed square size </w:t>
      </w:r>
      <w:r w:rsidRPr="00AC5EBF">
        <w:rPr>
          <w:rFonts w:ascii="Times" w:hAnsi="Times" w:cs="Times"/>
          <w:i/>
          <w:iCs/>
          <w:lang w:val="en-US"/>
        </w:rPr>
        <w:t>h</w:t>
      </w:r>
      <w:r w:rsidRPr="00AC5EBF">
        <w:rPr>
          <w:rFonts w:ascii="Times" w:hAnsi="Times" w:cs="Times"/>
          <w:lang w:val="en-US"/>
        </w:rPr>
        <w:t>-by-</w:t>
      </w:r>
      <w:r w:rsidRPr="00AC5EBF">
        <w:rPr>
          <w:rFonts w:ascii="Times" w:hAnsi="Times" w:cs="Times"/>
          <w:i/>
          <w:iCs/>
          <w:lang w:val="en-US"/>
        </w:rPr>
        <w:t>h</w:t>
      </w:r>
      <w:r w:rsidRPr="00AC5EBF">
        <w:rPr>
          <w:rFonts w:ascii="Times" w:hAnsi="Times" w:cs="Times"/>
          <w:lang w:val="en-US"/>
        </w:rPr>
        <w:t xml:space="preserve"> was used for all tumors. First, </w:t>
      </w:r>
      <w:r w:rsidRPr="00AC5EBF">
        <w:rPr>
          <w:rFonts w:ascii="Times" w:hAnsi="Times" w:cs="Times"/>
          <w:i/>
          <w:iCs/>
          <w:lang w:val="en-US"/>
        </w:rPr>
        <w:t>h</w:t>
      </w:r>
      <w:r w:rsidRPr="00AC5EBF">
        <w:rPr>
          <w:rFonts w:ascii="Times" w:hAnsi="Times" w:cs="Times"/>
          <w:lang w:val="en-US"/>
        </w:rPr>
        <w:t xml:space="preserve">=50 was used as the fixed square length and tumor sections were divided into squares of size 50x50, where each unit is 5um. For analysis of different scales, a range of squares of width </w:t>
      </w:r>
      <w:r w:rsidRPr="00AC5EBF">
        <w:rPr>
          <w:rFonts w:ascii="Times" w:hAnsi="Times" w:cs="Times"/>
          <w:i/>
          <w:lang w:val="en-US"/>
        </w:rPr>
        <w:t>h</w:t>
      </w:r>
      <w:r w:rsidRPr="00AC5EBF">
        <w:rPr>
          <w:rFonts w:ascii="Times" w:hAnsi="Times" w:cs="Times"/>
          <w:lang w:val="en-US"/>
        </w:rPr>
        <w:t xml:space="preserve">=40, 50, 60, 70, 80, 100, 150, 250 was used. For </w:t>
      </w:r>
      <w:proofErr w:type="spellStart"/>
      <w:r w:rsidRPr="00AC5EBF">
        <w:rPr>
          <w:rFonts w:ascii="Times" w:hAnsi="Times" w:cs="Times"/>
          <w:lang w:val="en-US"/>
        </w:rPr>
        <w:t>Voronoi</w:t>
      </w:r>
      <w:proofErr w:type="spellEnd"/>
      <w:r w:rsidRPr="00AC5EBF">
        <w:rPr>
          <w:rFonts w:ascii="Times" w:hAnsi="Times" w:cs="Times"/>
          <w:lang w:val="en-US"/>
        </w:rPr>
        <w:t xml:space="preserve"> tessellation, a tessellation is a division of </w:t>
      </w:r>
      <w:proofErr w:type="spellStart"/>
      <w:r w:rsidRPr="00AC5EBF">
        <w:rPr>
          <w:rFonts w:ascii="Times" w:hAnsi="Times" w:cs="Times"/>
          <w:lang w:val="en-US"/>
        </w:rPr>
        <w:t>topolographical</w:t>
      </w:r>
      <w:proofErr w:type="spellEnd"/>
      <w:r w:rsidRPr="00AC5EBF">
        <w:rPr>
          <w:rFonts w:ascii="Times" w:hAnsi="Times" w:cs="Times"/>
          <w:lang w:val="en-US"/>
        </w:rPr>
        <w:t xml:space="preserve"> space initiated by a set of </w:t>
      </w:r>
      <w:r w:rsidRPr="00AC5EBF">
        <w:rPr>
          <w:rFonts w:ascii="Times" w:hAnsi="Times" w:cs="Times"/>
          <w:i/>
          <w:iCs/>
          <w:lang w:val="en-US"/>
        </w:rPr>
        <w:t>S</w:t>
      </w:r>
      <w:r w:rsidRPr="00AC5EBF">
        <w:rPr>
          <w:rFonts w:ascii="Times" w:hAnsi="Times" w:cs="Times"/>
          <w:lang w:val="en-US"/>
        </w:rPr>
        <w:t xml:space="preserve"> spatial points or seeds</w:t>
      </w:r>
      <w:r w:rsidRPr="00AC5EBF">
        <w:rPr>
          <w:rFonts w:ascii="Times" w:hAnsi="Times" w:cs="Times"/>
          <w:i/>
          <w:iCs/>
          <w:lang w:val="en-US"/>
        </w:rPr>
        <w:t>.</w:t>
      </w:r>
      <w:r w:rsidRPr="00AC5EBF">
        <w:rPr>
          <w:rFonts w:ascii="Times" w:hAnsi="Times" w:cs="Times"/>
          <w:lang w:val="en-US"/>
        </w:rPr>
        <w:t xml:space="preserve"> </w:t>
      </w:r>
      <w:proofErr w:type="spellStart"/>
      <w:r w:rsidRPr="00AC5EBF">
        <w:rPr>
          <w:rFonts w:ascii="Times" w:hAnsi="Times" w:cs="Times"/>
          <w:lang w:val="en-US"/>
        </w:rPr>
        <w:t>Voronoi</w:t>
      </w:r>
      <w:proofErr w:type="spellEnd"/>
      <w:r w:rsidRPr="00AC5EBF">
        <w:rPr>
          <w:rFonts w:ascii="Times" w:hAnsi="Times" w:cs="Times"/>
          <w:lang w:val="en-US"/>
        </w:rPr>
        <w:t xml:space="preserve"> diagram, as one of the simplest tessellation methods, assigns the smallest convex polygon to a seed </w:t>
      </w:r>
      <w:r w:rsidRPr="00AC5EBF">
        <w:rPr>
          <w:rFonts w:ascii="Times" w:hAnsi="Times" w:cs="Times"/>
          <w:i/>
          <w:iCs/>
          <w:lang w:val="en-US"/>
        </w:rPr>
        <w:t>P</w:t>
      </w:r>
      <w:r w:rsidRPr="00AC5EBF">
        <w:rPr>
          <w:rFonts w:ascii="Times" w:hAnsi="Times" w:cs="Times"/>
          <w:i/>
          <w:iCs/>
          <w:vertAlign w:val="subscript"/>
          <w:lang w:val="en-US"/>
        </w:rPr>
        <w:t xml:space="preserve">i </w:t>
      </w:r>
      <w:r w:rsidRPr="00AC5EBF">
        <w:rPr>
          <w:rFonts w:ascii="Times" w:hAnsi="Times" w:cs="Times"/>
          <w:lang w:val="en-US"/>
        </w:rPr>
        <w:t xml:space="preserve">whose sides are the perpendicular </w:t>
      </w:r>
      <w:r w:rsidRPr="00AC5EBF">
        <w:rPr>
          <w:rFonts w:ascii="Times" w:hAnsi="Times" w:cs="Times"/>
          <w:lang w:val="en-US"/>
        </w:rPr>
        <w:lastRenderedPageBreak/>
        <w:t xml:space="preserve">bisectors of the lines joining </w:t>
      </w:r>
      <w:r w:rsidRPr="00AC5EBF">
        <w:rPr>
          <w:rFonts w:ascii="Times" w:hAnsi="Times" w:cs="Times"/>
          <w:i/>
          <w:iCs/>
          <w:lang w:val="en-US"/>
        </w:rPr>
        <w:t>P</w:t>
      </w:r>
      <w:r w:rsidRPr="00AC5EBF">
        <w:rPr>
          <w:rFonts w:ascii="Times" w:hAnsi="Times" w:cs="Times"/>
          <w:i/>
          <w:iCs/>
          <w:vertAlign w:val="subscript"/>
          <w:lang w:val="en-US"/>
        </w:rPr>
        <w:t xml:space="preserve">i </w:t>
      </w:r>
      <w:r w:rsidRPr="00AC5EBF">
        <w:rPr>
          <w:rFonts w:ascii="Times" w:hAnsi="Times" w:cs="Times"/>
          <w:lang w:val="en-US"/>
        </w:rPr>
        <w:t xml:space="preserve">to the other points. It is an exhaustive and exclusive model of the topology because a point is assigned to and only to a polygon. </w:t>
      </w:r>
      <w:r w:rsidRPr="00AC5EBF">
        <w:rPr>
          <w:rFonts w:ascii="Times" w:hAnsi="Times"/>
        </w:rPr>
        <w:t xml:space="preserve">To generate </w:t>
      </w:r>
      <w:proofErr w:type="spellStart"/>
      <w:r w:rsidRPr="00AC5EBF">
        <w:rPr>
          <w:rFonts w:ascii="Times" w:hAnsi="Times"/>
        </w:rPr>
        <w:t>Voronoi</w:t>
      </w:r>
      <w:proofErr w:type="spellEnd"/>
      <w:r w:rsidRPr="00AC5EBF">
        <w:rPr>
          <w:rFonts w:ascii="Times" w:hAnsi="Times"/>
        </w:rPr>
        <w:t xml:space="preserve"> polygons</w:t>
      </w:r>
      <w:r w:rsidRPr="00AC5EBF">
        <w:rPr>
          <w:rFonts w:ascii="Times" w:hAnsi="Times" w:cs="Times"/>
          <w:lang w:val="en-US"/>
        </w:rPr>
        <w:t xml:space="preserve"> for a tumor section</w:t>
      </w:r>
      <w:r w:rsidRPr="00AC5EBF">
        <w:rPr>
          <w:rFonts w:ascii="Times" w:hAnsi="Times"/>
        </w:rPr>
        <w:t xml:space="preserve">, cancer cells were randomly sampled and used as ‘seeds’ for tessellation. The number of seeds </w:t>
      </w:r>
      <w:r w:rsidRPr="00AC5EBF">
        <w:rPr>
          <w:rFonts w:ascii="Times" w:hAnsi="Times"/>
          <w:i/>
        </w:rPr>
        <w:t>S</w:t>
      </w:r>
      <w:r w:rsidRPr="00AC5EBF">
        <w:rPr>
          <w:rFonts w:ascii="Times" w:hAnsi="Times"/>
        </w:rPr>
        <w:t xml:space="preserve"> was chosen so that a similar number of polygons with the square tessellations </w:t>
      </w:r>
      <w:proofErr w:type="gramStart"/>
      <w:r w:rsidRPr="00AC5EBF">
        <w:rPr>
          <w:rFonts w:ascii="Times" w:hAnsi="Times"/>
        </w:rPr>
        <w:t>was</w:t>
      </w:r>
      <w:proofErr w:type="gramEnd"/>
      <w:r w:rsidRPr="00AC5EBF">
        <w:rPr>
          <w:rFonts w:ascii="Times" w:hAnsi="Times"/>
        </w:rPr>
        <w:t xml:space="preserve"> obtained. Let</w:t>
      </w:r>
      <w:r w:rsidRPr="00AC5EBF">
        <w:rPr>
          <w:rFonts w:ascii="Times" w:hAnsi="Times" w:cs="Times"/>
          <w:lang w:val="en-US"/>
        </w:rPr>
        <w:t xml:space="preserve"> </w:t>
      </w:r>
      <m:oMath>
        <m:r>
          <w:rPr>
            <w:rFonts w:ascii="Cambria Math" w:hAnsi="Cambria Math"/>
          </w:rPr>
          <m:t>S=</m:t>
        </m:r>
        <m:f>
          <m:fPr>
            <m:ctrlPr>
              <w:rPr>
                <w:rFonts w:ascii="Cambria Math" w:hAnsi="Cambria Math"/>
                <w:i/>
                <w:sz w:val="22"/>
                <w:szCs w:val="22"/>
              </w:rPr>
            </m:ctrlPr>
          </m:fPr>
          <m:num>
            <m:r>
              <w:rPr>
                <w:rFonts w:ascii="Cambria Math" w:hAnsi="Cambria Math"/>
              </w:rPr>
              <m:t>1</m:t>
            </m:r>
          </m:num>
          <m:den>
            <m:r>
              <w:rPr>
                <w:rFonts w:ascii="Cambria Math" w:hAnsi="Cambria Math"/>
              </w:rPr>
              <m:t>b</m:t>
            </m:r>
          </m:den>
        </m:f>
        <m:rad>
          <m:radPr>
            <m:degHide m:val="1"/>
            <m:ctrlPr>
              <w:rPr>
                <w:rFonts w:ascii="Cambria Math" w:hAnsi="Cambria Math"/>
                <w:i/>
                <w:sz w:val="22"/>
                <w:szCs w:val="22"/>
              </w:rPr>
            </m:ctrlPr>
          </m:radPr>
          <m:deg/>
          <m:e>
            <m:r>
              <w:rPr>
                <w:rFonts w:ascii="Cambria Math" w:hAnsi="Cambria Math"/>
              </w:rPr>
              <m:t>D</m:t>
            </m:r>
          </m:e>
        </m:rad>
      </m:oMath>
      <w:r w:rsidRPr="00AC5EBF">
        <w:rPr>
          <w:rFonts w:ascii="Times" w:hAnsi="Times" w:cs="Times"/>
        </w:rPr>
        <w:t xml:space="preserve">, </w:t>
      </w:r>
      <w:r w:rsidRPr="00AC5EBF">
        <w:rPr>
          <w:rFonts w:ascii="Times" w:hAnsi="Times" w:cs="Times"/>
          <w:lang w:val="en-US"/>
        </w:rPr>
        <w:t xml:space="preserve">so that </w:t>
      </w:r>
      <w:r w:rsidRPr="00AC5EBF">
        <w:rPr>
          <w:rFonts w:ascii="Times" w:hAnsi="Times" w:cs="Times"/>
          <w:i/>
          <w:iCs/>
          <w:lang w:val="en-US"/>
        </w:rPr>
        <w:t>S</w:t>
      </w:r>
      <w:r w:rsidRPr="00AC5EBF">
        <w:rPr>
          <w:rFonts w:ascii="Times" w:hAnsi="Times" w:cs="Times"/>
          <w:lang w:val="en-US"/>
        </w:rPr>
        <w:t xml:space="preserve"> scales non-linearly to </w:t>
      </w:r>
      <w:r w:rsidRPr="00AC5EBF">
        <w:rPr>
          <w:rFonts w:ascii="Times" w:hAnsi="Times" w:cs="Times"/>
          <w:i/>
          <w:iCs/>
          <w:lang w:val="en-US"/>
        </w:rPr>
        <w:t>D</w:t>
      </w:r>
      <w:r w:rsidRPr="00AC5EBF">
        <w:rPr>
          <w:rFonts w:ascii="Times" w:hAnsi="Times" w:cs="Times"/>
        </w:rPr>
        <w:t xml:space="preserve"> where </w:t>
      </w:r>
      <w:r w:rsidRPr="00AC5EBF">
        <w:rPr>
          <w:rFonts w:ascii="Times" w:hAnsi="Times" w:cs="Times"/>
          <w:lang w:val="en-US"/>
        </w:rPr>
        <w:t xml:space="preserve">the number of tissue pixels is denoted </w:t>
      </w:r>
      <w:r w:rsidRPr="00AC5EBF">
        <w:rPr>
          <w:rFonts w:ascii="Times" w:hAnsi="Times" w:cs="Times"/>
          <w:i/>
          <w:iCs/>
          <w:lang w:val="en-US"/>
        </w:rPr>
        <w:t>D</w:t>
      </w:r>
      <w:r w:rsidRPr="00AC5EBF">
        <w:rPr>
          <w:rFonts w:ascii="Times" w:hAnsi="Times" w:cs="Times"/>
          <w:lang w:val="en-US"/>
        </w:rPr>
        <w:t xml:space="preserve">. </w:t>
      </w:r>
      <w:r w:rsidRPr="00AC5EBF">
        <w:rPr>
          <w:rFonts w:ascii="Times" w:hAnsi="Times" w:cs="Times"/>
          <w:i/>
          <w:iCs/>
          <w:lang w:val="en-US"/>
        </w:rPr>
        <w:t>b</w:t>
      </w:r>
      <w:r w:rsidRPr="00AC5EBF">
        <w:rPr>
          <w:rFonts w:ascii="Times" w:hAnsi="Times" w:cs="Times"/>
          <w:lang w:val="en-US"/>
        </w:rPr>
        <w:t xml:space="preserve"> was estimated to be 3 in 30 randomly sampled tumors to obtain approximately same number of polygons as in square lattices of 50x50. </w:t>
      </w:r>
      <w:r w:rsidRPr="00AC5EBF">
        <w:rPr>
          <w:rFonts w:ascii="Times" w:hAnsi="Times" w:cs="Times"/>
          <w:i/>
          <w:iCs/>
          <w:lang w:val="en-US"/>
        </w:rPr>
        <w:t>S</w:t>
      </w:r>
      <w:r w:rsidRPr="00AC5EBF">
        <w:rPr>
          <w:rFonts w:ascii="Times" w:hAnsi="Times" w:cs="Times"/>
          <w:lang w:val="en-US"/>
        </w:rPr>
        <w:t xml:space="preserve"> cancer cells were then randomly sampled to produce </w:t>
      </w:r>
      <w:proofErr w:type="spellStart"/>
      <w:r w:rsidRPr="00AC5EBF">
        <w:rPr>
          <w:rFonts w:ascii="Times" w:hAnsi="Times" w:cs="Times"/>
          <w:lang w:val="en-US"/>
        </w:rPr>
        <w:t>Voronoi</w:t>
      </w:r>
      <w:proofErr w:type="spellEnd"/>
      <w:r w:rsidRPr="00AC5EBF">
        <w:rPr>
          <w:rFonts w:ascii="Times" w:hAnsi="Times" w:cs="Times"/>
          <w:lang w:val="en-US"/>
        </w:rPr>
        <w:t xml:space="preserve"> polygons using the R package </w:t>
      </w:r>
      <w:proofErr w:type="spellStart"/>
      <w:proofErr w:type="gramStart"/>
      <w:r w:rsidRPr="00AC5EBF">
        <w:rPr>
          <w:rFonts w:ascii="Times" w:hAnsi="Times" w:cs="Times"/>
          <w:lang w:val="en-US"/>
        </w:rPr>
        <w:t>sp</w:t>
      </w:r>
      <w:proofErr w:type="spellEnd"/>
      <w:proofErr w:type="gramEnd"/>
      <w:r w:rsidRPr="00AC5EBF">
        <w:rPr>
          <w:rFonts w:ascii="Times" w:hAnsi="Times" w:cs="Times"/>
          <w:lang w:val="en-US"/>
        </w:rPr>
        <w:t xml:space="preserve"> (39). For analysis of different spatial scales, a range of </w:t>
      </w:r>
      <w:r w:rsidRPr="00AC5EBF">
        <w:rPr>
          <w:rFonts w:ascii="Times" w:hAnsi="Times" w:cs="Times"/>
          <w:i/>
          <w:lang w:val="en-US"/>
        </w:rPr>
        <w:t>b</w:t>
      </w:r>
      <w:r w:rsidRPr="00AC5EBF">
        <w:rPr>
          <w:rFonts w:ascii="Times" w:hAnsi="Times" w:cs="Times"/>
          <w:lang w:val="en-US"/>
        </w:rPr>
        <w:t>=2,3,4,5,8,10,50,100 was used.</w:t>
      </w:r>
    </w:p>
    <w:p w14:paraId="53C80F91" w14:textId="77777777" w:rsidR="00EC3F39" w:rsidRDefault="00EC3F39" w:rsidP="00CB5FF2">
      <w:pPr>
        <w:widowControl w:val="0"/>
        <w:autoSpaceDE w:val="0"/>
        <w:autoSpaceDN w:val="0"/>
        <w:adjustRightInd w:val="0"/>
        <w:spacing w:after="120" w:line="480" w:lineRule="auto"/>
        <w:jc w:val="both"/>
        <w:rPr>
          <w:rFonts w:ascii="Times" w:hAnsi="Times"/>
          <w:b/>
        </w:rPr>
      </w:pPr>
    </w:p>
    <w:p w14:paraId="4BA0836F" w14:textId="77777777" w:rsidR="00915F02" w:rsidRDefault="00915F02" w:rsidP="00915F02">
      <w:pPr>
        <w:spacing w:line="480" w:lineRule="auto"/>
        <w:jc w:val="both"/>
        <w:rPr>
          <w:rFonts w:ascii="Times" w:hAnsi="Times" w:cs="Arial"/>
        </w:rPr>
      </w:pPr>
      <w:r>
        <w:rPr>
          <w:rFonts w:ascii="Times" w:hAnsi="Times"/>
          <w:b/>
        </w:rPr>
        <w:t>Measuring</w:t>
      </w:r>
      <w:r>
        <w:rPr>
          <w:rFonts w:ascii="Times" w:hAnsi="Times" w:cs="Arial"/>
          <w:b/>
        </w:rPr>
        <w:t xml:space="preserve"> </w:t>
      </w:r>
      <w:r w:rsidRPr="00A23953">
        <w:rPr>
          <w:rFonts w:ascii="Times" w:hAnsi="Times"/>
          <w:b/>
        </w:rPr>
        <w:t xml:space="preserve">spatial </w:t>
      </w:r>
      <w:proofErr w:type="spellStart"/>
      <w:r w:rsidRPr="00A23953">
        <w:rPr>
          <w:rFonts w:ascii="Times" w:hAnsi="Times"/>
          <w:b/>
        </w:rPr>
        <w:t>colocalization</w:t>
      </w:r>
      <w:proofErr w:type="spellEnd"/>
      <w:r w:rsidRPr="00A23953">
        <w:rPr>
          <w:rFonts w:ascii="Times" w:hAnsi="Times"/>
          <w:b/>
        </w:rPr>
        <w:t xml:space="preserve"> of cancer cells and immune cells</w:t>
      </w:r>
    </w:p>
    <w:p w14:paraId="1BEB9D5B" w14:textId="67DF2931" w:rsidR="00915F02" w:rsidRPr="00915F02" w:rsidRDefault="00915F02" w:rsidP="00915F02">
      <w:pPr>
        <w:spacing w:line="480" w:lineRule="auto"/>
        <w:jc w:val="both"/>
        <w:rPr>
          <w:rFonts w:ascii="Times" w:hAnsi="Times" w:cs="Arial"/>
        </w:rPr>
      </w:pPr>
      <w:r w:rsidRPr="00A23953">
        <w:rPr>
          <w:rFonts w:ascii="Times" w:hAnsi="Times"/>
        </w:rPr>
        <w:t xml:space="preserve">The number of immune cells and cancer cells for each polygon </w:t>
      </w:r>
      <w:proofErr w:type="spellStart"/>
      <w:r w:rsidRPr="00A23953">
        <w:rPr>
          <w:rFonts w:ascii="Times" w:hAnsi="Times"/>
          <w:i/>
        </w:rPr>
        <w:t>i</w:t>
      </w:r>
      <w:proofErr w:type="spellEnd"/>
      <w:r w:rsidRPr="00A23953">
        <w:rPr>
          <w:rFonts w:ascii="Times" w:hAnsi="Times"/>
        </w:rPr>
        <w:t xml:space="preserve"> are obtained and denoted as </w:t>
      </w:r>
      <m:oMath>
        <m:sSubSup>
          <m:sSubSupPr>
            <m:ctrlPr>
              <w:rPr>
                <w:rFonts w:ascii="Cambria Math" w:hAnsi="Cambria Math"/>
                <w:i/>
                <w:sz w:val="22"/>
                <w:szCs w:val="22"/>
              </w:rPr>
            </m:ctrlPr>
          </m:sSubSupPr>
          <m:e>
            <m:r>
              <w:rPr>
                <w:rFonts w:ascii="Cambria Math" w:hAnsi="Cambria Math"/>
              </w:rPr>
              <m:t>n</m:t>
            </m:r>
          </m:e>
          <m:sub>
            <m:r>
              <w:rPr>
                <w:rFonts w:ascii="Cambria Math" w:hAnsi="Cambria Math"/>
              </w:rPr>
              <m:t>i</m:t>
            </m:r>
          </m:sub>
          <m:sup>
            <m:r>
              <w:rPr>
                <w:rFonts w:ascii="Cambria Math" w:hAnsi="Cambria Math"/>
              </w:rPr>
              <m:t>l</m:t>
            </m:r>
          </m:sup>
        </m:sSubSup>
        <m:r>
          <w:rPr>
            <w:rFonts w:ascii="Cambria Math" w:hAnsi="Cambria Math"/>
          </w:rPr>
          <m:t xml:space="preserve"> </m:t>
        </m:r>
      </m:oMath>
      <w:r w:rsidRPr="00A23953">
        <w:rPr>
          <w:rFonts w:ascii="Times" w:hAnsi="Times"/>
        </w:rPr>
        <w:t xml:space="preserve">and </w:t>
      </w:r>
      <m:oMath>
        <m:sSubSup>
          <m:sSubSupPr>
            <m:ctrlPr>
              <w:rPr>
                <w:rFonts w:ascii="Cambria Math" w:hAnsi="Cambria Math"/>
                <w:i/>
                <w:sz w:val="22"/>
                <w:szCs w:val="22"/>
              </w:rPr>
            </m:ctrlPr>
          </m:sSubSupPr>
          <m:e>
            <m:r>
              <w:rPr>
                <w:rFonts w:ascii="Cambria Math" w:hAnsi="Cambria Math"/>
              </w:rPr>
              <m:t>n</m:t>
            </m:r>
          </m:e>
          <m:sub>
            <m:r>
              <w:rPr>
                <w:rFonts w:ascii="Cambria Math" w:hAnsi="Cambria Math"/>
              </w:rPr>
              <m:t>i</m:t>
            </m:r>
          </m:sub>
          <m:sup>
            <m:r>
              <w:rPr>
                <w:rFonts w:ascii="Cambria Math" w:hAnsi="Cambria Math"/>
              </w:rPr>
              <m:t>c</m:t>
            </m:r>
          </m:sup>
        </m:sSubSup>
      </m:oMath>
      <w:r w:rsidRPr="00A23953">
        <w:rPr>
          <w:rFonts w:ascii="Times" w:hAnsi="Times"/>
        </w:rPr>
        <w:t>, based on either Voronoi or square tessellation (Supplementary Methods). Polygons with low cell density were removed from subsequent analysis. This was d</w:t>
      </w:r>
      <w:proofErr w:type="spellStart"/>
      <w:r w:rsidRPr="00A23953">
        <w:rPr>
          <w:rFonts w:ascii="Times" w:hAnsi="Times"/>
        </w:rPr>
        <w:t>etermined</w:t>
      </w:r>
      <w:proofErr w:type="spellEnd"/>
      <w:r w:rsidRPr="00A23953">
        <w:rPr>
          <w:rFonts w:ascii="Times" w:hAnsi="Times"/>
        </w:rPr>
        <w:t xml:space="preserve"> by </w:t>
      </w:r>
      <m:oMath>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rPr>
                  <m:t>n</m:t>
                </m:r>
              </m:e>
              <m:sub>
                <m:r>
                  <w:rPr>
                    <w:rFonts w:ascii="Cambria Math" w:hAnsi="Cambria Math"/>
                  </w:rPr>
                  <m:t>i</m:t>
                </m:r>
              </m:sub>
            </m:sSub>
          </m:num>
          <m:den>
            <m:sSub>
              <m:sSubPr>
                <m:ctrlPr>
                  <w:rPr>
                    <w:rFonts w:ascii="Cambria Math" w:hAnsi="Cambria Math"/>
                    <w:i/>
                    <w:sz w:val="22"/>
                    <w:szCs w:val="22"/>
                  </w:rPr>
                </m:ctrlPr>
              </m:sSubPr>
              <m:e>
                <m:r>
                  <w:rPr>
                    <w:rFonts w:ascii="Cambria Math" w:hAnsi="Cambria Math"/>
                  </w:rPr>
                  <m:t>d</m:t>
                </m:r>
              </m:e>
              <m:sub>
                <m:r>
                  <w:rPr>
                    <w:rFonts w:ascii="Cambria Math" w:hAnsi="Cambria Math"/>
                  </w:rPr>
                  <m:t>i</m:t>
                </m:r>
              </m:sub>
            </m:sSub>
          </m:den>
        </m:f>
        <m:r>
          <w:rPr>
            <w:rFonts w:ascii="Cambria Math" w:hAnsi="Cambria Math"/>
          </w:rPr>
          <m:t>≤0.02</m:t>
        </m:r>
      </m:oMath>
      <w:r w:rsidRPr="00A23953">
        <w:rPr>
          <w:rFonts w:ascii="Times" w:hAnsi="Times"/>
        </w:rPr>
        <w:t xml:space="preserve"> for a polygon </w:t>
      </w:r>
      <w:proofErr w:type="spellStart"/>
      <w:r w:rsidRPr="00A23953">
        <w:rPr>
          <w:rFonts w:ascii="Times" w:hAnsi="Times"/>
          <w:i/>
        </w:rPr>
        <w:t>i</w:t>
      </w:r>
      <w:proofErr w:type="spellEnd"/>
      <w:r w:rsidRPr="00A23953">
        <w:rPr>
          <w:rFonts w:ascii="Times" w:hAnsi="Times"/>
        </w:rPr>
        <w:t xml:space="preserve">, </w:t>
      </w:r>
      <m:oMath>
        <m:sSub>
          <m:sSubPr>
            <m:ctrlPr>
              <w:rPr>
                <w:rFonts w:ascii="Cambria Math" w:hAnsi="Cambria Math"/>
                <w:i/>
                <w:sz w:val="22"/>
                <w:szCs w:val="22"/>
              </w:rPr>
            </m:ctrlPr>
          </m:sSubPr>
          <m:e>
            <m:r>
              <w:rPr>
                <w:rFonts w:ascii="Cambria Math" w:hAnsi="Cambria Math"/>
              </w:rPr>
              <m:t>n</m:t>
            </m:r>
          </m:e>
          <m:sub>
            <m:r>
              <w:rPr>
                <w:rFonts w:ascii="Cambria Math" w:hAnsi="Cambria Math"/>
              </w:rPr>
              <m:t>i</m:t>
            </m:r>
          </m:sub>
        </m:sSub>
      </m:oMath>
      <w:r w:rsidRPr="00A23953">
        <w:rPr>
          <w:rFonts w:ascii="Times" w:hAnsi="Times"/>
        </w:rPr>
        <w:t xml:space="preserve"> being the total number of cells and </w:t>
      </w:r>
      <m:oMath>
        <m:sSub>
          <m:sSubPr>
            <m:ctrlPr>
              <w:rPr>
                <w:rFonts w:ascii="Cambria Math" w:hAnsi="Cambria Math"/>
                <w:i/>
                <w:sz w:val="22"/>
                <w:szCs w:val="22"/>
              </w:rPr>
            </m:ctrlPr>
          </m:sSubPr>
          <m:e>
            <m:r>
              <w:rPr>
                <w:rFonts w:ascii="Cambria Math" w:hAnsi="Cambria Math"/>
              </w:rPr>
              <m:t>d</m:t>
            </m:r>
          </m:e>
          <m:sub>
            <m:r>
              <w:rPr>
                <w:rFonts w:ascii="Cambria Math" w:hAnsi="Cambria Math"/>
              </w:rPr>
              <m:t>i</m:t>
            </m:r>
          </m:sub>
        </m:sSub>
      </m:oMath>
      <w:r w:rsidRPr="00A23953">
        <w:rPr>
          <w:rFonts w:ascii="Times" w:hAnsi="Times"/>
        </w:rPr>
        <w:t xml:space="preserve"> being size in pixel of the polygon </w:t>
      </w:r>
      <w:proofErr w:type="spellStart"/>
      <w:r w:rsidRPr="00A23953">
        <w:rPr>
          <w:rFonts w:ascii="Times" w:hAnsi="Times"/>
          <w:i/>
        </w:rPr>
        <w:t>i</w:t>
      </w:r>
      <w:proofErr w:type="spellEnd"/>
      <w:r w:rsidRPr="00A23953">
        <w:rPr>
          <w:rFonts w:ascii="Times" w:hAnsi="Times"/>
        </w:rPr>
        <w:t xml:space="preserve">. Spatial correlation was computed using Pearson correlation and </w:t>
      </w:r>
      <w:proofErr w:type="spellStart"/>
      <w:r w:rsidRPr="00A23953">
        <w:rPr>
          <w:rFonts w:ascii="Times" w:hAnsi="Times"/>
        </w:rPr>
        <w:t>Morisita</w:t>
      </w:r>
      <w:proofErr w:type="spellEnd"/>
      <w:r w:rsidRPr="00A23953">
        <w:rPr>
          <w:rFonts w:ascii="Times" w:hAnsi="Times"/>
        </w:rPr>
        <w:t xml:space="preserve">-Horn’s similarity index with the number of cancer and immune cells in each polygon </w:t>
      </w:r>
      <w:proofErr w:type="spellStart"/>
      <w:r w:rsidRPr="00A23953">
        <w:rPr>
          <w:rFonts w:ascii="Times" w:hAnsi="Times"/>
          <w:i/>
        </w:rPr>
        <w:t>i</w:t>
      </w:r>
      <w:proofErr w:type="spellEnd"/>
      <w:r w:rsidRPr="00A23953">
        <w:rPr>
          <w:rFonts w:ascii="Times" w:hAnsi="Times"/>
        </w:rPr>
        <w:t xml:space="preserve">, </w:t>
      </w:r>
      <m:oMath>
        <m:sSubSup>
          <m:sSubSupPr>
            <m:ctrlPr>
              <w:rPr>
                <w:rFonts w:ascii="Cambria Math" w:hAnsi="Cambria Math"/>
                <w:i/>
                <w:sz w:val="22"/>
                <w:szCs w:val="22"/>
              </w:rPr>
            </m:ctrlPr>
          </m:sSubSupPr>
          <m:e>
            <m:r>
              <w:rPr>
                <w:rFonts w:ascii="Cambria Math" w:hAnsi="Cambria Math"/>
              </w:rPr>
              <m:t>n</m:t>
            </m:r>
          </m:e>
          <m:sub>
            <m:r>
              <w:rPr>
                <w:rFonts w:ascii="Cambria Math" w:hAnsi="Cambria Math"/>
              </w:rPr>
              <m:t>i</m:t>
            </m:r>
          </m:sub>
          <m:sup>
            <m:r>
              <w:rPr>
                <w:rFonts w:ascii="Cambria Math" w:hAnsi="Cambria Math"/>
              </w:rPr>
              <m:t>l</m:t>
            </m:r>
          </m:sup>
        </m:sSubSup>
        <m:r>
          <w:rPr>
            <w:rFonts w:ascii="Cambria Math" w:hAnsi="Cambria Math"/>
          </w:rPr>
          <m:t xml:space="preserve"> </m:t>
        </m:r>
      </m:oMath>
      <w:r w:rsidRPr="00A23953">
        <w:rPr>
          <w:rFonts w:ascii="Times" w:hAnsi="Times"/>
        </w:rPr>
        <w:t xml:space="preserve">and </w:t>
      </w:r>
      <m:oMath>
        <m:sSubSup>
          <m:sSubSupPr>
            <m:ctrlPr>
              <w:rPr>
                <w:rFonts w:ascii="Cambria Math" w:hAnsi="Cambria Math"/>
                <w:i/>
                <w:sz w:val="22"/>
                <w:szCs w:val="22"/>
              </w:rPr>
            </m:ctrlPr>
          </m:sSubSupPr>
          <m:e>
            <m:r>
              <w:rPr>
                <w:rFonts w:ascii="Cambria Math" w:hAnsi="Cambria Math"/>
              </w:rPr>
              <m:t>n</m:t>
            </m:r>
          </m:e>
          <m:sub>
            <m:r>
              <w:rPr>
                <w:rFonts w:ascii="Cambria Math" w:hAnsi="Cambria Math"/>
              </w:rPr>
              <m:t>i</m:t>
            </m:r>
          </m:sub>
          <m:sup>
            <m:r>
              <w:rPr>
                <w:rFonts w:ascii="Cambria Math" w:hAnsi="Cambria Math"/>
              </w:rPr>
              <m:t>c</m:t>
            </m:r>
          </m:sup>
        </m:sSubSup>
        <m:r>
          <w:rPr>
            <w:rFonts w:ascii="Cambria Math" w:hAnsi="Cambria Math"/>
          </w:rPr>
          <m:t xml:space="preserve"> </m:t>
        </m:r>
      </m:oMath>
      <w:r w:rsidRPr="00A23953">
        <w:rPr>
          <w:rFonts w:ascii="Times" w:hAnsi="Times"/>
        </w:rPr>
        <w:t xml:space="preserve">as input. Let </w:t>
      </w:r>
      <m:oMath>
        <m:sSubSup>
          <m:sSubSupPr>
            <m:ctrlPr>
              <w:rPr>
                <w:rFonts w:ascii="Cambria Math" w:hAnsi="Cambria Math"/>
                <w:i/>
                <w:sz w:val="22"/>
                <w:szCs w:val="22"/>
              </w:rPr>
            </m:ctrlPr>
          </m:sSubSupPr>
          <m:e>
            <m:r>
              <w:rPr>
                <w:rFonts w:ascii="Cambria Math" w:hAnsi="Cambria Math"/>
              </w:rPr>
              <m:t>p</m:t>
            </m:r>
          </m:e>
          <m:sub>
            <m:r>
              <w:rPr>
                <w:rFonts w:ascii="Cambria Math" w:hAnsi="Cambria Math"/>
              </w:rPr>
              <m:t>i</m:t>
            </m:r>
          </m:sub>
          <m:sup>
            <m:r>
              <w:rPr>
                <w:rFonts w:ascii="Cambria Math" w:hAnsi="Cambria Math"/>
              </w:rPr>
              <m:t>l</m:t>
            </m:r>
          </m:sup>
        </m:sSubSup>
      </m:oMath>
      <w:r w:rsidRPr="00A23953">
        <w:rPr>
          <w:rFonts w:ascii="Times" w:hAnsi="Times"/>
        </w:rPr>
        <w:t xml:space="preserve"> and </w:t>
      </w:r>
      <m:oMath>
        <m:sSubSup>
          <m:sSubSupPr>
            <m:ctrlPr>
              <w:rPr>
                <w:rFonts w:ascii="Cambria Math" w:hAnsi="Cambria Math"/>
                <w:i/>
                <w:sz w:val="22"/>
                <w:szCs w:val="22"/>
              </w:rPr>
            </m:ctrlPr>
          </m:sSubSupPr>
          <m:e>
            <m:r>
              <w:rPr>
                <w:rFonts w:ascii="Cambria Math" w:hAnsi="Cambria Math"/>
              </w:rPr>
              <m:t>p</m:t>
            </m:r>
          </m:e>
          <m:sub>
            <m:r>
              <w:rPr>
                <w:rFonts w:ascii="Cambria Math" w:hAnsi="Cambria Math"/>
              </w:rPr>
              <m:t>i</m:t>
            </m:r>
          </m:sub>
          <m:sup>
            <m:r>
              <w:rPr>
                <w:rFonts w:ascii="Cambria Math" w:hAnsi="Cambria Math"/>
              </w:rPr>
              <m:t>c</m:t>
            </m:r>
          </m:sup>
        </m:sSubSup>
      </m:oMath>
      <w:proofErr w:type="gramStart"/>
      <w:r w:rsidRPr="00A23953">
        <w:rPr>
          <w:rFonts w:ascii="Times" w:hAnsi="Times"/>
          <w:i/>
          <w:vertAlign w:val="subscript"/>
        </w:rPr>
        <w:t xml:space="preserve">  </w:t>
      </w:r>
      <w:r w:rsidRPr="00A23953">
        <w:rPr>
          <w:rFonts w:ascii="Times" w:hAnsi="Times"/>
        </w:rPr>
        <w:t>denote</w:t>
      </w:r>
      <w:proofErr w:type="gramEnd"/>
      <w:r w:rsidRPr="00A23953">
        <w:rPr>
          <w:rFonts w:ascii="Times" w:hAnsi="Times"/>
        </w:rPr>
        <w:t xml:space="preserve"> the fraction of immune cells and cancer cells in polygon </w:t>
      </w:r>
      <w:proofErr w:type="spellStart"/>
      <w:r w:rsidRPr="00A23953">
        <w:rPr>
          <w:rFonts w:ascii="Times" w:hAnsi="Times"/>
          <w:i/>
        </w:rPr>
        <w:t>i</w:t>
      </w:r>
      <w:proofErr w:type="spellEnd"/>
      <w:r w:rsidRPr="00A23953">
        <w:rPr>
          <w:rFonts w:ascii="Times" w:hAnsi="Times"/>
        </w:rPr>
        <w:t>,</w:t>
      </w:r>
      <w:r w:rsidRPr="00A23953">
        <w:rPr>
          <w:rFonts w:ascii="Times" w:hAnsi="Times"/>
          <w:i/>
        </w:rPr>
        <w:t xml:space="preserve"> </w:t>
      </w:r>
      <w:r w:rsidRPr="00A23953">
        <w:rPr>
          <w:rFonts w:ascii="Times" w:hAnsi="Times"/>
        </w:rPr>
        <w:t xml:space="preserve">i.e. </w:t>
      </w:r>
      <m:oMath>
        <m:sSubSup>
          <m:sSubSupPr>
            <m:ctrlPr>
              <w:rPr>
                <w:rFonts w:ascii="Cambria Math" w:hAnsi="Cambria Math"/>
                <w:i/>
                <w:sz w:val="22"/>
                <w:szCs w:val="22"/>
              </w:rPr>
            </m:ctrlPr>
          </m:sSubSupPr>
          <m:e>
            <m:r>
              <w:rPr>
                <w:rFonts w:ascii="Cambria Math" w:hAnsi="Cambria Math"/>
              </w:rPr>
              <m:t>p</m:t>
            </m:r>
          </m:e>
          <m:sub>
            <m:r>
              <w:rPr>
                <w:rFonts w:ascii="Cambria Math" w:hAnsi="Cambria Math"/>
              </w:rPr>
              <m:t>i</m:t>
            </m:r>
          </m:sub>
          <m:sup>
            <m:r>
              <w:rPr>
                <w:rFonts w:ascii="Cambria Math" w:hAnsi="Cambria Math"/>
              </w:rPr>
              <m:t>l</m:t>
            </m:r>
          </m:sup>
        </m:sSubSup>
        <m:r>
          <w:rPr>
            <w:rFonts w:ascii="Cambria Math" w:hAnsi="Cambria Math"/>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rPr>
                  <m:t>n</m:t>
                </m:r>
              </m:e>
              <m:sub>
                <m:r>
                  <w:rPr>
                    <w:rFonts w:ascii="Cambria Math" w:hAnsi="Cambria Math"/>
                  </w:rPr>
                  <m:t>i</m:t>
                </m:r>
              </m:sub>
              <m:sup>
                <m:r>
                  <w:rPr>
                    <w:rFonts w:ascii="Cambria Math" w:hAnsi="Cambria Math"/>
                  </w:rPr>
                  <m:t>l</m:t>
                </m:r>
              </m:sup>
            </m:sSubSup>
          </m:num>
          <m:den>
            <m:nary>
              <m:naryPr>
                <m:chr m:val="∑"/>
                <m:limLoc m:val="subSup"/>
                <m:supHide m:val="1"/>
                <m:ctrlPr>
                  <w:rPr>
                    <w:rFonts w:ascii="Cambria Math" w:hAnsi="Cambria Math"/>
                    <w:i/>
                    <w:sz w:val="22"/>
                    <w:szCs w:val="22"/>
                  </w:rPr>
                </m:ctrlPr>
              </m:naryPr>
              <m:sub>
                <m:r>
                  <w:rPr>
                    <w:rFonts w:ascii="Cambria Math" w:hAnsi="Cambria Math"/>
                  </w:rPr>
                  <m:t>i</m:t>
                </m:r>
              </m:sub>
              <m:sup/>
              <m:e>
                <m:sSubSup>
                  <m:sSubSupPr>
                    <m:ctrlPr>
                      <w:rPr>
                        <w:rFonts w:ascii="Cambria Math" w:hAnsi="Cambria Math"/>
                        <w:i/>
                        <w:sz w:val="22"/>
                        <w:szCs w:val="22"/>
                      </w:rPr>
                    </m:ctrlPr>
                  </m:sSubSupPr>
                  <m:e>
                    <m:r>
                      <w:rPr>
                        <w:rFonts w:ascii="Cambria Math" w:hAnsi="Cambria Math"/>
                      </w:rPr>
                      <m:t>n</m:t>
                    </m:r>
                  </m:e>
                  <m:sub>
                    <m:r>
                      <w:rPr>
                        <w:rFonts w:ascii="Cambria Math" w:hAnsi="Cambria Math"/>
                      </w:rPr>
                      <m:t>i</m:t>
                    </m:r>
                  </m:sub>
                  <m:sup>
                    <m:r>
                      <w:rPr>
                        <w:rFonts w:ascii="Cambria Math" w:hAnsi="Cambria Math"/>
                      </w:rPr>
                      <m:t>l</m:t>
                    </m:r>
                  </m:sup>
                </m:sSubSup>
              </m:e>
            </m:nary>
          </m:den>
        </m:f>
      </m:oMath>
      <w:r w:rsidRPr="00A23953">
        <w:rPr>
          <w:rFonts w:ascii="Times" w:hAnsi="Times"/>
          <w:i/>
        </w:rPr>
        <w:t xml:space="preserve">, </w:t>
      </w:r>
      <m:oMath>
        <m:sSubSup>
          <m:sSubSupPr>
            <m:ctrlPr>
              <w:rPr>
                <w:rFonts w:ascii="Cambria Math" w:hAnsi="Cambria Math"/>
                <w:i/>
                <w:sz w:val="22"/>
                <w:szCs w:val="22"/>
              </w:rPr>
            </m:ctrlPr>
          </m:sSubSupPr>
          <m:e>
            <m:r>
              <w:rPr>
                <w:rFonts w:ascii="Cambria Math" w:hAnsi="Cambria Math"/>
              </w:rPr>
              <m:t>p</m:t>
            </m:r>
          </m:e>
          <m:sub>
            <m:r>
              <w:rPr>
                <w:rFonts w:ascii="Cambria Math" w:hAnsi="Cambria Math"/>
              </w:rPr>
              <m:t>i</m:t>
            </m:r>
          </m:sub>
          <m:sup>
            <m:r>
              <w:rPr>
                <w:rFonts w:ascii="Cambria Math" w:hAnsi="Cambria Math"/>
              </w:rPr>
              <m:t>c</m:t>
            </m:r>
          </m:sup>
        </m:sSubSup>
        <m:r>
          <w:rPr>
            <w:rFonts w:ascii="Cambria Math" w:hAnsi="Cambria Math"/>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rPr>
                  <m:t>n</m:t>
                </m:r>
              </m:e>
              <m:sub>
                <m:r>
                  <w:rPr>
                    <w:rFonts w:ascii="Cambria Math" w:hAnsi="Cambria Math"/>
                  </w:rPr>
                  <m:t>i</m:t>
                </m:r>
              </m:sub>
              <m:sup>
                <m:r>
                  <w:rPr>
                    <w:rFonts w:ascii="Cambria Math" w:hAnsi="Cambria Math"/>
                  </w:rPr>
                  <m:t>c</m:t>
                </m:r>
              </m:sup>
            </m:sSubSup>
          </m:num>
          <m:den>
            <m:nary>
              <m:naryPr>
                <m:chr m:val="∑"/>
                <m:limLoc m:val="subSup"/>
                <m:supHide m:val="1"/>
                <m:ctrlPr>
                  <w:rPr>
                    <w:rFonts w:ascii="Cambria Math" w:hAnsi="Cambria Math"/>
                    <w:i/>
                    <w:sz w:val="22"/>
                    <w:szCs w:val="22"/>
                  </w:rPr>
                </m:ctrlPr>
              </m:naryPr>
              <m:sub>
                <m:r>
                  <w:rPr>
                    <w:rFonts w:ascii="Cambria Math" w:hAnsi="Cambria Math"/>
                  </w:rPr>
                  <m:t>i</m:t>
                </m:r>
              </m:sub>
              <m:sup/>
              <m:e>
                <m:sSubSup>
                  <m:sSubSupPr>
                    <m:ctrlPr>
                      <w:rPr>
                        <w:rFonts w:ascii="Cambria Math" w:hAnsi="Cambria Math"/>
                        <w:i/>
                        <w:sz w:val="22"/>
                        <w:szCs w:val="22"/>
                      </w:rPr>
                    </m:ctrlPr>
                  </m:sSubSupPr>
                  <m:e>
                    <m:r>
                      <w:rPr>
                        <w:rFonts w:ascii="Cambria Math" w:hAnsi="Cambria Math"/>
                      </w:rPr>
                      <m:t>n</m:t>
                    </m:r>
                  </m:e>
                  <m:sub>
                    <m:r>
                      <w:rPr>
                        <w:rFonts w:ascii="Cambria Math" w:hAnsi="Cambria Math"/>
                      </w:rPr>
                      <m:t>i</m:t>
                    </m:r>
                  </m:sub>
                  <m:sup>
                    <m:r>
                      <w:rPr>
                        <w:rFonts w:ascii="Cambria Math" w:hAnsi="Cambria Math"/>
                      </w:rPr>
                      <m:t>c</m:t>
                    </m:r>
                  </m:sup>
                </m:sSubSup>
              </m:e>
            </m:nary>
          </m:den>
        </m:f>
      </m:oMath>
      <w:r w:rsidRPr="00A23953">
        <w:rPr>
          <w:rFonts w:ascii="Times" w:hAnsi="Times"/>
          <w:i/>
        </w:rPr>
        <w:t>,</w:t>
      </w:r>
      <w:r w:rsidRPr="00A23953">
        <w:rPr>
          <w:rFonts w:ascii="Times" w:hAnsi="Times"/>
        </w:rPr>
        <w:t xml:space="preserve"> </w:t>
      </w:r>
      <w:proofErr w:type="spellStart"/>
      <w:r w:rsidRPr="00A23953">
        <w:rPr>
          <w:rFonts w:ascii="Times" w:hAnsi="Times"/>
        </w:rPr>
        <w:t>Morisita</w:t>
      </w:r>
      <w:proofErr w:type="spellEnd"/>
      <w:r w:rsidRPr="00A23953">
        <w:rPr>
          <w:rFonts w:ascii="Times" w:hAnsi="Times"/>
        </w:rPr>
        <w:t xml:space="preserve">-Horn’s similarity index between the cancer and immune community structure in a </w:t>
      </w:r>
      <w:proofErr w:type="spellStart"/>
      <w:r w:rsidRPr="00A23953">
        <w:rPr>
          <w:rFonts w:ascii="Times" w:hAnsi="Times"/>
        </w:rPr>
        <w:t>tumor</w:t>
      </w:r>
      <w:proofErr w:type="spellEnd"/>
      <w:r w:rsidRPr="00A23953">
        <w:rPr>
          <w:rFonts w:ascii="Times" w:hAnsi="Times"/>
        </w:rPr>
        <w:t xml:space="preserve"> is:</w:t>
      </w:r>
    </w:p>
    <w:p w14:paraId="39005C50" w14:textId="14251385" w:rsidR="00915F02" w:rsidRPr="00915F02" w:rsidRDefault="00915F02" w:rsidP="00915F02">
      <w:pPr>
        <w:spacing w:line="480" w:lineRule="auto"/>
        <w:jc w:val="center"/>
        <w:rPr>
          <w:rFonts w:ascii="Times" w:hAnsi="Times"/>
        </w:rPr>
      </w:pPr>
      <m:oMathPara>
        <m:oMath>
          <m:r>
            <w:rPr>
              <w:rFonts w:ascii="Cambria Math" w:hAnsi="Cambria Math"/>
            </w:rPr>
            <m:t>M=</m:t>
          </m:r>
          <m:f>
            <m:fPr>
              <m:ctrlPr>
                <w:rPr>
                  <w:rFonts w:ascii="Cambria Math" w:hAnsi="Cambria Math"/>
                  <w:i/>
                  <w:sz w:val="22"/>
                  <w:szCs w:val="22"/>
                </w:rPr>
              </m:ctrlPr>
            </m:fPr>
            <m:num>
              <m:r>
                <w:rPr>
                  <w:rFonts w:ascii="Cambria Math" w:hAnsi="Cambria Math"/>
                </w:rPr>
                <m:t>2</m:t>
              </m:r>
              <m:nary>
                <m:naryPr>
                  <m:chr m:val="∑"/>
                  <m:limLoc m:val="subSup"/>
                  <m:supHide m:val="1"/>
                  <m:ctrlPr>
                    <w:rPr>
                      <w:rFonts w:ascii="Cambria Math" w:hAnsi="Cambria Math"/>
                      <w:i/>
                      <w:sz w:val="22"/>
                      <w:szCs w:val="22"/>
                    </w:rPr>
                  </m:ctrlPr>
                </m:naryPr>
                <m:sub>
                  <m:r>
                    <w:rPr>
                      <w:rFonts w:ascii="Cambria Math" w:hAnsi="Cambria Math"/>
                    </w:rPr>
                    <m:t>i</m:t>
                  </m:r>
                </m:sub>
                <m:sup/>
                <m:e>
                  <m:sSubSup>
                    <m:sSubSupPr>
                      <m:ctrlPr>
                        <w:rPr>
                          <w:rFonts w:ascii="Cambria Math" w:hAnsi="Cambria Math"/>
                          <w:i/>
                          <w:sz w:val="22"/>
                          <w:szCs w:val="22"/>
                        </w:rPr>
                      </m:ctrlPr>
                    </m:sSubSupPr>
                    <m:e>
                      <m:r>
                        <w:rPr>
                          <w:rFonts w:ascii="Cambria Math" w:hAnsi="Cambria Math"/>
                        </w:rPr>
                        <m:t>p</m:t>
                      </m:r>
                    </m:e>
                    <m:sub>
                      <m:r>
                        <w:rPr>
                          <w:rFonts w:ascii="Cambria Math" w:hAnsi="Cambria Math"/>
                        </w:rPr>
                        <m:t>i</m:t>
                      </m:r>
                    </m:sub>
                    <m:sup>
                      <m:r>
                        <w:rPr>
                          <w:rFonts w:ascii="Cambria Math" w:hAnsi="Cambria Math"/>
                        </w:rPr>
                        <m:t>l</m:t>
                      </m:r>
                    </m:sup>
                  </m:sSubSup>
                  <m:sSubSup>
                    <m:sSubSupPr>
                      <m:ctrlPr>
                        <w:rPr>
                          <w:rFonts w:ascii="Cambria Math" w:hAnsi="Cambria Math"/>
                          <w:i/>
                          <w:sz w:val="22"/>
                          <w:szCs w:val="22"/>
                        </w:rPr>
                      </m:ctrlPr>
                    </m:sSubSupPr>
                    <m:e>
                      <m:r>
                        <w:rPr>
                          <w:rFonts w:ascii="Cambria Math" w:hAnsi="Cambria Math"/>
                        </w:rPr>
                        <m:t>p</m:t>
                      </m:r>
                    </m:e>
                    <m:sub>
                      <m:r>
                        <w:rPr>
                          <w:rFonts w:ascii="Cambria Math" w:hAnsi="Cambria Math"/>
                        </w:rPr>
                        <m:t>i</m:t>
                      </m:r>
                    </m:sub>
                    <m:sup>
                      <m:r>
                        <w:rPr>
                          <w:rFonts w:ascii="Cambria Math" w:hAnsi="Cambria Math"/>
                        </w:rPr>
                        <m:t>c</m:t>
                      </m:r>
                    </m:sup>
                  </m:sSubSup>
                </m:e>
              </m:nary>
            </m:num>
            <m:den>
              <m:nary>
                <m:naryPr>
                  <m:chr m:val="∑"/>
                  <m:limLoc m:val="subSup"/>
                  <m:supHide m:val="1"/>
                  <m:ctrlPr>
                    <w:rPr>
                      <w:rFonts w:ascii="Cambria Math" w:hAnsi="Cambria Math"/>
                      <w:i/>
                      <w:sz w:val="22"/>
                      <w:szCs w:val="22"/>
                    </w:rPr>
                  </m:ctrlPr>
                </m:naryPr>
                <m:sub>
                  <m:r>
                    <w:rPr>
                      <w:rFonts w:ascii="Cambria Math" w:hAnsi="Cambria Math"/>
                    </w:rPr>
                    <m:t>i</m:t>
                  </m:r>
                </m:sub>
                <m:sup/>
                <m:e>
                  <m:sSup>
                    <m:sSupPr>
                      <m:ctrlPr>
                        <w:rPr>
                          <w:rFonts w:ascii="Cambria Math" w:hAnsi="Cambria Math"/>
                          <w:i/>
                          <w:sz w:val="22"/>
                          <w:szCs w:val="22"/>
                        </w:rPr>
                      </m:ctrlPr>
                    </m:sSupPr>
                    <m:e>
                      <m:r>
                        <w:rPr>
                          <w:rFonts w:ascii="Cambria Math" w:hAnsi="Cambria Math"/>
                        </w:rPr>
                        <m:t>(</m:t>
                      </m:r>
                      <m:sSubSup>
                        <m:sSubSupPr>
                          <m:ctrlPr>
                            <w:rPr>
                              <w:rFonts w:ascii="Cambria Math" w:hAnsi="Cambria Math"/>
                              <w:i/>
                              <w:sz w:val="22"/>
                              <w:szCs w:val="22"/>
                            </w:rPr>
                          </m:ctrlPr>
                        </m:sSubSupPr>
                        <m:e>
                          <m:r>
                            <w:rPr>
                              <w:rFonts w:ascii="Cambria Math" w:hAnsi="Cambria Math"/>
                            </w:rPr>
                            <m:t>p</m:t>
                          </m:r>
                        </m:e>
                        <m:sub>
                          <m:r>
                            <w:rPr>
                              <w:rFonts w:ascii="Cambria Math" w:hAnsi="Cambria Math"/>
                            </w:rPr>
                            <m:t>i</m:t>
                          </m:r>
                        </m:sub>
                        <m:sup>
                          <m:r>
                            <w:rPr>
                              <w:rFonts w:ascii="Cambria Math" w:hAnsi="Cambria Math"/>
                            </w:rPr>
                            <m:t>l</m:t>
                          </m:r>
                        </m:sup>
                      </m:sSubSup>
                      <m:r>
                        <w:rPr>
                          <w:rFonts w:ascii="Cambria Math" w:hAnsi="Cambria Math"/>
                        </w:rPr>
                        <m:t>)</m:t>
                      </m:r>
                    </m:e>
                    <m:sup>
                      <m:r>
                        <w:rPr>
                          <w:rFonts w:ascii="Cambria Math" w:hAnsi="Cambria Math"/>
                        </w:rPr>
                        <m:t>2</m:t>
                      </m:r>
                    </m:sup>
                  </m:sSup>
                </m:e>
              </m:nary>
              <m:r>
                <w:rPr>
                  <w:rFonts w:ascii="Cambria Math" w:hAnsi="Cambria Math"/>
                </w:rPr>
                <m:t>+</m:t>
              </m:r>
              <m:nary>
                <m:naryPr>
                  <m:chr m:val="∑"/>
                  <m:limLoc m:val="subSup"/>
                  <m:supHide m:val="1"/>
                  <m:ctrlPr>
                    <w:rPr>
                      <w:rFonts w:ascii="Cambria Math" w:hAnsi="Cambria Math"/>
                      <w:i/>
                      <w:sz w:val="22"/>
                      <w:szCs w:val="22"/>
                    </w:rPr>
                  </m:ctrlPr>
                </m:naryPr>
                <m:sub>
                  <m:r>
                    <w:rPr>
                      <w:rFonts w:ascii="Cambria Math" w:hAnsi="Cambria Math"/>
                    </w:rPr>
                    <m:t>i</m:t>
                  </m:r>
                </m:sub>
                <m:sup/>
                <m:e>
                  <m:sSup>
                    <m:sSupPr>
                      <m:ctrlPr>
                        <w:rPr>
                          <w:rFonts w:ascii="Cambria Math" w:hAnsi="Cambria Math"/>
                          <w:i/>
                          <w:sz w:val="22"/>
                          <w:szCs w:val="22"/>
                        </w:rPr>
                      </m:ctrlPr>
                    </m:sSupPr>
                    <m:e>
                      <m:r>
                        <w:rPr>
                          <w:rFonts w:ascii="Cambria Math" w:hAnsi="Cambria Math"/>
                        </w:rPr>
                        <m:t>(</m:t>
                      </m:r>
                      <m:sSubSup>
                        <m:sSubSupPr>
                          <m:ctrlPr>
                            <w:rPr>
                              <w:rFonts w:ascii="Cambria Math" w:hAnsi="Cambria Math"/>
                              <w:i/>
                              <w:sz w:val="22"/>
                              <w:szCs w:val="22"/>
                            </w:rPr>
                          </m:ctrlPr>
                        </m:sSubSupPr>
                        <m:e>
                          <m:r>
                            <w:rPr>
                              <w:rFonts w:ascii="Cambria Math" w:hAnsi="Cambria Math"/>
                            </w:rPr>
                            <m:t>p</m:t>
                          </m:r>
                        </m:e>
                        <m:sub>
                          <m:r>
                            <w:rPr>
                              <w:rFonts w:ascii="Cambria Math" w:hAnsi="Cambria Math"/>
                            </w:rPr>
                            <m:t>i</m:t>
                          </m:r>
                        </m:sub>
                        <m:sup>
                          <m:r>
                            <w:rPr>
                              <w:rFonts w:ascii="Cambria Math" w:hAnsi="Cambria Math"/>
                            </w:rPr>
                            <m:t>c</m:t>
                          </m:r>
                        </m:sup>
                      </m:sSubSup>
                      <m:r>
                        <w:rPr>
                          <w:rFonts w:ascii="Cambria Math" w:hAnsi="Cambria Math"/>
                        </w:rPr>
                        <m:t>)</m:t>
                      </m:r>
                    </m:e>
                    <m:sup>
                      <m:r>
                        <w:rPr>
                          <w:rFonts w:ascii="Cambria Math" w:hAnsi="Cambria Math"/>
                        </w:rPr>
                        <m:t>2</m:t>
                      </m:r>
                    </m:sup>
                  </m:sSup>
                </m:e>
              </m:nary>
            </m:den>
          </m:f>
          <m:r>
            <w:rPr>
              <w:rFonts w:ascii="Cambria Math" w:hAnsi="Cambria Math"/>
            </w:rPr>
            <m:t>.</m:t>
          </m:r>
        </m:oMath>
      </m:oMathPara>
    </w:p>
    <w:p w14:paraId="2426D786" w14:textId="77777777" w:rsidR="00915F02" w:rsidRDefault="00915F02" w:rsidP="00CB5FF2">
      <w:pPr>
        <w:widowControl w:val="0"/>
        <w:autoSpaceDE w:val="0"/>
        <w:autoSpaceDN w:val="0"/>
        <w:adjustRightInd w:val="0"/>
        <w:spacing w:after="120" w:line="480" w:lineRule="auto"/>
        <w:jc w:val="both"/>
        <w:rPr>
          <w:rFonts w:ascii="Times" w:hAnsi="Times"/>
          <w:b/>
        </w:rPr>
      </w:pPr>
    </w:p>
    <w:p w14:paraId="3D0A0771" w14:textId="77777777" w:rsidR="00CB5FF2" w:rsidRPr="00AC5EBF" w:rsidRDefault="00CB5FF2" w:rsidP="00CB5FF2">
      <w:pPr>
        <w:widowControl w:val="0"/>
        <w:autoSpaceDE w:val="0"/>
        <w:autoSpaceDN w:val="0"/>
        <w:adjustRightInd w:val="0"/>
        <w:spacing w:after="120" w:line="480" w:lineRule="auto"/>
        <w:jc w:val="both"/>
        <w:rPr>
          <w:rFonts w:ascii="Times" w:hAnsi="Times"/>
          <w:b/>
        </w:rPr>
      </w:pPr>
      <w:r w:rsidRPr="00AC5EBF">
        <w:rPr>
          <w:rFonts w:ascii="Times" w:hAnsi="Times"/>
          <w:b/>
        </w:rPr>
        <w:t xml:space="preserve">The </w:t>
      </w:r>
      <w:proofErr w:type="spellStart"/>
      <w:r w:rsidRPr="00AC5EBF">
        <w:rPr>
          <w:rFonts w:ascii="Times" w:hAnsi="Times"/>
          <w:b/>
        </w:rPr>
        <w:t>Morisita</w:t>
      </w:r>
      <w:proofErr w:type="spellEnd"/>
      <w:r w:rsidRPr="00AC5EBF">
        <w:rPr>
          <w:rFonts w:ascii="Times" w:hAnsi="Times"/>
          <w:b/>
        </w:rPr>
        <w:t xml:space="preserve"> index is a robust measure for studying the </w:t>
      </w:r>
      <w:proofErr w:type="spellStart"/>
      <w:r w:rsidRPr="00AC5EBF">
        <w:rPr>
          <w:rFonts w:ascii="Times" w:hAnsi="Times"/>
          <w:b/>
        </w:rPr>
        <w:t>tumor</w:t>
      </w:r>
      <w:proofErr w:type="spellEnd"/>
      <w:r w:rsidRPr="00AC5EBF">
        <w:rPr>
          <w:rFonts w:ascii="Times" w:hAnsi="Times"/>
          <w:b/>
        </w:rPr>
        <w:t xml:space="preserve"> microenvironment</w:t>
      </w:r>
    </w:p>
    <w:p w14:paraId="44CC44C1" w14:textId="7B685E2C" w:rsidR="00CB5FF2" w:rsidRPr="00AC5EBF" w:rsidRDefault="00CB5FF2" w:rsidP="00CB5FF2">
      <w:pPr>
        <w:spacing w:line="480" w:lineRule="auto"/>
        <w:jc w:val="both"/>
        <w:rPr>
          <w:rFonts w:ascii="Times" w:hAnsi="Times"/>
        </w:rPr>
      </w:pPr>
      <w:r w:rsidRPr="00AC5EBF">
        <w:rPr>
          <w:rFonts w:ascii="Times" w:hAnsi="Times"/>
        </w:rPr>
        <w:t xml:space="preserve">Because cell densities vary across a tissue section, we tested a </w:t>
      </w:r>
      <w:proofErr w:type="spellStart"/>
      <w:r w:rsidRPr="00AC5EBF">
        <w:rPr>
          <w:rFonts w:ascii="Times" w:hAnsi="Times"/>
        </w:rPr>
        <w:t>Voronoi</w:t>
      </w:r>
      <w:proofErr w:type="spellEnd"/>
      <w:r w:rsidRPr="00AC5EBF">
        <w:rPr>
          <w:rFonts w:ascii="Times" w:hAnsi="Times"/>
        </w:rPr>
        <w:t xml:space="preserve"> tessellation of the images, so as to produce a more Normal distribution of cell numbers across the regions being measured</w:t>
      </w:r>
      <w:r w:rsidRPr="00AC5EBF" w:rsidDel="00666EFB">
        <w:rPr>
          <w:rFonts w:ascii="Times" w:hAnsi="Times"/>
        </w:rPr>
        <w:t xml:space="preserve"> (Methods, Fig. </w:t>
      </w:r>
      <w:proofErr w:type="gramStart"/>
      <w:r w:rsidRPr="00AC5EBF" w:rsidDel="00666EFB">
        <w:rPr>
          <w:rFonts w:ascii="Times" w:hAnsi="Times"/>
        </w:rPr>
        <w:t>S</w:t>
      </w:r>
      <w:r w:rsidR="005B1496">
        <w:rPr>
          <w:rFonts w:ascii="Times" w:hAnsi="Times"/>
        </w:rPr>
        <w:t>2</w:t>
      </w:r>
      <w:r w:rsidRPr="00AC5EBF" w:rsidDel="00666EFB">
        <w:rPr>
          <w:rFonts w:ascii="Times" w:hAnsi="Times"/>
        </w:rPr>
        <w:t>a for a</w:t>
      </w:r>
      <w:r w:rsidRPr="00AC5EBF">
        <w:rPr>
          <w:rFonts w:ascii="Times" w:hAnsi="Times"/>
        </w:rPr>
        <w:t>n</w:t>
      </w:r>
      <w:r w:rsidRPr="00AC5EBF" w:rsidDel="00666EFB">
        <w:rPr>
          <w:rFonts w:ascii="Times" w:hAnsi="Times"/>
        </w:rPr>
        <w:t xml:space="preserve"> example).</w:t>
      </w:r>
      <w:proofErr w:type="gramEnd"/>
      <w:r w:rsidRPr="00AC5EBF" w:rsidDel="00666EFB">
        <w:rPr>
          <w:rFonts w:ascii="Times" w:hAnsi="Times"/>
        </w:rPr>
        <w:t xml:space="preserve"> </w:t>
      </w:r>
      <w:r w:rsidRPr="00AC5EBF">
        <w:rPr>
          <w:rFonts w:ascii="Times" w:hAnsi="Times"/>
        </w:rPr>
        <w:t>Subsequently, the number of cancer cells and the number of lymphocytes within each of th</w:t>
      </w:r>
      <w:r w:rsidR="005B1496">
        <w:rPr>
          <w:rFonts w:ascii="Times" w:hAnsi="Times"/>
        </w:rPr>
        <w:t>e polygons was obtained (Fig. S2</w:t>
      </w:r>
      <w:r w:rsidRPr="00AC5EBF">
        <w:rPr>
          <w:rFonts w:ascii="Times" w:hAnsi="Times"/>
        </w:rPr>
        <w:t xml:space="preserve">b). </w:t>
      </w:r>
      <w:r w:rsidR="00DD7664" w:rsidRPr="007E3731">
        <w:rPr>
          <w:rFonts w:ascii="Times" w:hAnsi="Times"/>
        </w:rPr>
        <w:t xml:space="preserve">Anderson-Darling normality test was used for assessing the distribution of cell numbers in polygons for each </w:t>
      </w:r>
      <w:proofErr w:type="spellStart"/>
      <w:r w:rsidR="00DD7664" w:rsidRPr="007E3731">
        <w:rPr>
          <w:rFonts w:ascii="Times" w:hAnsi="Times"/>
        </w:rPr>
        <w:t>tumor</w:t>
      </w:r>
      <w:proofErr w:type="spellEnd"/>
      <w:r w:rsidR="00DD7664" w:rsidRPr="007E3731">
        <w:rPr>
          <w:rFonts w:ascii="Times" w:hAnsi="Times"/>
        </w:rPr>
        <w:t xml:space="preserve">. For 50 randomly selected </w:t>
      </w:r>
      <w:proofErr w:type="spellStart"/>
      <w:r w:rsidR="00DD7664" w:rsidRPr="007E3731">
        <w:rPr>
          <w:rFonts w:ascii="Times" w:hAnsi="Times"/>
        </w:rPr>
        <w:t>tumors</w:t>
      </w:r>
      <w:proofErr w:type="spellEnd"/>
      <w:r w:rsidR="00DD7664" w:rsidRPr="007E3731">
        <w:rPr>
          <w:rFonts w:ascii="Times" w:hAnsi="Times"/>
        </w:rPr>
        <w:t xml:space="preserve">, the numbers of cells per square and per tessellation polygon were computed </w:t>
      </w:r>
      <w:proofErr w:type="gramStart"/>
      <w:r w:rsidR="00DD7664" w:rsidRPr="007E3731">
        <w:rPr>
          <w:rFonts w:ascii="Times" w:hAnsi="Times"/>
        </w:rPr>
        <w:t>and</w:t>
      </w:r>
      <w:proofErr w:type="gramEnd"/>
      <w:r w:rsidR="00DD7664" w:rsidRPr="007E3731">
        <w:rPr>
          <w:rFonts w:ascii="Times" w:hAnsi="Times"/>
        </w:rPr>
        <w:t xml:space="preserve"> Anderson-Darling test was employed to compute the A statistics, for which a high score indicates that the distribution is less likely to be normal-like. </w:t>
      </w:r>
      <w:r w:rsidRPr="00AC5EBF">
        <w:rPr>
          <w:rFonts w:ascii="Times" w:hAnsi="Times"/>
        </w:rPr>
        <w:t xml:space="preserve">As we hypothesized, the </w:t>
      </w:r>
      <w:proofErr w:type="spellStart"/>
      <w:r w:rsidRPr="00AC5EBF">
        <w:rPr>
          <w:rFonts w:ascii="Times" w:hAnsi="Times"/>
        </w:rPr>
        <w:t>Voronoi</w:t>
      </w:r>
      <w:proofErr w:type="spellEnd"/>
      <w:r w:rsidRPr="00AC5EBF">
        <w:rPr>
          <w:rFonts w:ascii="Times" w:hAnsi="Times"/>
        </w:rPr>
        <w:t xml:space="preserve"> tessellation indeed generated a more normal-like distribution of cell numbers in the polygons than the Square tessellation as </w:t>
      </w:r>
      <w:r w:rsidRPr="00AC5EBF">
        <w:rPr>
          <w:rFonts w:ascii="Times New Roman" w:hAnsi="Times New Roman" w:cs="Times New Roman"/>
        </w:rPr>
        <w:t xml:space="preserve">determined by the Anderson-Darling normality test </w:t>
      </w:r>
      <w:r w:rsidRPr="003F1CEE">
        <w:rPr>
          <w:rFonts w:ascii="Times New Roman" w:hAnsi="Times New Roman" w:cs="Times New Roman"/>
          <w:sz w:val="22"/>
          <w:szCs w:val="22"/>
        </w:rPr>
        <w:fldChar w:fldCharType="begin" w:fldLock="1"/>
      </w:r>
      <w:r w:rsidR="000D7A1F">
        <w:rPr>
          <w:rFonts w:ascii="Times New Roman" w:hAnsi="Times New Roman" w:cs="Times New Roman"/>
        </w:rPr>
        <w:instrText>ADDIN CSL_CITATION { "citationItems" : [ { "id" : "ITEM-1", "itemData" : { "DOI" : "10.1214/aoms/1177729437", "ISBN" : "0003-4851", "ISSN" : "0003-4851", "abstract" : "The statistical problem treated is that of testing the hypothesis that n independent, identically distributed random variables have a specified continuous distribution function F(x). If Fn(x) is the empirical cumulative distribution function and \u03c8(t) is some nonnegative weight function (0 \u2264 t \u2264 1), we consider $n^{\\frac{1}{2}} \\sup_{-\\infty&lt;x&lt;\\infty} \\{| F(x) - F_n(x)| \\psi^\\frac{1}{2}\\lbrack F(x) \\rbrack\\}$ and n\u222b\u221e -\u221e[ F(x) - Fn(x) ]2 \u03c8[ F(x)] dF(x). A general method for calculating the limiting distributions of these criteria is developed by reducing them to corresponding problems in stochastic processes, which in turn lead to more or less classical eigenvalue and boundary value problems for special classes of differential equations. For certain weight functions including \u03c8 = 1 and \u03c8 = 1/[ t(1 - t) ] we give explicit limiting distributions. A table of the asymptotic distribution of the von Mises \u03c92 criterion is given.", "author" : [ { "dropping-particle" : "", "family" : "Anderson", "given" : "T. W.", "non-dropping-particle" : "", "parse-names" : false, "suffix" : "" }, { "dropping-particle" : "", "family" : "Darling", "given" : "D. A.", "non-dropping-particle" : "", "parse-names" : false, "suffix" : "" } ], "container-title" : "The Annals of Mathematical Statistics", "id" : "ITEM-1", "issued" : { "date-parts" : [ [ "1952" ] ] }, "page" : "193-212", "title" : "Asymptotic Theory of Certain \"Goodness of Fit\" Criteria Based on Stochastic Processes", "type" : "article", "volume" : "23" }, "uris" : [ "http://www.mendeley.com/documents/?uuid=ae803153-1067-4a07-807c-68b0618bc809" ] } ], "mendeley" : { "formattedCitation" : "(5)", "plainTextFormattedCitation" : "(5)", "previouslyFormattedCitation" : "(32)" }, "properties" : { "noteIndex" : 0 }, "schema" : "https://github.com/citation-style-language/schema/raw/master/csl-citation.json" }</w:instrText>
      </w:r>
      <w:r w:rsidRPr="003F1CEE">
        <w:rPr>
          <w:rFonts w:ascii="Times New Roman" w:hAnsi="Times New Roman" w:cs="Times New Roman"/>
          <w:sz w:val="22"/>
          <w:szCs w:val="22"/>
        </w:rPr>
        <w:fldChar w:fldCharType="separate"/>
      </w:r>
      <w:r w:rsidR="000D7A1F" w:rsidRPr="000D7A1F">
        <w:rPr>
          <w:rFonts w:ascii="Times New Roman" w:hAnsi="Times New Roman" w:cs="Times New Roman"/>
          <w:noProof/>
        </w:rPr>
        <w:t>(5)</w:t>
      </w:r>
      <w:r w:rsidRPr="003F1CEE">
        <w:rPr>
          <w:rFonts w:ascii="Times New Roman" w:hAnsi="Times New Roman" w:cs="Times New Roman"/>
          <w:sz w:val="22"/>
          <w:szCs w:val="22"/>
        </w:rPr>
        <w:fldChar w:fldCharType="end"/>
      </w:r>
      <w:r w:rsidRPr="00AC5EBF">
        <w:rPr>
          <w:rFonts w:ascii="Times New Roman" w:hAnsi="Times New Roman" w:cs="Times New Roman"/>
        </w:rPr>
        <w:t xml:space="preserve"> (mean A=7.7 for </w:t>
      </w:r>
      <w:proofErr w:type="spellStart"/>
      <w:r w:rsidRPr="00AC5EBF">
        <w:rPr>
          <w:rFonts w:ascii="Times New Roman" w:hAnsi="Times New Roman" w:cs="Times New Roman"/>
        </w:rPr>
        <w:t>Voronoi</w:t>
      </w:r>
      <w:proofErr w:type="spellEnd"/>
      <w:r w:rsidRPr="00AC5EBF">
        <w:rPr>
          <w:rFonts w:ascii="Times New Roman" w:hAnsi="Times New Roman" w:cs="Times New Roman"/>
        </w:rPr>
        <w:t xml:space="preserve"> and 14.9 for square, averaged</w:t>
      </w:r>
      <w:r w:rsidR="005B1496">
        <w:rPr>
          <w:rFonts w:ascii="Times New Roman" w:hAnsi="Times New Roman" w:cs="Times New Roman"/>
        </w:rPr>
        <w:t xml:space="preserve"> over 50 random samples; Fig. S2</w:t>
      </w:r>
      <w:r w:rsidRPr="00AC5EBF">
        <w:rPr>
          <w:rFonts w:ascii="Times New Roman" w:hAnsi="Times New Roman" w:cs="Times New Roman"/>
        </w:rPr>
        <w:t xml:space="preserve">c-d). </w:t>
      </w:r>
      <w:r w:rsidRPr="00AC5EBF">
        <w:rPr>
          <w:rFonts w:ascii="Times" w:hAnsi="Times"/>
        </w:rPr>
        <w:t xml:space="preserve">Scores from the </w:t>
      </w:r>
      <w:proofErr w:type="spellStart"/>
      <w:r w:rsidRPr="00AC5EBF">
        <w:rPr>
          <w:rFonts w:ascii="Times" w:hAnsi="Times"/>
        </w:rPr>
        <w:t>Morisita</w:t>
      </w:r>
      <w:proofErr w:type="spellEnd"/>
      <w:r w:rsidRPr="00AC5EBF">
        <w:rPr>
          <w:rFonts w:ascii="Times" w:hAnsi="Times"/>
        </w:rPr>
        <w:t xml:space="preserve"> index calculated using both lattice tessellation methods were highly similar (</w:t>
      </w:r>
      <w:proofErr w:type="spellStart"/>
      <w:r w:rsidRPr="00AC5EBF">
        <w:rPr>
          <w:rFonts w:ascii="Times" w:hAnsi="Times"/>
        </w:rPr>
        <w:t>cor</w:t>
      </w:r>
      <w:proofErr w:type="spellEnd"/>
      <w:r w:rsidRPr="00AC5EBF">
        <w:rPr>
          <w:rFonts w:ascii="Times" w:hAnsi="Times"/>
        </w:rPr>
        <w:t>=0.96, Fig. S</w:t>
      </w:r>
      <w:r w:rsidR="005B1496">
        <w:rPr>
          <w:rFonts w:ascii="Times" w:hAnsi="Times"/>
        </w:rPr>
        <w:t>3</w:t>
      </w:r>
      <w:r w:rsidRPr="00AC5EBF">
        <w:rPr>
          <w:rFonts w:ascii="Times" w:hAnsi="Times"/>
        </w:rPr>
        <w:t>a), supporting its robustness to data distribution. In contrast, scores from Pearson correlation based on the two tessellation methods were less similar (</w:t>
      </w:r>
      <w:proofErr w:type="spellStart"/>
      <w:r w:rsidRPr="00AC5EBF">
        <w:rPr>
          <w:rFonts w:ascii="Times" w:hAnsi="Times"/>
        </w:rPr>
        <w:t>cor</w:t>
      </w:r>
      <w:proofErr w:type="spellEnd"/>
      <w:r w:rsidRPr="00AC5EBF">
        <w:rPr>
          <w:rFonts w:ascii="Times" w:hAnsi="Times"/>
        </w:rPr>
        <w:t>=0.66, Fig. S</w:t>
      </w:r>
      <w:r w:rsidR="005B1496">
        <w:rPr>
          <w:rFonts w:ascii="Times" w:hAnsi="Times"/>
        </w:rPr>
        <w:t>3</w:t>
      </w:r>
      <w:r w:rsidRPr="00AC5EBF">
        <w:rPr>
          <w:rFonts w:ascii="Times" w:hAnsi="Times"/>
        </w:rPr>
        <w:t xml:space="preserve">b). Except for Pearson correlation with square lattice, both measures based on the two tessellations were significantly associated with breast cancer prognosis. The </w:t>
      </w:r>
      <w:proofErr w:type="spellStart"/>
      <w:r w:rsidRPr="00AC5EBF">
        <w:rPr>
          <w:rFonts w:ascii="Times" w:hAnsi="Times"/>
        </w:rPr>
        <w:t>Voronoi</w:t>
      </w:r>
      <w:proofErr w:type="spellEnd"/>
      <w:r w:rsidRPr="00AC5EBF">
        <w:rPr>
          <w:rFonts w:ascii="Times" w:hAnsi="Times"/>
        </w:rPr>
        <w:t xml:space="preserve"> tessellation improved the predictive power of the Pearson correlation for disease-specific survival (p=0.0029 in the </w:t>
      </w:r>
      <w:proofErr w:type="spellStart"/>
      <w:r w:rsidRPr="00AC5EBF">
        <w:rPr>
          <w:rFonts w:ascii="Times" w:hAnsi="Times"/>
        </w:rPr>
        <w:t>Voronoi</w:t>
      </w:r>
      <w:proofErr w:type="spellEnd"/>
      <w:r w:rsidRPr="00AC5EBF">
        <w:rPr>
          <w:rFonts w:ascii="Times" w:hAnsi="Times"/>
        </w:rPr>
        <w:t xml:space="preserve"> tessellation and p=0.099 on the square tessellation, Validation cohort; Fig. S</w:t>
      </w:r>
      <w:r w:rsidR="005B1496">
        <w:rPr>
          <w:rFonts w:ascii="Times" w:hAnsi="Times"/>
        </w:rPr>
        <w:t>3</w:t>
      </w:r>
      <w:r w:rsidRPr="00AC5EBF">
        <w:rPr>
          <w:rFonts w:ascii="Times" w:hAnsi="Times"/>
        </w:rPr>
        <w:t xml:space="preserve">c). However, the </w:t>
      </w:r>
      <w:proofErr w:type="spellStart"/>
      <w:r w:rsidRPr="00AC5EBF">
        <w:rPr>
          <w:rFonts w:ascii="Times" w:hAnsi="Times"/>
        </w:rPr>
        <w:t>Morisita</w:t>
      </w:r>
      <w:proofErr w:type="spellEnd"/>
      <w:r w:rsidRPr="00AC5EBF">
        <w:rPr>
          <w:rFonts w:ascii="Times" w:hAnsi="Times"/>
        </w:rPr>
        <w:t xml:space="preserve"> index was highly statistically significant (p&lt;0.001) for both cohorts (</w:t>
      </w:r>
      <w:r w:rsidR="005B1496">
        <w:rPr>
          <w:rFonts w:ascii="Times" w:hAnsi="Times"/>
        </w:rPr>
        <w:t>Fig. S3</w:t>
      </w:r>
      <w:r w:rsidRPr="00AC5EBF">
        <w:rPr>
          <w:rFonts w:ascii="Times" w:hAnsi="Times"/>
        </w:rPr>
        <w:t xml:space="preserve">d, Table S1). </w:t>
      </w:r>
    </w:p>
    <w:p w14:paraId="6B767D9F" w14:textId="77777777" w:rsidR="00CB5FF2" w:rsidRPr="00AC5EBF" w:rsidRDefault="00CB5FF2" w:rsidP="00CB5FF2">
      <w:pPr>
        <w:spacing w:line="480" w:lineRule="auto"/>
        <w:jc w:val="both"/>
        <w:rPr>
          <w:rFonts w:ascii="Times" w:hAnsi="Times"/>
        </w:rPr>
      </w:pPr>
    </w:p>
    <w:p w14:paraId="3BBE30FA" w14:textId="6D06D609" w:rsidR="005022C4" w:rsidRDefault="00CB5FF2" w:rsidP="00CB5FF2">
      <w:pPr>
        <w:spacing w:line="480" w:lineRule="auto"/>
        <w:jc w:val="both"/>
        <w:rPr>
          <w:rFonts w:ascii="Times" w:hAnsi="Times"/>
        </w:rPr>
      </w:pPr>
      <w:r w:rsidRPr="00AC5EBF">
        <w:rPr>
          <w:rFonts w:ascii="Times" w:hAnsi="Times"/>
        </w:rPr>
        <w:t xml:space="preserve">Since spatial scales have been shown to be important parameters of ecological studies </w:t>
      </w:r>
      <w:r w:rsidRPr="003F1CEE">
        <w:rPr>
          <w:rFonts w:ascii="Times" w:hAnsi="Times"/>
          <w:sz w:val="22"/>
          <w:szCs w:val="22"/>
        </w:rPr>
        <w:fldChar w:fldCharType="begin" w:fldLock="1"/>
      </w:r>
      <w:r w:rsidR="000D7A1F">
        <w:rPr>
          <w:rFonts w:ascii="Times" w:hAnsi="Times"/>
        </w:rPr>
        <w:instrText>ADDIN CSL_CITATION { "citationItems" : [ { "id" : "ITEM-1", "itemData" : { "DOI" : "10.2307/1940245", "ISBN" : "0012-9658", "ISSN" : "00129658", "PMID" : "132", "abstract" : "The signs and strengths of spatial correlations between densities of predators and their prey were scale dependent both in simulations and when calculated from acoustic transects across nearshore distributions of Atlantic cod (Gadus morhua), and its prey, capelin (Mallotus villosus). Spectral analyses of 1985 and 1986 transects indicated that spatial correlation (coherence) varied relative to: (1) the occupation of thermal refuge areas by capelin (sea temperatures &lt; -0.5% or &gt; 8.5.degree. C), (2) the aggregation dimensions of each species, and (3) the activity level of the predator. When capelin did not occupy thermal refuges, cod and capelin densities were coherent across a wide range of scales (2-30 km). At large scales (&gt; 4-10 km) densities were in phase (positively correlated), but a scales less than aggregation dimensions (3-5 km), densities were out of phase (negatively correlated). At the smallest scales measured (2-3 km), densities exhibited maximum negative correlation in both years. When capelin were aggregated within thermal refuges, predator-prey densities were coherent (in phase) only at scales larger than those of the refuges. When actually feeding, cold achieved coherent, in-phase distributions with capelin at scales as small as 3.5 m.", "author" : [ { "dropping-particle" : "", "family" : "Rose", "given" : "G. A.", "non-dropping-particle" : "", "parse-names" : false, "suffix" : "" }, { "dropping-particle" : "", "family" : "Leggett", "given" : "W. C.", "non-dropping-particle" : "", "parse-names" : false, "suffix" : "" } ], "container-title" : "Ecology", "id" : "ITEM-1", "issued" : { "date-parts" : [ [ "1990" ] ] }, "page" : "33-43", "title" : "The importance of scale to predator-prey spatial correlations: an example of Atlantic fishes", "type" : "article", "volume" : "71" }, "uris" : [ "http://www.mendeley.com/documents/?uuid=1883faa0-0556-45bd-a23f-c65eb0887368", "http://www.mendeley.com/documents/?uuid=a64e25b5-945a-4721-954a-e2f26c418728" ] } ], "mendeley" : { "formattedCitation" : "(6)", "plainTextFormattedCitation" : "(6)", "previouslyFormattedCitation" : "(33)" }, "properties" : { "noteIndex" : 0 }, "schema" : "https://github.com/citation-style-language/schema/raw/master/csl-citation.json" }</w:instrText>
      </w:r>
      <w:r w:rsidRPr="003F1CEE">
        <w:rPr>
          <w:rFonts w:ascii="Times" w:hAnsi="Times"/>
          <w:sz w:val="22"/>
          <w:szCs w:val="22"/>
        </w:rPr>
        <w:fldChar w:fldCharType="separate"/>
      </w:r>
      <w:r w:rsidR="000D7A1F" w:rsidRPr="000D7A1F">
        <w:rPr>
          <w:rFonts w:ascii="Times" w:hAnsi="Times"/>
          <w:noProof/>
        </w:rPr>
        <w:t>(6)</w:t>
      </w:r>
      <w:r w:rsidRPr="003F1CEE">
        <w:rPr>
          <w:rFonts w:ascii="Times" w:hAnsi="Times"/>
          <w:sz w:val="22"/>
          <w:szCs w:val="22"/>
        </w:rPr>
        <w:fldChar w:fldCharType="end"/>
      </w:r>
      <w:r w:rsidRPr="00AC5EBF">
        <w:rPr>
          <w:rFonts w:ascii="Times" w:hAnsi="Times"/>
        </w:rPr>
        <w:t xml:space="preserve">, we investigated the influence on our analysis from the use of different spatial scales for both square and </w:t>
      </w:r>
      <w:proofErr w:type="spellStart"/>
      <w:r w:rsidRPr="00AC5EBF">
        <w:rPr>
          <w:rFonts w:ascii="Times" w:hAnsi="Times"/>
        </w:rPr>
        <w:t>Voronoi</w:t>
      </w:r>
      <w:proofErr w:type="spellEnd"/>
      <w:r w:rsidRPr="00AC5EBF">
        <w:rPr>
          <w:rFonts w:ascii="Times" w:hAnsi="Times"/>
        </w:rPr>
        <w:t xml:space="preserve"> tessellations. </w:t>
      </w:r>
      <w:proofErr w:type="spellStart"/>
      <w:r w:rsidRPr="00AC5EBF">
        <w:rPr>
          <w:rFonts w:ascii="Times" w:hAnsi="Times"/>
        </w:rPr>
        <w:t>Morisita</w:t>
      </w:r>
      <w:proofErr w:type="spellEnd"/>
      <w:r w:rsidRPr="00AC5EBF">
        <w:rPr>
          <w:rFonts w:ascii="Times" w:hAnsi="Times"/>
        </w:rPr>
        <w:t xml:space="preserve"> index and Pearson correlation were computed based on square and </w:t>
      </w:r>
      <w:proofErr w:type="spellStart"/>
      <w:r w:rsidRPr="00AC5EBF">
        <w:rPr>
          <w:rFonts w:ascii="Times" w:hAnsi="Times"/>
        </w:rPr>
        <w:t>Voronoi</w:t>
      </w:r>
      <w:proofErr w:type="spellEnd"/>
      <w:r w:rsidRPr="00AC5EBF">
        <w:rPr>
          <w:rFonts w:ascii="Times" w:hAnsi="Times"/>
        </w:rPr>
        <w:t xml:space="preserve"> tessellation of eight different scales, where larger scale indicates larger regions and thus a smaller number of data points per </w:t>
      </w:r>
      <w:proofErr w:type="spellStart"/>
      <w:r w:rsidRPr="00AC5EBF">
        <w:rPr>
          <w:rFonts w:ascii="Times" w:hAnsi="Times"/>
        </w:rPr>
        <w:t>tumor</w:t>
      </w:r>
      <w:proofErr w:type="spellEnd"/>
      <w:r w:rsidRPr="00AC5EBF">
        <w:rPr>
          <w:rFonts w:ascii="Times" w:hAnsi="Times"/>
        </w:rPr>
        <w:t xml:space="preserve"> (Methods). Correlation </w:t>
      </w:r>
      <w:proofErr w:type="spellStart"/>
      <w:r w:rsidRPr="00AC5EBF">
        <w:rPr>
          <w:rFonts w:ascii="Times" w:hAnsi="Times"/>
        </w:rPr>
        <w:t>heatmaps</w:t>
      </w:r>
      <w:proofErr w:type="spellEnd"/>
      <w:r w:rsidRPr="00AC5EBF">
        <w:rPr>
          <w:rFonts w:ascii="Times" w:hAnsi="Times"/>
        </w:rPr>
        <w:t xml:space="preserve"> of these results show highly correlated </w:t>
      </w:r>
      <w:proofErr w:type="spellStart"/>
      <w:r w:rsidRPr="00AC5EBF">
        <w:rPr>
          <w:rFonts w:ascii="Times" w:hAnsi="Times"/>
        </w:rPr>
        <w:t>Morisita</w:t>
      </w:r>
      <w:proofErr w:type="spellEnd"/>
      <w:r w:rsidRPr="00AC5EBF">
        <w:rPr>
          <w:rFonts w:ascii="Times" w:hAnsi="Times"/>
        </w:rPr>
        <w:t xml:space="preserve"> index regardless of the type o</w:t>
      </w:r>
      <w:r w:rsidR="005B1496">
        <w:rPr>
          <w:rFonts w:ascii="Times" w:hAnsi="Times"/>
        </w:rPr>
        <w:t>r scale of tessellation (Fig. S4</w:t>
      </w:r>
      <w:r w:rsidRPr="00AC5EBF">
        <w:rPr>
          <w:rFonts w:ascii="Times" w:hAnsi="Times"/>
        </w:rPr>
        <w:t xml:space="preserve">). Pearson correlation computed with </w:t>
      </w:r>
      <w:proofErr w:type="spellStart"/>
      <w:r w:rsidRPr="00AC5EBF">
        <w:rPr>
          <w:rFonts w:ascii="Times" w:hAnsi="Times"/>
        </w:rPr>
        <w:t>Voronoi</w:t>
      </w:r>
      <w:proofErr w:type="spellEnd"/>
      <w:r w:rsidRPr="00AC5EBF">
        <w:rPr>
          <w:rFonts w:ascii="Times" w:hAnsi="Times"/>
        </w:rPr>
        <w:t xml:space="preserve"> polygons show highly variable results, and correlations computed with squares were correlated among </w:t>
      </w:r>
      <w:proofErr w:type="gramStart"/>
      <w:r w:rsidRPr="00AC5EBF">
        <w:rPr>
          <w:rFonts w:ascii="Times" w:hAnsi="Times"/>
        </w:rPr>
        <w:t>themselves</w:t>
      </w:r>
      <w:proofErr w:type="gramEnd"/>
      <w:r w:rsidRPr="00AC5EBF">
        <w:rPr>
          <w:rFonts w:ascii="Times" w:hAnsi="Times"/>
        </w:rPr>
        <w:t xml:space="preserve"> but not with </w:t>
      </w:r>
      <w:proofErr w:type="spellStart"/>
      <w:r w:rsidRPr="00AC5EBF">
        <w:rPr>
          <w:rFonts w:ascii="Times" w:hAnsi="Times"/>
        </w:rPr>
        <w:t>Morisita</w:t>
      </w:r>
      <w:proofErr w:type="spellEnd"/>
      <w:r w:rsidRPr="00AC5EBF">
        <w:rPr>
          <w:rFonts w:ascii="Times" w:hAnsi="Times"/>
        </w:rPr>
        <w:t xml:space="preserve"> scores (Fig. S</w:t>
      </w:r>
      <w:r w:rsidR="005B1496">
        <w:rPr>
          <w:rFonts w:ascii="Times" w:hAnsi="Times"/>
        </w:rPr>
        <w:t>4</w:t>
      </w:r>
      <w:r w:rsidRPr="00AC5EBF">
        <w:rPr>
          <w:rFonts w:ascii="Times" w:hAnsi="Times"/>
        </w:rPr>
        <w:t xml:space="preserve">). Analysis of their association with survival also shows that Pearson correlation and the </w:t>
      </w:r>
      <w:proofErr w:type="spellStart"/>
      <w:r w:rsidRPr="00AC5EBF">
        <w:rPr>
          <w:rFonts w:ascii="Times" w:hAnsi="Times"/>
        </w:rPr>
        <w:t>Morisita</w:t>
      </w:r>
      <w:proofErr w:type="spellEnd"/>
      <w:r w:rsidRPr="00AC5EBF">
        <w:rPr>
          <w:rFonts w:ascii="Times" w:hAnsi="Times"/>
        </w:rPr>
        <w:t xml:space="preserve"> index computed with </w:t>
      </w:r>
      <w:proofErr w:type="spellStart"/>
      <w:r w:rsidRPr="00AC5EBF">
        <w:rPr>
          <w:rFonts w:ascii="Times" w:hAnsi="Times"/>
        </w:rPr>
        <w:t>Voronoi</w:t>
      </w:r>
      <w:proofErr w:type="spellEnd"/>
      <w:r w:rsidRPr="00AC5EBF">
        <w:rPr>
          <w:rFonts w:ascii="Times" w:hAnsi="Times"/>
        </w:rPr>
        <w:t xml:space="preserve"> tessellation yielded more variable result over different scales (Fig. S</w:t>
      </w:r>
      <w:r w:rsidR="005B1496">
        <w:rPr>
          <w:rFonts w:ascii="Times" w:hAnsi="Times"/>
        </w:rPr>
        <w:t>5</w:t>
      </w:r>
      <w:r w:rsidRPr="00AC5EBF">
        <w:rPr>
          <w:rFonts w:ascii="Times" w:hAnsi="Times"/>
        </w:rPr>
        <w:t xml:space="preserve">a). In contrast, with square tessellation the </w:t>
      </w:r>
      <w:proofErr w:type="spellStart"/>
      <w:r w:rsidRPr="00AC5EBF">
        <w:rPr>
          <w:rFonts w:ascii="Times" w:hAnsi="Times"/>
        </w:rPr>
        <w:t>Morisita</w:t>
      </w:r>
      <w:proofErr w:type="spellEnd"/>
      <w:r w:rsidRPr="00AC5EBF">
        <w:rPr>
          <w:rFonts w:ascii="Times" w:hAnsi="Times"/>
        </w:rPr>
        <w:t xml:space="preserve"> index is consistently associated with survival over all scales (Fig. </w:t>
      </w:r>
      <w:r w:rsidR="00BA4662">
        <w:rPr>
          <w:rFonts w:ascii="Times" w:hAnsi="Times"/>
        </w:rPr>
        <w:t>S5</w:t>
      </w:r>
      <w:r w:rsidRPr="00AC5EBF">
        <w:rPr>
          <w:rFonts w:ascii="Times" w:hAnsi="Times"/>
        </w:rPr>
        <w:t xml:space="preserve">). These results demonstrate the robustness of the </w:t>
      </w:r>
      <w:proofErr w:type="spellStart"/>
      <w:r w:rsidRPr="00AC5EBF">
        <w:rPr>
          <w:rFonts w:ascii="Times" w:hAnsi="Times"/>
        </w:rPr>
        <w:t>Morisita</w:t>
      </w:r>
      <w:proofErr w:type="spellEnd"/>
      <w:r w:rsidRPr="00AC5EBF">
        <w:rPr>
          <w:rFonts w:ascii="Times" w:hAnsi="Times"/>
        </w:rPr>
        <w:t xml:space="preserve"> index for studying the </w:t>
      </w:r>
      <w:proofErr w:type="spellStart"/>
      <w:r w:rsidRPr="00AC5EBF">
        <w:rPr>
          <w:rFonts w:ascii="Times" w:hAnsi="Times"/>
        </w:rPr>
        <w:t>tumor</w:t>
      </w:r>
      <w:proofErr w:type="spellEnd"/>
      <w:r w:rsidRPr="00AC5EBF">
        <w:rPr>
          <w:rFonts w:ascii="Times" w:hAnsi="Times"/>
        </w:rPr>
        <w:t xml:space="preserve"> microenvironment over different spatial configurations, and we henceforth focused on the </w:t>
      </w:r>
      <w:proofErr w:type="spellStart"/>
      <w:r w:rsidRPr="00AC5EBF">
        <w:rPr>
          <w:rFonts w:ascii="Times" w:hAnsi="Times"/>
        </w:rPr>
        <w:t>Morisita</w:t>
      </w:r>
      <w:proofErr w:type="spellEnd"/>
      <w:r w:rsidRPr="00AC5EBF">
        <w:rPr>
          <w:rFonts w:ascii="Times" w:hAnsi="Times"/>
        </w:rPr>
        <w:t xml:space="preserve"> index based </w:t>
      </w:r>
      <w:proofErr w:type="gramStart"/>
      <w:r w:rsidRPr="00AC5EBF">
        <w:rPr>
          <w:rFonts w:ascii="Times" w:hAnsi="Times"/>
        </w:rPr>
        <w:t>on the simple 250</w:t>
      </w:r>
      <w:r w:rsidRPr="00AC5EBF">
        <w:rPr>
          <w:rFonts w:ascii="Times" w:hAnsi="Times" w:hint="eastAsia"/>
        </w:rPr>
        <w:t>μ</w:t>
      </w:r>
      <w:r w:rsidRPr="00AC5EBF">
        <w:rPr>
          <w:rFonts w:ascii="Times" w:hAnsi="Times"/>
        </w:rPr>
        <w:t>m-by-250</w:t>
      </w:r>
      <w:r w:rsidRPr="00AC5EBF">
        <w:rPr>
          <w:rFonts w:ascii="Times" w:hAnsi="Times" w:hint="eastAsia"/>
        </w:rPr>
        <w:t>μ</w:t>
      </w:r>
      <w:r w:rsidRPr="00AC5EBF">
        <w:rPr>
          <w:rFonts w:ascii="Times" w:hAnsi="Times"/>
        </w:rPr>
        <w:t>m square tessellation for our subsequent analyses</w:t>
      </w:r>
      <w:proofErr w:type="gramEnd"/>
      <w:r w:rsidRPr="00AC5EBF">
        <w:rPr>
          <w:rFonts w:ascii="Times" w:hAnsi="Times"/>
        </w:rPr>
        <w:t xml:space="preserve">.  </w:t>
      </w:r>
    </w:p>
    <w:p w14:paraId="0A69B62C" w14:textId="77777777" w:rsidR="00CB5FF2" w:rsidRDefault="00CB5FF2" w:rsidP="00CB5FF2">
      <w:pPr>
        <w:spacing w:line="480" w:lineRule="auto"/>
        <w:jc w:val="both"/>
        <w:rPr>
          <w:rFonts w:ascii="Times" w:hAnsi="Times"/>
        </w:rPr>
      </w:pPr>
    </w:p>
    <w:p w14:paraId="5B70B710" w14:textId="09931AC6" w:rsidR="0065178A" w:rsidRPr="00AC5EBF" w:rsidRDefault="0065178A" w:rsidP="0065178A">
      <w:pPr>
        <w:widowControl w:val="0"/>
        <w:autoSpaceDE w:val="0"/>
        <w:autoSpaceDN w:val="0"/>
        <w:adjustRightInd w:val="0"/>
        <w:spacing w:after="120" w:line="480" w:lineRule="auto"/>
        <w:jc w:val="both"/>
        <w:rPr>
          <w:rFonts w:ascii="Times" w:hAnsi="Times"/>
          <w:b/>
        </w:rPr>
      </w:pPr>
      <w:r w:rsidRPr="00AC5EBF">
        <w:rPr>
          <w:rFonts w:ascii="Times" w:hAnsi="Times"/>
          <w:b/>
        </w:rPr>
        <w:t xml:space="preserve">The prognostic value of immune-cancer </w:t>
      </w:r>
      <w:proofErr w:type="spellStart"/>
      <w:r w:rsidRPr="00AC5EBF">
        <w:rPr>
          <w:rFonts w:ascii="Times" w:hAnsi="Times"/>
          <w:b/>
        </w:rPr>
        <w:t>colocalization</w:t>
      </w:r>
      <w:proofErr w:type="spellEnd"/>
      <w:r w:rsidRPr="00AC5EBF">
        <w:rPr>
          <w:rFonts w:ascii="Times" w:hAnsi="Times"/>
          <w:b/>
        </w:rPr>
        <w:t xml:space="preserve"> is independent of </w:t>
      </w:r>
      <w:proofErr w:type="spellStart"/>
      <w:r w:rsidRPr="00AC5EBF">
        <w:rPr>
          <w:rFonts w:ascii="Times" w:hAnsi="Times"/>
          <w:b/>
        </w:rPr>
        <w:t>clinicopathologic</w:t>
      </w:r>
      <w:proofErr w:type="spellEnd"/>
      <w:r w:rsidRPr="00AC5EBF">
        <w:rPr>
          <w:rFonts w:ascii="Times" w:hAnsi="Times"/>
          <w:b/>
        </w:rPr>
        <w:t xml:space="preserve"> variables</w:t>
      </w:r>
      <w:r w:rsidR="00A51CBC">
        <w:rPr>
          <w:rFonts w:ascii="Times" w:hAnsi="Times"/>
          <w:b/>
        </w:rPr>
        <w:t xml:space="preserve"> in unselected breast cancers</w:t>
      </w:r>
    </w:p>
    <w:p w14:paraId="332F9F2F" w14:textId="51C7AE30" w:rsidR="0065178A" w:rsidRDefault="0065178A" w:rsidP="00CB5FF2">
      <w:pPr>
        <w:spacing w:line="480" w:lineRule="auto"/>
        <w:jc w:val="both"/>
        <w:rPr>
          <w:rFonts w:ascii="Times" w:hAnsi="Times"/>
        </w:rPr>
      </w:pPr>
      <w:r w:rsidRPr="00AC5EBF">
        <w:rPr>
          <w:rFonts w:ascii="Times" w:hAnsi="Times"/>
        </w:rPr>
        <w:t xml:space="preserve">To investigate whether </w:t>
      </w:r>
      <w:proofErr w:type="spellStart"/>
      <w:r w:rsidRPr="00AC5EBF">
        <w:rPr>
          <w:rFonts w:ascii="Times" w:hAnsi="Times"/>
        </w:rPr>
        <w:t>colocalization</w:t>
      </w:r>
      <w:proofErr w:type="spellEnd"/>
      <w:r w:rsidRPr="00AC5EBF">
        <w:rPr>
          <w:rFonts w:ascii="Times" w:hAnsi="Times"/>
        </w:rPr>
        <w:t xml:space="preserve"> measures yield additional value to standard breast cancer clinical parameters (Table 1), we performed multivariate analysis. For </w:t>
      </w:r>
      <w:r>
        <w:rPr>
          <w:rFonts w:ascii="Times" w:hAnsi="Times"/>
        </w:rPr>
        <w:t xml:space="preserve">unselected </w:t>
      </w:r>
      <w:r w:rsidRPr="00AC5EBF">
        <w:rPr>
          <w:rFonts w:ascii="Times" w:hAnsi="Times"/>
        </w:rPr>
        <w:t xml:space="preserve">breast cancers, </w:t>
      </w:r>
      <w:proofErr w:type="spellStart"/>
      <w:r w:rsidRPr="00AC5EBF">
        <w:rPr>
          <w:rFonts w:ascii="Times" w:hAnsi="Times"/>
        </w:rPr>
        <w:t>Morisita</w:t>
      </w:r>
      <w:proofErr w:type="spellEnd"/>
      <w:r w:rsidRPr="00AC5EBF">
        <w:rPr>
          <w:rFonts w:ascii="Times" w:hAnsi="Times"/>
        </w:rPr>
        <w:t xml:space="preserve"> provides independent value in predicting </w:t>
      </w:r>
      <w:r>
        <w:rPr>
          <w:rFonts w:ascii="Times" w:hAnsi="Times"/>
        </w:rPr>
        <w:t xml:space="preserve">improved </w:t>
      </w:r>
      <w:r w:rsidRPr="00AC5EBF">
        <w:rPr>
          <w:rFonts w:ascii="Times" w:hAnsi="Times"/>
        </w:rPr>
        <w:t xml:space="preserve">disease-specific survival (Table 2; </w:t>
      </w:r>
      <w:proofErr w:type="spellStart"/>
      <w:r w:rsidRPr="00AC5EBF">
        <w:rPr>
          <w:rFonts w:ascii="Times" w:hAnsi="Times"/>
        </w:rPr>
        <w:t>Morisita</w:t>
      </w:r>
      <w:proofErr w:type="spellEnd"/>
      <w:r w:rsidRPr="00AC5EBF">
        <w:rPr>
          <w:rFonts w:ascii="Times" w:hAnsi="Times"/>
        </w:rPr>
        <w:t xml:space="preserve"> cut-off 0.69; Discovery p=0.005, HR=0.59, CI=0.41-0.85; Validation: p=0.00085, HR=0.4, CI 0.24-0.69) in addition to </w:t>
      </w:r>
      <w:proofErr w:type="spellStart"/>
      <w:r w:rsidRPr="00AC5EBF">
        <w:rPr>
          <w:rFonts w:ascii="Times" w:hAnsi="Times"/>
        </w:rPr>
        <w:t>lymphnode</w:t>
      </w:r>
      <w:proofErr w:type="spellEnd"/>
      <w:r w:rsidRPr="00AC5EBF">
        <w:rPr>
          <w:rFonts w:ascii="Times" w:hAnsi="Times"/>
        </w:rPr>
        <w:t xml:space="preserve"> metastasis, </w:t>
      </w:r>
      <w:proofErr w:type="spellStart"/>
      <w:r w:rsidRPr="00AC5EBF">
        <w:rPr>
          <w:rFonts w:ascii="Times" w:hAnsi="Times"/>
        </w:rPr>
        <w:t>tumor</w:t>
      </w:r>
      <w:proofErr w:type="spellEnd"/>
      <w:r w:rsidRPr="00AC5EBF">
        <w:rPr>
          <w:rFonts w:ascii="Times" w:hAnsi="Times"/>
        </w:rPr>
        <w:t xml:space="preserve"> size and </w:t>
      </w:r>
      <w:proofErr w:type="spellStart"/>
      <w:r w:rsidRPr="00AC5EBF">
        <w:rPr>
          <w:rFonts w:ascii="Times" w:hAnsi="Times"/>
        </w:rPr>
        <w:t>tumor</w:t>
      </w:r>
      <w:proofErr w:type="spellEnd"/>
      <w:r w:rsidRPr="00AC5EBF">
        <w:rPr>
          <w:rFonts w:ascii="Times" w:hAnsi="Times"/>
        </w:rPr>
        <w:t xml:space="preserve"> grade in both breast cancer cohorts. In particular, </w:t>
      </w:r>
      <w:proofErr w:type="spellStart"/>
      <w:r w:rsidRPr="00AC5EBF">
        <w:rPr>
          <w:rFonts w:ascii="Times" w:hAnsi="Times"/>
        </w:rPr>
        <w:t>Morisita</w:t>
      </w:r>
      <w:proofErr w:type="spellEnd"/>
      <w:r w:rsidRPr="00AC5EBF">
        <w:rPr>
          <w:rFonts w:ascii="Times" w:hAnsi="Times"/>
        </w:rPr>
        <w:t xml:space="preserve"> further stratified node positive (517 patients, p=0.0001, HR=0.5, CI=0.35-0.71), large </w:t>
      </w:r>
      <w:proofErr w:type="spellStart"/>
      <w:r w:rsidRPr="00AC5EBF">
        <w:rPr>
          <w:rFonts w:ascii="Times" w:hAnsi="Times"/>
        </w:rPr>
        <w:t>tumor</w:t>
      </w:r>
      <w:proofErr w:type="spellEnd"/>
      <w:r w:rsidRPr="00AC5EBF">
        <w:rPr>
          <w:rFonts w:ascii="Times" w:hAnsi="Times"/>
        </w:rPr>
        <w:t xml:space="preserve"> size (66 size 3 patients, p=0.002, HR=0.3, CI=0.13-0.68), and high-grade </w:t>
      </w:r>
      <w:proofErr w:type="spellStart"/>
      <w:r w:rsidRPr="00AC5EBF">
        <w:rPr>
          <w:rFonts w:ascii="Times" w:hAnsi="Times"/>
        </w:rPr>
        <w:t>tumors</w:t>
      </w:r>
      <w:proofErr w:type="spellEnd"/>
      <w:r w:rsidRPr="00AC5EBF">
        <w:rPr>
          <w:rFonts w:ascii="Times" w:hAnsi="Times"/>
        </w:rPr>
        <w:t xml:space="preserve"> (491 grade 3 patients, p=1.1x10</w:t>
      </w:r>
      <w:r w:rsidRPr="00AC5EBF">
        <w:rPr>
          <w:rFonts w:ascii="Times" w:hAnsi="Times"/>
          <w:vertAlign w:val="superscript"/>
        </w:rPr>
        <w:t>-5</w:t>
      </w:r>
      <w:r w:rsidRPr="00AC5EBF">
        <w:rPr>
          <w:rFonts w:ascii="Times" w:hAnsi="Times"/>
        </w:rPr>
        <w:t xml:space="preserve">, HR=0.46, CI=0.32-0.65). Age as a continuous or dichotomized variable using the optimal cut-off search was not associated with survival in all cancers or any subtype and therefore was not considered. Nevertheless, multivariate analysis with </w:t>
      </w:r>
      <w:proofErr w:type="spellStart"/>
      <w:r w:rsidRPr="00AC5EBF">
        <w:rPr>
          <w:rFonts w:ascii="Times" w:hAnsi="Times"/>
        </w:rPr>
        <w:t>Morisita</w:t>
      </w:r>
      <w:proofErr w:type="spellEnd"/>
      <w:r w:rsidRPr="00AC5EBF">
        <w:rPr>
          <w:rFonts w:ascii="Times" w:hAnsi="Times"/>
        </w:rPr>
        <w:t xml:space="preserve"> and its associated variables showed independent value of </w:t>
      </w:r>
      <w:proofErr w:type="spellStart"/>
      <w:r w:rsidRPr="00AC5EBF">
        <w:rPr>
          <w:rFonts w:ascii="Times" w:hAnsi="Times"/>
        </w:rPr>
        <w:t>Moristia</w:t>
      </w:r>
      <w:proofErr w:type="spellEnd"/>
      <w:r w:rsidRPr="00AC5EBF">
        <w:rPr>
          <w:rFonts w:ascii="Times" w:hAnsi="Times"/>
        </w:rPr>
        <w:t xml:space="preserve"> (Discovery p=0.026, HR=0.59, CI=0.37-0.94; Validation p=0.003, HR=0.36, CI=0.18-0.7). </w:t>
      </w:r>
    </w:p>
    <w:p w14:paraId="6B5D5CAB" w14:textId="77777777" w:rsidR="0065178A" w:rsidRPr="00883A2F" w:rsidRDefault="0065178A" w:rsidP="00CB5FF2">
      <w:pPr>
        <w:spacing w:line="480" w:lineRule="auto"/>
        <w:jc w:val="both"/>
        <w:rPr>
          <w:rFonts w:ascii="Times" w:hAnsi="Times"/>
        </w:rPr>
      </w:pPr>
    </w:p>
    <w:p w14:paraId="147E772D" w14:textId="77777777" w:rsidR="00CB5FF2" w:rsidRPr="00883A2F" w:rsidRDefault="00CB5FF2" w:rsidP="00CB5FF2">
      <w:pPr>
        <w:spacing w:line="480" w:lineRule="auto"/>
        <w:jc w:val="both"/>
        <w:rPr>
          <w:rFonts w:ascii="Times" w:hAnsi="Times"/>
          <w:b/>
        </w:rPr>
      </w:pPr>
      <w:r w:rsidRPr="00883A2F">
        <w:rPr>
          <w:rFonts w:ascii="Times" w:hAnsi="Times"/>
          <w:b/>
        </w:rPr>
        <w:t xml:space="preserve">Bootstrap analysis </w:t>
      </w:r>
    </w:p>
    <w:p w14:paraId="52AEADDF" w14:textId="6736FD5A" w:rsidR="00CB5FF2" w:rsidRPr="00883A2F" w:rsidRDefault="00CB5FF2" w:rsidP="00883A2F">
      <w:pPr>
        <w:spacing w:line="360" w:lineRule="auto"/>
        <w:jc w:val="both"/>
        <w:rPr>
          <w:rFonts w:ascii="Times" w:hAnsi="Times"/>
        </w:rPr>
      </w:pPr>
      <w:r w:rsidRPr="00883A2F">
        <w:rPr>
          <w:rFonts w:ascii="Times" w:hAnsi="Times"/>
        </w:rPr>
        <w:t xml:space="preserve">As some of the cohorts we compared were relatively small such as HER+, we performed bootstrap analysis to test the robustness of </w:t>
      </w:r>
      <w:proofErr w:type="spellStart"/>
      <w:r w:rsidRPr="00883A2F">
        <w:rPr>
          <w:rFonts w:ascii="Times" w:hAnsi="Times"/>
        </w:rPr>
        <w:t>Morisita</w:t>
      </w:r>
      <w:proofErr w:type="spellEnd"/>
      <w:r w:rsidRPr="00883A2F">
        <w:rPr>
          <w:rFonts w:ascii="Times" w:hAnsi="Times"/>
        </w:rPr>
        <w:t xml:space="preserve"> by randomly sampling progressively lower amount of patients for </w:t>
      </w:r>
      <w:proofErr w:type="spellStart"/>
      <w:r w:rsidRPr="00883A2F">
        <w:rPr>
          <w:rFonts w:ascii="Times" w:hAnsi="Times"/>
        </w:rPr>
        <w:t>univariate</w:t>
      </w:r>
      <w:proofErr w:type="spellEnd"/>
      <w:r w:rsidRPr="00883A2F">
        <w:rPr>
          <w:rFonts w:ascii="Times" w:hAnsi="Times"/>
        </w:rPr>
        <w:t xml:space="preserve"> and multivariate survival analysis. Notably, in HER2-amplified cancers (as this includes more samples), </w:t>
      </w:r>
      <w:proofErr w:type="spellStart"/>
      <w:r w:rsidRPr="00883A2F">
        <w:rPr>
          <w:rFonts w:ascii="Times" w:hAnsi="Times"/>
        </w:rPr>
        <w:t>Morisita</w:t>
      </w:r>
      <w:proofErr w:type="spellEnd"/>
      <w:r w:rsidRPr="00883A2F">
        <w:rPr>
          <w:rFonts w:ascii="Times" w:hAnsi="Times"/>
        </w:rPr>
        <w:t xml:space="preserve"> was found to be significant for both </w:t>
      </w:r>
      <w:proofErr w:type="spellStart"/>
      <w:r w:rsidRPr="00883A2F">
        <w:rPr>
          <w:rFonts w:ascii="Times" w:hAnsi="Times"/>
        </w:rPr>
        <w:t>univariate</w:t>
      </w:r>
      <w:proofErr w:type="spellEnd"/>
      <w:r w:rsidRPr="00883A2F">
        <w:rPr>
          <w:rFonts w:ascii="Times" w:hAnsi="Times"/>
        </w:rPr>
        <w:t xml:space="preserve"> and multivariate analysis in &gt;99% of the 1,000 random sampling procedures when more than 70% (96) HER2-amplified patients were sampled (Fig. </w:t>
      </w:r>
      <w:r w:rsidR="0022478C" w:rsidRPr="00883A2F">
        <w:rPr>
          <w:rFonts w:ascii="Times" w:hAnsi="Times"/>
        </w:rPr>
        <w:t>S</w:t>
      </w:r>
      <w:r w:rsidR="00BA4662">
        <w:rPr>
          <w:rFonts w:ascii="Times" w:hAnsi="Times"/>
        </w:rPr>
        <w:t>8</w:t>
      </w:r>
      <w:r w:rsidR="0022478C" w:rsidRPr="00883A2F">
        <w:rPr>
          <w:rFonts w:ascii="Times" w:hAnsi="Times"/>
        </w:rPr>
        <w:t>a</w:t>
      </w:r>
      <w:r w:rsidRPr="00883A2F">
        <w:rPr>
          <w:rFonts w:ascii="Times" w:hAnsi="Times"/>
        </w:rPr>
        <w:t xml:space="preserve">). In addition, even with different spatial scales, the </w:t>
      </w:r>
      <w:proofErr w:type="spellStart"/>
      <w:r w:rsidRPr="00883A2F">
        <w:rPr>
          <w:rFonts w:ascii="Times" w:hAnsi="Times"/>
        </w:rPr>
        <w:t>Morista</w:t>
      </w:r>
      <w:proofErr w:type="spellEnd"/>
      <w:r w:rsidRPr="00883A2F">
        <w:rPr>
          <w:rFonts w:ascii="Times" w:hAnsi="Times"/>
        </w:rPr>
        <w:t xml:space="preserve"> index was consistently prognostic in multivariate analysis controlled for grade, node and size (Fig. </w:t>
      </w:r>
      <w:r w:rsidR="00BA4662">
        <w:rPr>
          <w:rFonts w:ascii="Times" w:hAnsi="Times"/>
        </w:rPr>
        <w:t>S8</w:t>
      </w:r>
      <w:r w:rsidR="0022478C" w:rsidRPr="00883A2F">
        <w:rPr>
          <w:rFonts w:ascii="Times" w:hAnsi="Times"/>
        </w:rPr>
        <w:t>b</w:t>
      </w:r>
      <w:r w:rsidRPr="00883A2F">
        <w:rPr>
          <w:rFonts w:ascii="Times" w:hAnsi="Times"/>
        </w:rPr>
        <w:t xml:space="preserve">). Taken together, these data consistently support the clinical relevance of cancer-immune </w:t>
      </w:r>
      <w:proofErr w:type="spellStart"/>
      <w:r w:rsidRPr="00883A2F">
        <w:rPr>
          <w:rFonts w:ascii="Times" w:hAnsi="Times"/>
        </w:rPr>
        <w:t>colocalization</w:t>
      </w:r>
      <w:proofErr w:type="spellEnd"/>
      <w:r w:rsidRPr="00883A2F">
        <w:rPr>
          <w:rFonts w:ascii="Times" w:hAnsi="Times"/>
        </w:rPr>
        <w:t xml:space="preserve"> measured by the </w:t>
      </w:r>
      <w:proofErr w:type="spellStart"/>
      <w:r w:rsidRPr="00883A2F">
        <w:rPr>
          <w:rFonts w:ascii="Times" w:hAnsi="Times"/>
        </w:rPr>
        <w:t>Morisita</w:t>
      </w:r>
      <w:proofErr w:type="spellEnd"/>
      <w:r w:rsidRPr="00883A2F">
        <w:rPr>
          <w:rFonts w:ascii="Times" w:hAnsi="Times"/>
        </w:rPr>
        <w:t xml:space="preserve"> index for patients with HER2 aberrations. </w:t>
      </w:r>
    </w:p>
    <w:p w14:paraId="12512A84" w14:textId="77777777" w:rsidR="00CB5FF2" w:rsidRPr="00883A2F" w:rsidRDefault="00CB5FF2" w:rsidP="00883A2F">
      <w:pPr>
        <w:spacing w:line="360" w:lineRule="auto"/>
        <w:jc w:val="both"/>
        <w:rPr>
          <w:rFonts w:ascii="Times" w:hAnsi="Times"/>
        </w:rPr>
      </w:pPr>
    </w:p>
    <w:p w14:paraId="39C2CEFF" w14:textId="77777777" w:rsidR="00D3260F" w:rsidRDefault="00883A2F" w:rsidP="00D3260F">
      <w:pPr>
        <w:spacing w:line="360" w:lineRule="auto"/>
        <w:jc w:val="both"/>
        <w:rPr>
          <w:rFonts w:ascii="Times" w:hAnsi="Times"/>
          <w:b/>
        </w:rPr>
      </w:pPr>
      <w:r w:rsidRPr="00883A2F">
        <w:rPr>
          <w:rFonts w:ascii="Times" w:hAnsi="Times"/>
          <w:b/>
        </w:rPr>
        <w:t xml:space="preserve">Test of intra-slide variability </w:t>
      </w:r>
    </w:p>
    <w:p w14:paraId="01F9977F" w14:textId="505FE777" w:rsidR="00883A2F" w:rsidRPr="00D3260F" w:rsidRDefault="00D3260F" w:rsidP="00D3260F">
      <w:pPr>
        <w:spacing w:line="360" w:lineRule="auto"/>
        <w:jc w:val="both"/>
        <w:rPr>
          <w:rFonts w:ascii="Times" w:hAnsi="Times"/>
          <w:b/>
        </w:rPr>
      </w:pPr>
      <w:r>
        <w:rPr>
          <w:rFonts w:ascii="Times" w:hAnsi="Times"/>
          <w:b/>
        </w:rPr>
        <w:t>W</w:t>
      </w:r>
      <w:r w:rsidR="00883A2F" w:rsidRPr="00883A2F">
        <w:rPr>
          <w:rFonts w:ascii="Times" w:hAnsi="Times" w:cstheme="minorHAnsi"/>
          <w:lang w:val="en-US"/>
        </w:rPr>
        <w:t xml:space="preserve">e split a slide into two parts by finding a line perpendicular to the longer axis of the slide that divide the slide into two parts containing roughly equal-size number of square polygons based on which the </w:t>
      </w:r>
      <w:proofErr w:type="spellStart"/>
      <w:r w:rsidR="00883A2F" w:rsidRPr="00883A2F">
        <w:rPr>
          <w:rFonts w:ascii="Times" w:hAnsi="Times" w:cstheme="minorHAnsi"/>
          <w:lang w:val="en-US"/>
        </w:rPr>
        <w:t>Morisita</w:t>
      </w:r>
      <w:proofErr w:type="spellEnd"/>
      <w:r w:rsidR="00883A2F" w:rsidRPr="00883A2F">
        <w:rPr>
          <w:rFonts w:ascii="Times" w:hAnsi="Times" w:cstheme="minorHAnsi"/>
          <w:lang w:val="en-US"/>
        </w:rPr>
        <w:t xml:space="preserve"> was computed. </w:t>
      </w:r>
      <w:r>
        <w:rPr>
          <w:rFonts w:ascii="Times" w:hAnsi="Times" w:cstheme="minorHAnsi"/>
          <w:lang w:val="en-US"/>
        </w:rPr>
        <w:t>We chose this approach because i</w:t>
      </w:r>
      <w:r w:rsidRPr="00883A2F">
        <w:rPr>
          <w:rFonts w:ascii="Times" w:hAnsi="Times" w:cstheme="minorHAnsi"/>
          <w:lang w:val="en-US"/>
        </w:rPr>
        <w:t>n the METABRIC dataset tumor sections vary in size and the boundary of different sections are ofte</w:t>
      </w:r>
      <w:r>
        <w:rPr>
          <w:rFonts w:ascii="Times" w:hAnsi="Times" w:cstheme="minorHAnsi"/>
          <w:lang w:val="en-US"/>
        </w:rPr>
        <w:t xml:space="preserve">n difficult to define. </w:t>
      </w:r>
      <w:r w:rsidR="00883A2F" w:rsidRPr="00883A2F">
        <w:rPr>
          <w:rFonts w:ascii="Times" w:hAnsi="Times" w:cstheme="minorHAnsi"/>
          <w:lang w:val="en-US"/>
        </w:rPr>
        <w:t xml:space="preserve">Then we computed the </w:t>
      </w:r>
      <w:proofErr w:type="spellStart"/>
      <w:r w:rsidR="00883A2F" w:rsidRPr="00883A2F">
        <w:rPr>
          <w:rFonts w:ascii="Times" w:hAnsi="Times" w:cstheme="minorHAnsi"/>
          <w:lang w:val="en-US"/>
        </w:rPr>
        <w:t>Morisita</w:t>
      </w:r>
      <w:proofErr w:type="spellEnd"/>
      <w:r w:rsidR="00883A2F" w:rsidRPr="00883A2F">
        <w:rPr>
          <w:rFonts w:ascii="Times" w:hAnsi="Times" w:cstheme="minorHAnsi"/>
          <w:lang w:val="en-US"/>
        </w:rPr>
        <w:t xml:space="preserve"> index for the left and right parts independently and evaluated the variability. We repeated the same analysis but divided the slides into two parts containing 25% and 75% of the polygons. This is to evaluate the performance and variability of the </w:t>
      </w:r>
      <w:proofErr w:type="spellStart"/>
      <w:r w:rsidR="00883A2F" w:rsidRPr="00883A2F">
        <w:rPr>
          <w:rFonts w:ascii="Times" w:hAnsi="Times" w:cstheme="minorHAnsi"/>
          <w:lang w:val="en-US"/>
        </w:rPr>
        <w:t>Morisita</w:t>
      </w:r>
      <w:proofErr w:type="spellEnd"/>
      <w:r w:rsidR="00883A2F" w:rsidRPr="00883A2F">
        <w:rPr>
          <w:rFonts w:ascii="Times" w:hAnsi="Times" w:cstheme="minorHAnsi"/>
          <w:lang w:val="en-US"/>
        </w:rPr>
        <w:t xml:space="preserve"> index with decreasing amount of tissue.</w:t>
      </w:r>
    </w:p>
    <w:p w14:paraId="03DA8E31" w14:textId="77777777" w:rsidR="00883A2F" w:rsidRPr="00883A2F" w:rsidRDefault="00883A2F" w:rsidP="00883A2F">
      <w:pPr>
        <w:widowControl w:val="0"/>
        <w:autoSpaceDE w:val="0"/>
        <w:autoSpaceDN w:val="0"/>
        <w:adjustRightInd w:val="0"/>
        <w:spacing w:line="360" w:lineRule="auto"/>
        <w:jc w:val="both"/>
        <w:rPr>
          <w:rFonts w:ascii="Times" w:hAnsi="Times" w:cstheme="minorHAnsi"/>
          <w:lang w:val="en-US"/>
        </w:rPr>
      </w:pPr>
    </w:p>
    <w:p w14:paraId="62E4BF1D" w14:textId="13F45422" w:rsidR="00883A2F" w:rsidRPr="00883A2F" w:rsidRDefault="00883A2F" w:rsidP="00883A2F">
      <w:pPr>
        <w:widowControl w:val="0"/>
        <w:autoSpaceDE w:val="0"/>
        <w:autoSpaceDN w:val="0"/>
        <w:adjustRightInd w:val="0"/>
        <w:spacing w:line="360" w:lineRule="auto"/>
        <w:jc w:val="both"/>
        <w:rPr>
          <w:rFonts w:ascii="Times" w:hAnsi="Times" w:cstheme="minorHAnsi"/>
          <w:lang w:val="en-US"/>
        </w:rPr>
      </w:pPr>
      <w:r w:rsidRPr="00883A2F">
        <w:rPr>
          <w:rFonts w:ascii="Times" w:hAnsi="Times" w:cstheme="minorHAnsi"/>
          <w:lang w:val="en-US"/>
        </w:rPr>
        <w:t xml:space="preserve">We found that the differences in the </w:t>
      </w:r>
      <w:proofErr w:type="spellStart"/>
      <w:r w:rsidRPr="00883A2F">
        <w:rPr>
          <w:rFonts w:ascii="Times" w:hAnsi="Times" w:cstheme="minorHAnsi"/>
          <w:lang w:val="en-US"/>
        </w:rPr>
        <w:t>Morisita</w:t>
      </w:r>
      <w:proofErr w:type="spellEnd"/>
      <w:r w:rsidRPr="00883A2F">
        <w:rPr>
          <w:rFonts w:ascii="Times" w:hAnsi="Times" w:cstheme="minorHAnsi"/>
          <w:lang w:val="en-US"/>
        </w:rPr>
        <w:t xml:space="preserve"> index between whole-slide scores (W) and part-slide scores increase with decreasing amount of tissue area used for estimating part-slide scores (</w:t>
      </w:r>
      <w:r w:rsidR="00650FDF">
        <w:rPr>
          <w:rFonts w:ascii="Times" w:hAnsi="Times" w:cstheme="minorHAnsi"/>
          <w:lang w:val="en-US"/>
        </w:rPr>
        <w:t>Fig. S9</w:t>
      </w:r>
      <w:r w:rsidRPr="00883A2F">
        <w:rPr>
          <w:rFonts w:ascii="Times" w:hAnsi="Times" w:cstheme="minorHAnsi"/>
          <w:lang w:val="en-US"/>
        </w:rPr>
        <w:t>). Percentages of consistent classifications (</w:t>
      </w:r>
      <w:proofErr w:type="spellStart"/>
      <w:r w:rsidRPr="00883A2F">
        <w:rPr>
          <w:rFonts w:ascii="Times" w:hAnsi="Times" w:cstheme="minorHAnsi"/>
          <w:lang w:val="en-US"/>
        </w:rPr>
        <w:t>Morisita</w:t>
      </w:r>
      <w:proofErr w:type="spellEnd"/>
      <w:r w:rsidRPr="00883A2F">
        <w:rPr>
          <w:rFonts w:ascii="Times" w:hAnsi="Times" w:cstheme="minorHAnsi"/>
          <w:lang w:val="en-US"/>
        </w:rPr>
        <w:t>-high and low) between whole-slide scores and estimates using 75% slide, 50% left, 50% right, 25% slide are 94.2%, 89.1%, 89.8%, 84</w:t>
      </w:r>
      <w:bookmarkStart w:id="0" w:name="_GoBack"/>
      <w:bookmarkEnd w:id="0"/>
      <w:r w:rsidRPr="00883A2F">
        <w:rPr>
          <w:rFonts w:ascii="Times" w:hAnsi="Times" w:cstheme="minorHAnsi"/>
          <w:lang w:val="en-US"/>
        </w:rPr>
        <w:t xml:space="preserve">.3%. In addition, we ran the same survival analysis of the </w:t>
      </w:r>
      <w:proofErr w:type="spellStart"/>
      <w:r w:rsidRPr="00883A2F">
        <w:rPr>
          <w:rFonts w:ascii="Times" w:hAnsi="Times" w:cstheme="minorHAnsi"/>
          <w:lang w:val="en-US"/>
        </w:rPr>
        <w:t>Morisita</w:t>
      </w:r>
      <w:proofErr w:type="spellEnd"/>
      <w:r w:rsidRPr="00883A2F">
        <w:rPr>
          <w:rFonts w:ascii="Times" w:hAnsi="Times" w:cstheme="minorHAnsi"/>
          <w:lang w:val="en-US"/>
        </w:rPr>
        <w:t xml:space="preserve"> scores estimated with decreasing amount of tissue in Her2+ subtype. We used the same method to find optimal cutoff in the discovery cohort and used th</w:t>
      </w:r>
      <w:r w:rsidR="003B2E31">
        <w:rPr>
          <w:rFonts w:ascii="Times" w:hAnsi="Times" w:cstheme="minorHAnsi"/>
          <w:lang w:val="en-US"/>
        </w:rPr>
        <w:t>e same cutoff in the validation</w:t>
      </w:r>
      <w:r w:rsidRPr="00883A2F">
        <w:rPr>
          <w:rFonts w:ascii="Times" w:hAnsi="Times" w:cstheme="minorHAnsi"/>
          <w:lang w:val="en-US"/>
        </w:rPr>
        <w:t>.</w:t>
      </w:r>
      <w:r w:rsidR="003B2E31">
        <w:rPr>
          <w:rFonts w:ascii="Times" w:hAnsi="Times" w:cstheme="minorHAnsi"/>
          <w:lang w:val="en-US"/>
        </w:rPr>
        <w:t xml:space="preserve"> </w:t>
      </w:r>
      <w:r w:rsidRPr="00883A2F">
        <w:rPr>
          <w:rFonts w:ascii="Times" w:hAnsi="Times" w:cstheme="minorHAnsi"/>
          <w:lang w:val="en-US"/>
        </w:rPr>
        <w:t>We found that estimates using 75% and 50% but not 25% of tissues remain prognostic in both discovery and validation cohort (Fig</w:t>
      </w:r>
      <w:r w:rsidR="00650FDF">
        <w:rPr>
          <w:rFonts w:ascii="Times" w:hAnsi="Times" w:cstheme="minorHAnsi"/>
          <w:lang w:val="en-US"/>
        </w:rPr>
        <w:t>. S10</w:t>
      </w:r>
      <w:r w:rsidRPr="00883A2F">
        <w:rPr>
          <w:rFonts w:ascii="Times" w:hAnsi="Times" w:cstheme="minorHAnsi"/>
          <w:lang w:val="en-US"/>
        </w:rPr>
        <w:t>).</w:t>
      </w:r>
    </w:p>
    <w:p w14:paraId="061E2D25" w14:textId="77777777" w:rsidR="00883A2F" w:rsidRPr="00883A2F" w:rsidRDefault="00883A2F" w:rsidP="00883A2F">
      <w:pPr>
        <w:spacing w:line="360" w:lineRule="auto"/>
        <w:jc w:val="both"/>
        <w:rPr>
          <w:rFonts w:ascii="Times" w:hAnsi="Times"/>
        </w:rPr>
      </w:pPr>
    </w:p>
    <w:p w14:paraId="7E1ECED7" w14:textId="77777777" w:rsidR="00883A2F" w:rsidRPr="00883A2F" w:rsidRDefault="00883A2F" w:rsidP="00883A2F">
      <w:pPr>
        <w:spacing w:line="360" w:lineRule="auto"/>
        <w:jc w:val="both"/>
        <w:rPr>
          <w:rFonts w:ascii="Times" w:hAnsi="Times"/>
        </w:rPr>
      </w:pPr>
    </w:p>
    <w:p w14:paraId="3EAAEA49" w14:textId="752A2605" w:rsidR="000D7A1F" w:rsidRPr="00883A2F" w:rsidRDefault="000D7A1F" w:rsidP="00CB5FF2">
      <w:pPr>
        <w:spacing w:line="480" w:lineRule="auto"/>
        <w:jc w:val="both"/>
        <w:rPr>
          <w:rFonts w:ascii="Times" w:hAnsi="Times"/>
          <w:b/>
        </w:rPr>
      </w:pPr>
      <w:r w:rsidRPr="00883A2F">
        <w:rPr>
          <w:rFonts w:ascii="Times" w:hAnsi="Times"/>
          <w:b/>
        </w:rPr>
        <w:t>References</w:t>
      </w:r>
    </w:p>
    <w:p w14:paraId="6D0186AC" w14:textId="77777777" w:rsidR="000D7A1F" w:rsidRPr="000D7A1F" w:rsidRDefault="000D7A1F" w:rsidP="000D7A1F">
      <w:pPr>
        <w:pStyle w:val="NormalWeb"/>
        <w:ind w:left="640" w:hanging="640"/>
        <w:rPr>
          <w:noProof/>
          <w:sz w:val="24"/>
        </w:rPr>
      </w:pPr>
      <w:r>
        <w:rPr>
          <w:b/>
        </w:rPr>
        <w:fldChar w:fldCharType="begin" w:fldLock="1"/>
      </w:r>
      <w:r>
        <w:rPr>
          <w:b/>
        </w:rPr>
        <w:instrText xml:space="preserve">ADDIN Mendeley Bibliography CSL_BIBLIOGRAPHY </w:instrText>
      </w:r>
      <w:r>
        <w:rPr>
          <w:b/>
        </w:rPr>
        <w:fldChar w:fldCharType="separate"/>
      </w:r>
      <w:r w:rsidRPr="000D7A1F">
        <w:rPr>
          <w:noProof/>
          <w:sz w:val="24"/>
        </w:rPr>
        <w:t xml:space="preserve">1. </w:t>
      </w:r>
      <w:r w:rsidRPr="000D7A1F">
        <w:rPr>
          <w:noProof/>
          <w:sz w:val="24"/>
        </w:rPr>
        <w:tab/>
        <w:t xml:space="preserve">Curtis C, Shah SP, Chin S-F, Turashvili G, Rueda OM, Dunning MJ, et al. The genomic and transcriptomic architecture of 2,000 breast tumours reveals novel subgroups. Nature. 2012 Jun 21;486(7403):346–52. </w:t>
      </w:r>
    </w:p>
    <w:p w14:paraId="6E98743C" w14:textId="77777777" w:rsidR="000D7A1F" w:rsidRPr="000D7A1F" w:rsidRDefault="000D7A1F" w:rsidP="000D7A1F">
      <w:pPr>
        <w:pStyle w:val="NormalWeb"/>
        <w:ind w:left="640" w:hanging="640"/>
        <w:rPr>
          <w:noProof/>
          <w:sz w:val="24"/>
        </w:rPr>
      </w:pPr>
      <w:r w:rsidRPr="000D7A1F">
        <w:rPr>
          <w:noProof/>
          <w:sz w:val="24"/>
        </w:rPr>
        <w:t xml:space="preserve">2. </w:t>
      </w:r>
      <w:r w:rsidRPr="000D7A1F">
        <w:rPr>
          <w:noProof/>
          <w:sz w:val="24"/>
        </w:rPr>
        <w:tab/>
        <w:t xml:space="preserve">Yuan Y, Failmezger H, Rueda OM, Ali HR, Graf S, Chin S-FF, et al. Quantitative image analysis of cellular heterogeneity in breast tumors complements genomic profiling. Sci Transl Med. 2012/11/24 ed. 2012;4(157):157ra143. </w:t>
      </w:r>
    </w:p>
    <w:p w14:paraId="69B01675" w14:textId="77777777" w:rsidR="000D7A1F" w:rsidRPr="000D7A1F" w:rsidRDefault="000D7A1F" w:rsidP="000D7A1F">
      <w:pPr>
        <w:pStyle w:val="NormalWeb"/>
        <w:ind w:left="640" w:hanging="640"/>
        <w:rPr>
          <w:noProof/>
          <w:sz w:val="24"/>
        </w:rPr>
      </w:pPr>
      <w:r w:rsidRPr="000D7A1F">
        <w:rPr>
          <w:noProof/>
          <w:sz w:val="24"/>
        </w:rPr>
        <w:t xml:space="preserve">3. </w:t>
      </w:r>
      <w:r w:rsidRPr="000D7A1F">
        <w:rPr>
          <w:noProof/>
          <w:sz w:val="24"/>
        </w:rPr>
        <w:tab/>
        <w:t xml:space="preserve">Janowczyk A, S. C, Madabhushi A. Quantifying local heterogeneity via morphologic scale: Distinguishing tumoral from stromal regions. J Pathol Inf. 2013;4(Suppl). </w:t>
      </w:r>
    </w:p>
    <w:p w14:paraId="235A7FAA" w14:textId="77777777" w:rsidR="000D7A1F" w:rsidRPr="000D7A1F" w:rsidRDefault="000D7A1F" w:rsidP="000D7A1F">
      <w:pPr>
        <w:pStyle w:val="NormalWeb"/>
        <w:ind w:left="640" w:hanging="640"/>
        <w:rPr>
          <w:noProof/>
          <w:sz w:val="24"/>
        </w:rPr>
      </w:pPr>
      <w:r w:rsidRPr="000D7A1F">
        <w:rPr>
          <w:noProof/>
          <w:sz w:val="24"/>
        </w:rPr>
        <w:t xml:space="preserve">4. </w:t>
      </w:r>
      <w:r w:rsidRPr="000D7A1F">
        <w:rPr>
          <w:noProof/>
          <w:sz w:val="24"/>
        </w:rPr>
        <w:tab/>
        <w:t xml:space="preserve">Basavanhally AN, Ganesan S, Agner S, Monaco JP, Feldman MD, Tomaszewski JE, et al. Computerized image-based detection and grading of lymphocytic infiltration in HER2+ breast cancer histopathology. IEEE Trans Biomed Eng. 2009/11/04 ed. 2010;57(3):642–53. </w:t>
      </w:r>
    </w:p>
    <w:p w14:paraId="61E06B95" w14:textId="77777777" w:rsidR="000D7A1F" w:rsidRPr="000D7A1F" w:rsidRDefault="000D7A1F" w:rsidP="000D7A1F">
      <w:pPr>
        <w:pStyle w:val="NormalWeb"/>
        <w:ind w:left="640" w:hanging="640"/>
        <w:rPr>
          <w:noProof/>
          <w:sz w:val="24"/>
        </w:rPr>
      </w:pPr>
      <w:r w:rsidRPr="000D7A1F">
        <w:rPr>
          <w:noProof/>
          <w:sz w:val="24"/>
        </w:rPr>
        <w:t xml:space="preserve">5. </w:t>
      </w:r>
      <w:r w:rsidRPr="000D7A1F">
        <w:rPr>
          <w:noProof/>
          <w:sz w:val="24"/>
        </w:rPr>
        <w:tab/>
        <w:t xml:space="preserve">Anderson TW, Darling DA. Asymptotic Theory of Certain “Goodness of Fit” Criteria Based on Stochastic Processes. The Annals of Mathematical Statistics. 1952. p. 193–212. </w:t>
      </w:r>
    </w:p>
    <w:p w14:paraId="798C1043" w14:textId="77777777" w:rsidR="000D7A1F" w:rsidRPr="000D7A1F" w:rsidRDefault="000D7A1F" w:rsidP="000D7A1F">
      <w:pPr>
        <w:pStyle w:val="NormalWeb"/>
        <w:ind w:left="640" w:hanging="640"/>
        <w:rPr>
          <w:noProof/>
          <w:sz w:val="24"/>
        </w:rPr>
      </w:pPr>
      <w:r w:rsidRPr="000D7A1F">
        <w:rPr>
          <w:noProof/>
          <w:sz w:val="24"/>
        </w:rPr>
        <w:t xml:space="preserve">6. </w:t>
      </w:r>
      <w:r w:rsidRPr="000D7A1F">
        <w:rPr>
          <w:noProof/>
          <w:sz w:val="24"/>
        </w:rPr>
        <w:tab/>
        <w:t xml:space="preserve">Rose GA, Leggett WC. The importance of scale to predator-prey spatial correlations: an example of Atlantic fishes. Ecology. 1990. p. 33–43. </w:t>
      </w:r>
    </w:p>
    <w:p w14:paraId="3DEAD640" w14:textId="0D58D214" w:rsidR="000D7A1F" w:rsidRDefault="000D7A1F" w:rsidP="000D7A1F">
      <w:pPr>
        <w:spacing w:line="480" w:lineRule="auto"/>
        <w:jc w:val="both"/>
      </w:pPr>
      <w:r>
        <w:rPr>
          <w:rFonts w:ascii="Times" w:hAnsi="Times"/>
          <w:b/>
        </w:rPr>
        <w:fldChar w:fldCharType="end"/>
      </w:r>
    </w:p>
    <w:sectPr w:rsidR="000D7A1F" w:rsidSect="005022C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FF2"/>
    <w:rsid w:val="00030D98"/>
    <w:rsid w:val="000D7A1F"/>
    <w:rsid w:val="001113DA"/>
    <w:rsid w:val="00147E45"/>
    <w:rsid w:val="00155C62"/>
    <w:rsid w:val="0022478C"/>
    <w:rsid w:val="0028116C"/>
    <w:rsid w:val="002E08BE"/>
    <w:rsid w:val="00303626"/>
    <w:rsid w:val="00373260"/>
    <w:rsid w:val="003B2E31"/>
    <w:rsid w:val="003D0D0B"/>
    <w:rsid w:val="005022C4"/>
    <w:rsid w:val="005B1496"/>
    <w:rsid w:val="00627E82"/>
    <w:rsid w:val="00650FDF"/>
    <w:rsid w:val="0065178A"/>
    <w:rsid w:val="006C6064"/>
    <w:rsid w:val="007E167C"/>
    <w:rsid w:val="00883A2F"/>
    <w:rsid w:val="00915F02"/>
    <w:rsid w:val="00A2473B"/>
    <w:rsid w:val="00A51CBC"/>
    <w:rsid w:val="00BA4662"/>
    <w:rsid w:val="00C33522"/>
    <w:rsid w:val="00CB5FF2"/>
    <w:rsid w:val="00D3143B"/>
    <w:rsid w:val="00D3260F"/>
    <w:rsid w:val="00D63EEE"/>
    <w:rsid w:val="00D91B82"/>
    <w:rsid w:val="00DD7664"/>
    <w:rsid w:val="00EC3F3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2413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F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3F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3F3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5178A"/>
    <w:rPr>
      <w:sz w:val="18"/>
      <w:szCs w:val="18"/>
    </w:rPr>
  </w:style>
  <w:style w:type="paragraph" w:styleId="CommentText">
    <w:name w:val="annotation text"/>
    <w:basedOn w:val="Normal"/>
    <w:link w:val="CommentTextChar"/>
    <w:uiPriority w:val="99"/>
    <w:semiHidden/>
    <w:unhideWhenUsed/>
    <w:rsid w:val="0065178A"/>
  </w:style>
  <w:style w:type="character" w:customStyle="1" w:styleId="CommentTextChar">
    <w:name w:val="Comment Text Char"/>
    <w:basedOn w:val="DefaultParagraphFont"/>
    <w:link w:val="CommentText"/>
    <w:uiPriority w:val="99"/>
    <w:semiHidden/>
    <w:rsid w:val="0065178A"/>
  </w:style>
  <w:style w:type="paragraph" w:styleId="NormalWeb">
    <w:name w:val="Normal (Web)"/>
    <w:basedOn w:val="Normal"/>
    <w:uiPriority w:val="99"/>
    <w:semiHidden/>
    <w:unhideWhenUsed/>
    <w:rsid w:val="000D7A1F"/>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F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3F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3F3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5178A"/>
    <w:rPr>
      <w:sz w:val="18"/>
      <w:szCs w:val="18"/>
    </w:rPr>
  </w:style>
  <w:style w:type="paragraph" w:styleId="CommentText">
    <w:name w:val="annotation text"/>
    <w:basedOn w:val="Normal"/>
    <w:link w:val="CommentTextChar"/>
    <w:uiPriority w:val="99"/>
    <w:semiHidden/>
    <w:unhideWhenUsed/>
    <w:rsid w:val="0065178A"/>
  </w:style>
  <w:style w:type="character" w:customStyle="1" w:styleId="CommentTextChar">
    <w:name w:val="Comment Text Char"/>
    <w:basedOn w:val="DefaultParagraphFont"/>
    <w:link w:val="CommentText"/>
    <w:uiPriority w:val="99"/>
    <w:semiHidden/>
    <w:rsid w:val="0065178A"/>
  </w:style>
  <w:style w:type="paragraph" w:styleId="NormalWeb">
    <w:name w:val="Normal (Web)"/>
    <w:basedOn w:val="Normal"/>
    <w:uiPriority w:val="99"/>
    <w:semiHidden/>
    <w:unhideWhenUsed/>
    <w:rsid w:val="000D7A1F"/>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2538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4434</Words>
  <Characters>25280</Characters>
  <Application>Microsoft Macintosh Word</Application>
  <DocSecurity>0</DocSecurity>
  <Lines>210</Lines>
  <Paragraphs>59</Paragraphs>
  <ScaleCrop>false</ScaleCrop>
  <Company/>
  <LinksUpToDate>false</LinksUpToDate>
  <CharactersWithSpaces>29655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dc:creator>
  <cp:keywords/>
  <dc:description/>
  <cp:lastModifiedBy>Yinyin</cp:lastModifiedBy>
  <cp:revision>18</cp:revision>
  <dcterms:created xsi:type="dcterms:W3CDTF">2015-04-08T14:06:00Z</dcterms:created>
  <dcterms:modified xsi:type="dcterms:W3CDTF">2015-07-06T11:52:00Z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yinyin.yuan@icr.ac.uk@www.mendeley.com</vt:lpwstr>
  </property>
  <property fmtid="{D5CDD505-2E9C-101B-9397-08002B2CF9AE}" pid="4" name="Mendeley Citation Style_1">
    <vt:lpwstr>http://csl.mendeley.com/styles/75605291/vancouver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http://csl.mendeley.com/styles/75605291/vancouver</vt:lpwstr>
  </property>
  <property fmtid="{D5CDD505-2E9C-101B-9397-08002B2CF9AE}" pid="24" name="Mendeley Recent Style Name 9_1">
    <vt:lpwstr>Vancouver - Yinyin Yuan</vt:lpwstr>
  </property>
</Properties>
</file>