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8B2" w:rsidRPr="00411934" w:rsidRDefault="00C268B2" w:rsidP="00C268B2">
      <w:pPr>
        <w:rPr>
          <w:rFonts w:ascii="Arial" w:hAnsi="Arial" w:cs="Arial"/>
          <w:sz w:val="24"/>
          <w:szCs w:val="24"/>
        </w:rPr>
      </w:pPr>
      <w:r w:rsidRPr="00411934">
        <w:rPr>
          <w:rFonts w:ascii="Arial" w:hAnsi="Arial" w:cs="Arial"/>
          <w:b/>
          <w:sz w:val="24"/>
          <w:szCs w:val="24"/>
        </w:rPr>
        <w:t xml:space="preserve">Table </w:t>
      </w:r>
      <w:r w:rsidR="002A2C52">
        <w:rPr>
          <w:rFonts w:ascii="Arial" w:hAnsi="Arial" w:cs="Arial"/>
          <w:b/>
          <w:sz w:val="24"/>
          <w:szCs w:val="24"/>
        </w:rPr>
        <w:t>S</w:t>
      </w:r>
      <w:r w:rsidRPr="00411934">
        <w:rPr>
          <w:rFonts w:ascii="Arial" w:hAnsi="Arial" w:cs="Arial"/>
          <w:b/>
          <w:sz w:val="24"/>
          <w:szCs w:val="24"/>
        </w:rPr>
        <w:t>1</w:t>
      </w:r>
      <w:r w:rsidRPr="00411934">
        <w:rPr>
          <w:rFonts w:ascii="Arial" w:hAnsi="Arial" w:cs="Arial"/>
          <w:sz w:val="24"/>
          <w:szCs w:val="24"/>
        </w:rPr>
        <w:t>. Top gene ontologies and pathways involved in each subtype.</w:t>
      </w:r>
      <w:bookmarkStart w:id="0" w:name="_GoBack"/>
      <w:bookmarkEnd w:id="0"/>
    </w:p>
    <w:tbl>
      <w:tblPr>
        <w:tblStyle w:val="61"/>
        <w:tblpPr w:leftFromText="180" w:rightFromText="180" w:vertAnchor="text" w:horzAnchor="margin" w:tblpX="79" w:tblpY="317"/>
        <w:tblW w:w="10456" w:type="dxa"/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4111"/>
        <w:gridCol w:w="4536"/>
      </w:tblGrid>
      <w:tr w:rsidR="00C268B2" w:rsidRPr="00411934" w:rsidTr="008141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268B2" w:rsidRPr="00411934" w:rsidRDefault="00C268B2" w:rsidP="0081419D">
            <w:pPr>
              <w:jc w:val="center"/>
              <w:rPr>
                <w:rFonts w:ascii="Arial" w:eastAsia="宋体" w:hAnsi="Arial" w:cs="Arial"/>
                <w:sz w:val="24"/>
                <w:szCs w:val="21"/>
              </w:rPr>
            </w:pPr>
            <w:r w:rsidRPr="00411934">
              <w:rPr>
                <w:rFonts w:ascii="Arial" w:eastAsia="宋体" w:hAnsi="Arial" w:cs="Arial"/>
                <w:sz w:val="24"/>
                <w:szCs w:val="21"/>
              </w:rPr>
              <w:t>Subtypes</w:t>
            </w:r>
          </w:p>
        </w:tc>
        <w:tc>
          <w:tcPr>
            <w:tcW w:w="4394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268B2" w:rsidRPr="00411934" w:rsidRDefault="00C268B2" w:rsidP="008141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4"/>
                <w:szCs w:val="21"/>
              </w:rPr>
            </w:pPr>
            <w:r w:rsidRPr="00411934">
              <w:rPr>
                <w:rFonts w:ascii="Arial" w:eastAsia="宋体" w:hAnsi="Arial" w:cs="Arial"/>
                <w:sz w:val="24"/>
                <w:szCs w:val="21"/>
              </w:rPr>
              <w:t>Top gene ontologies</w:t>
            </w:r>
          </w:p>
        </w:tc>
        <w:tc>
          <w:tcPr>
            <w:tcW w:w="453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268B2" w:rsidRPr="00411934" w:rsidRDefault="00C268B2" w:rsidP="008141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4"/>
                <w:szCs w:val="21"/>
              </w:rPr>
            </w:pPr>
            <w:r w:rsidRPr="00411934">
              <w:rPr>
                <w:rFonts w:ascii="Arial" w:eastAsia="宋体" w:hAnsi="Arial" w:cs="Arial"/>
                <w:sz w:val="24"/>
                <w:szCs w:val="21"/>
              </w:rPr>
              <w:t>Top pathways</w:t>
            </w:r>
          </w:p>
        </w:tc>
      </w:tr>
      <w:tr w:rsidR="00C268B2" w:rsidRPr="00411934" w:rsidTr="008141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gridSpan w:val="2"/>
            <w:tcBorders>
              <w:top w:val="single" w:sz="18" w:space="0" w:color="000000" w:themeColor="text1"/>
            </w:tcBorders>
            <w:vAlign w:val="center"/>
          </w:tcPr>
          <w:p w:rsidR="00C268B2" w:rsidRPr="00411934" w:rsidRDefault="00C268B2" w:rsidP="0081419D">
            <w:pPr>
              <w:jc w:val="center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Immuno-</w:t>
            </w:r>
          </w:p>
          <w:p w:rsidR="00C268B2" w:rsidRPr="00411934" w:rsidRDefault="00C268B2" w:rsidP="0081419D">
            <w:pPr>
              <w:jc w:val="center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modulatory</w:t>
            </w:r>
          </w:p>
          <w:p w:rsidR="00C268B2" w:rsidRPr="00411934" w:rsidRDefault="00C268B2" w:rsidP="0081419D">
            <w:pPr>
              <w:jc w:val="center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(IM)</w:t>
            </w:r>
          </w:p>
        </w:tc>
        <w:tc>
          <w:tcPr>
            <w:tcW w:w="4111" w:type="dxa"/>
            <w:tcBorders>
              <w:top w:val="single" w:sz="18" w:space="0" w:color="000000" w:themeColor="text1"/>
            </w:tcBorders>
          </w:tcPr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Immune response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T cell costimulation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Innate immune response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Defense response to virus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Inflammatory response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Response to virus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T cell receptor signaling pathway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B cell activation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Cytokine-mediated signaling pathway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Interferon-gamma-mediated signaling pathway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Regulation of immune response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Dendritic cell chemotaxis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Cell surface receptor signaling pathway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Complement activation, classical pathway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Positive regulation of T cell proliferation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B cell receptor signaling pathway</w:t>
            </w:r>
          </w:p>
        </w:tc>
        <w:tc>
          <w:tcPr>
            <w:tcW w:w="4536" w:type="dxa"/>
            <w:tcBorders>
              <w:top w:val="single" w:sz="18" w:space="0" w:color="000000" w:themeColor="text1"/>
            </w:tcBorders>
          </w:tcPr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Cell adhesion molecules (CAMs)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Intestinal immune network for IgA production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Influenza A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Hematopoietic cell lineage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Rheumatoid arthritis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Chemokine signaling pathway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Cytokine-cytokine receptor interaction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Leishmaniasis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Autoimmune thyroid disease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Allograft rejection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Staphylococcus aureus infection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Graft-versus-host disease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Type I diabetes mellitus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Herpes simplex infection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Measles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Antigen processing and presentation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NF-kappa B signaling pathway</w:t>
            </w:r>
          </w:p>
        </w:tc>
      </w:tr>
      <w:tr w:rsidR="00C268B2" w:rsidRPr="00411934" w:rsidTr="008141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gridSpan w:val="2"/>
            <w:vAlign w:val="center"/>
          </w:tcPr>
          <w:p w:rsidR="00C268B2" w:rsidRPr="00411934" w:rsidRDefault="00C268B2" w:rsidP="0081419D">
            <w:pPr>
              <w:jc w:val="center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Luminal androgen receptor</w:t>
            </w:r>
          </w:p>
          <w:p w:rsidR="00C268B2" w:rsidRPr="00411934" w:rsidRDefault="00C268B2" w:rsidP="0081419D">
            <w:pPr>
              <w:jc w:val="center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(LAR)</w:t>
            </w:r>
          </w:p>
        </w:tc>
        <w:tc>
          <w:tcPr>
            <w:tcW w:w="4111" w:type="dxa"/>
          </w:tcPr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Small molecule metabolic process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Xenobiotic metabolic process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Transmembrane transport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Fatty acid biosynthetic process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Androgen biosynthetic process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Androgen and estrogen metabolism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Cellular nitrogen compound metabolic process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Steroid metabolic process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Transport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Lipid metabolic process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Cellular lipid metabolic process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Activation of prostate induction by Androgen receptor signaling pathway</w:t>
            </w:r>
          </w:p>
        </w:tc>
        <w:tc>
          <w:tcPr>
            <w:tcW w:w="4536" w:type="dxa"/>
          </w:tcPr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Metabolic pathways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Steroid hormone biosynthesis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Metabolism of xenobiotics by cytochrome P450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Drug metabolism - cytochrome P450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Chemical carcinogenesis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Pentose and glucuronate interconversions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Starch and sucrose metabolism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Porphyrin and chlorophyll metabolism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PPAR signaling pathway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Drug metabolism - other enzymes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Peroxisome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</w:p>
        </w:tc>
      </w:tr>
      <w:tr w:rsidR="00C268B2" w:rsidRPr="00411934" w:rsidTr="008141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gridSpan w:val="2"/>
            <w:tcBorders>
              <w:bottom w:val="nil"/>
            </w:tcBorders>
            <w:vAlign w:val="center"/>
          </w:tcPr>
          <w:p w:rsidR="00C268B2" w:rsidRPr="00411934" w:rsidRDefault="00C268B2" w:rsidP="0081419D">
            <w:pPr>
              <w:jc w:val="center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Mesenchymal-</w:t>
            </w:r>
          </w:p>
          <w:p w:rsidR="00C268B2" w:rsidRPr="00411934" w:rsidRDefault="00C268B2" w:rsidP="0081419D">
            <w:pPr>
              <w:jc w:val="center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like</w:t>
            </w:r>
          </w:p>
          <w:p w:rsidR="00C268B2" w:rsidRPr="00411934" w:rsidRDefault="00C268B2" w:rsidP="0081419D">
            <w:pPr>
              <w:jc w:val="center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(MES)</w:t>
            </w:r>
          </w:p>
        </w:tc>
        <w:tc>
          <w:tcPr>
            <w:tcW w:w="4111" w:type="dxa"/>
            <w:tcBorders>
              <w:bottom w:val="nil"/>
            </w:tcBorders>
          </w:tcPr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Cell division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Mitotic cell cycle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Mitotic prometaphase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M phase of mitotic cell cycle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Mitosis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Extracellular matrix organization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Apoptotic process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Negative regulation of apoptotic process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Chromosome segregation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Nucleosome assembly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Regulation of cyclin-dependent protein Serine/threonine kinase activity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Collagen catabolic process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Cell adhesion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Cell proliferation</w:t>
            </w:r>
          </w:p>
        </w:tc>
        <w:tc>
          <w:tcPr>
            <w:tcW w:w="4536" w:type="dxa"/>
            <w:tcBorders>
              <w:bottom w:val="nil"/>
            </w:tcBorders>
          </w:tcPr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Cytokine-cytokine receptor interaction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Staphylococcus aureus infection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PPAR signaling pathway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Proteoglycans in cancer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Focal adhesion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ABC transporters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Chemokine signaling pathway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Adipocytokine signaling pathway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PI3K-Akt signaling pathway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Drug metabolism - cytochrome P450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Tyrosine metabolism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TGF-beta signaling pathway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Pathways in cancer</w:t>
            </w:r>
          </w:p>
          <w:p w:rsidR="00C268B2" w:rsidRPr="00411934" w:rsidRDefault="00C268B2" w:rsidP="00814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Metabolic pathways</w:t>
            </w:r>
          </w:p>
        </w:tc>
      </w:tr>
      <w:tr w:rsidR="00C268B2" w:rsidRPr="00411934" w:rsidTr="008141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gridSpan w:val="2"/>
            <w:tcBorders>
              <w:top w:val="nil"/>
              <w:bottom w:val="single" w:sz="18" w:space="0" w:color="000000" w:themeColor="text1"/>
            </w:tcBorders>
            <w:vAlign w:val="center"/>
          </w:tcPr>
          <w:p w:rsidR="00C268B2" w:rsidRPr="00411934" w:rsidRDefault="00C268B2" w:rsidP="0081419D">
            <w:pPr>
              <w:jc w:val="center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lastRenderedPageBreak/>
              <w:t>Basal-like and immune suppressed</w:t>
            </w:r>
          </w:p>
          <w:p w:rsidR="00C268B2" w:rsidRPr="00411934" w:rsidRDefault="00C268B2" w:rsidP="0081419D">
            <w:pPr>
              <w:jc w:val="center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(BLIS)</w:t>
            </w:r>
          </w:p>
        </w:tc>
        <w:tc>
          <w:tcPr>
            <w:tcW w:w="4111" w:type="dxa"/>
            <w:tcBorders>
              <w:top w:val="nil"/>
              <w:bottom w:val="single" w:sz="18" w:space="0" w:color="000000" w:themeColor="text1"/>
            </w:tcBorders>
          </w:tcPr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Cell division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Mitotic cell cycle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Mitotic prometaphase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M phase of mitotic cell cycle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Mitosis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Cell adhesion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Serine/threonine kinase activity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Epidermis development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Cell proliferation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DNA replication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DNA repair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Mitotic anaphase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Apoptotic process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Positive regulation of apoptotic process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Immune response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Innate immune response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Cell adhesion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Small molecule metabolic process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Blood coagulation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Inflammatory response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T cell costimulation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Complement activation, classical pathway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i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i/>
                <w:sz w:val="21"/>
                <w:szCs w:val="21"/>
              </w:rPr>
              <w:t>Platelet degranulation</w:t>
            </w:r>
          </w:p>
        </w:tc>
        <w:tc>
          <w:tcPr>
            <w:tcW w:w="4536" w:type="dxa"/>
            <w:tcBorders>
              <w:top w:val="nil"/>
              <w:bottom w:val="single" w:sz="18" w:space="0" w:color="000000" w:themeColor="text1"/>
            </w:tcBorders>
          </w:tcPr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Systemic lupus erythematosus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Alcoholism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Cell cycle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Pathways in cancer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ECM-receptor interaction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Oocyte meiosis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Cell adhesion molecules (CAMs)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Progesterone-mediated oocyte maturation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p53 signaling pathway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Viral carcinogenesis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Transcriptional misregulation in cancer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Arrhythmogenic right ventricular Cardiomyopathy (ARVC)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Focal adhesion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Wnt signaling pathway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Proteoglycans in cancer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Small cell lung cancer</w:t>
            </w:r>
          </w:p>
          <w:p w:rsidR="00C268B2" w:rsidRPr="00411934" w:rsidRDefault="00C268B2" w:rsidP="00814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1"/>
                <w:szCs w:val="21"/>
              </w:rPr>
            </w:pPr>
            <w:r w:rsidRPr="00411934">
              <w:rPr>
                <w:rFonts w:ascii="Arial" w:eastAsia="宋体" w:hAnsi="Arial" w:cs="Arial"/>
                <w:sz w:val="21"/>
                <w:szCs w:val="21"/>
              </w:rPr>
              <w:t>PI3K-Akt signaling pathway</w:t>
            </w:r>
          </w:p>
        </w:tc>
      </w:tr>
    </w:tbl>
    <w:p w:rsidR="00C268B2" w:rsidRPr="00411934" w:rsidRDefault="00C268B2" w:rsidP="00C268B2">
      <w:pPr>
        <w:rPr>
          <w:rFonts w:ascii="Arial" w:hAnsi="Arial" w:cs="Arial"/>
          <w:sz w:val="24"/>
          <w:szCs w:val="24"/>
        </w:rPr>
      </w:pPr>
      <w:r w:rsidRPr="00411934">
        <w:rPr>
          <w:rFonts w:ascii="Arial" w:hAnsi="Arial" w:cs="Arial"/>
          <w:sz w:val="24"/>
          <w:szCs w:val="24"/>
        </w:rPr>
        <w:t>Notes: Gene ontology names in italics present downregulated function in the subtype. Others are upregulated.</w:t>
      </w:r>
    </w:p>
    <w:p w:rsidR="006E2788" w:rsidRDefault="006E2788"/>
    <w:sectPr w:rsidR="006E27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0C4" w:rsidRDefault="008750C4" w:rsidP="00C268B2">
      <w:pPr>
        <w:spacing w:after="0" w:line="240" w:lineRule="auto"/>
      </w:pPr>
      <w:r>
        <w:separator/>
      </w:r>
    </w:p>
  </w:endnote>
  <w:endnote w:type="continuationSeparator" w:id="0">
    <w:p w:rsidR="008750C4" w:rsidRDefault="008750C4" w:rsidP="00C26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0C4" w:rsidRDefault="008750C4" w:rsidP="00C268B2">
      <w:pPr>
        <w:spacing w:after="0" w:line="240" w:lineRule="auto"/>
      </w:pPr>
      <w:r>
        <w:separator/>
      </w:r>
    </w:p>
  </w:footnote>
  <w:footnote w:type="continuationSeparator" w:id="0">
    <w:p w:rsidR="008750C4" w:rsidRDefault="008750C4" w:rsidP="00C268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0C"/>
    <w:rsid w:val="00085741"/>
    <w:rsid w:val="002A2C52"/>
    <w:rsid w:val="006E2788"/>
    <w:rsid w:val="008750C4"/>
    <w:rsid w:val="00C268B2"/>
    <w:rsid w:val="00C8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338471"/>
  <w15:chartTrackingRefBased/>
  <w15:docId w15:val="{4B5D26A1-C327-4EBE-8318-E751E955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8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C268B2"/>
  </w:style>
  <w:style w:type="paragraph" w:styleId="a5">
    <w:name w:val="footer"/>
    <w:basedOn w:val="a"/>
    <w:link w:val="a6"/>
    <w:uiPriority w:val="99"/>
    <w:unhideWhenUsed/>
    <w:rsid w:val="00C268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C268B2"/>
  </w:style>
  <w:style w:type="table" w:customStyle="1" w:styleId="61">
    <w:name w:val="清单表 6 彩色1"/>
    <w:basedOn w:val="a1"/>
    <w:uiPriority w:val="51"/>
    <w:rsid w:val="00C268B2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刘依熔</dc:creator>
  <cp:keywords/>
  <dc:description/>
  <cp:lastModifiedBy>FDSCC</cp:lastModifiedBy>
  <cp:revision>4</cp:revision>
  <dcterms:created xsi:type="dcterms:W3CDTF">2015-04-08T06:40:00Z</dcterms:created>
  <dcterms:modified xsi:type="dcterms:W3CDTF">2016-03-05T02:52:00Z</dcterms:modified>
</cp:coreProperties>
</file>