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CAF" w:rsidRPr="00212BF9" w:rsidRDefault="00501CAF" w:rsidP="00501CAF">
      <w:pPr>
        <w:spacing w:after="0"/>
        <w:rPr>
          <w:b/>
        </w:rPr>
      </w:pPr>
      <w:r w:rsidRPr="00212BF9">
        <w:rPr>
          <w:b/>
        </w:rPr>
        <w:t>Additional file 2:</w:t>
      </w:r>
    </w:p>
    <w:p w:rsidR="00501CAF" w:rsidRDefault="00501CAF" w:rsidP="00501CAF">
      <w:pPr>
        <w:spacing w:after="0"/>
      </w:pPr>
      <w:r w:rsidRPr="001C774C">
        <w:rPr>
          <w:rFonts w:hint="eastAsia"/>
        </w:rPr>
        <w:t xml:space="preserve">Table </w:t>
      </w:r>
      <w:r>
        <w:t>S2</w:t>
      </w:r>
      <w:r w:rsidRPr="001C774C">
        <w:rPr>
          <w:rFonts w:hint="eastAsia"/>
        </w:rPr>
        <w:t xml:space="preserve">. </w:t>
      </w:r>
      <w:r>
        <w:t>Maximum-likelihood estimates (MLE) and 95% confidence intervals (C</w:t>
      </w:r>
      <w:r>
        <w:rPr>
          <w:rFonts w:hint="eastAsia"/>
        </w:rPr>
        <w:t>I</w:t>
      </w:r>
      <w:r>
        <w:t xml:space="preserve">s) </w:t>
      </w:r>
      <w:r>
        <w:rPr>
          <w:rFonts w:hint="eastAsia"/>
        </w:rPr>
        <w:t xml:space="preserve">based on </w:t>
      </w:r>
      <w:r>
        <w:t xml:space="preserve">the </w:t>
      </w:r>
      <w:r>
        <w:rPr>
          <w:rFonts w:hint="eastAsia"/>
        </w:rPr>
        <w:t xml:space="preserve">non-homogeneous and </w:t>
      </w:r>
      <w:r>
        <w:t xml:space="preserve">the </w:t>
      </w:r>
      <w:r>
        <w:rPr>
          <w:rFonts w:hint="eastAsia"/>
        </w:rPr>
        <w:t xml:space="preserve">homogeneous multi-state model </w:t>
      </w:r>
      <w:r>
        <w:t>of the in situ and invasive breast cancer</w:t>
      </w:r>
    </w:p>
    <w:tbl>
      <w:tblPr>
        <w:tblStyle w:val="TableGrid"/>
        <w:tblW w:w="13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276"/>
        <w:gridCol w:w="1559"/>
        <w:gridCol w:w="142"/>
        <w:gridCol w:w="2126"/>
        <w:gridCol w:w="2268"/>
        <w:gridCol w:w="3119"/>
      </w:tblGrid>
      <w:tr w:rsidR="00501CAF" w:rsidTr="0031751B">
        <w:trPr>
          <w:trHeight w:val="522"/>
        </w:trPr>
        <w:tc>
          <w:tcPr>
            <w:tcW w:w="2518" w:type="dxa"/>
            <w:vMerge w:val="restart"/>
            <w:tcBorders>
              <w:top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Description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Parameter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t>MLE (95% CI)</w:t>
            </w:r>
          </w:p>
        </w:tc>
      </w:tr>
      <w:tr w:rsidR="00501CAF" w:rsidTr="0031751B">
        <w:trPr>
          <w:trHeight w:val="522"/>
        </w:trPr>
        <w:tc>
          <w:tcPr>
            <w:tcW w:w="2518" w:type="dxa"/>
            <w:vMerge/>
            <w:vAlign w:val="center"/>
          </w:tcPr>
          <w:p w:rsidR="00501CAF" w:rsidRDefault="00501CAF" w:rsidP="0031751B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501CAF" w:rsidRDefault="00501CAF" w:rsidP="0031751B">
            <w:pPr>
              <w:jc w:val="center"/>
            </w:pPr>
          </w:p>
        </w:tc>
        <w:tc>
          <w:tcPr>
            <w:tcW w:w="6095" w:type="dxa"/>
            <w:gridSpan w:val="4"/>
            <w:tcBorders>
              <w:top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Non-homogeneous model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Homogeneous model</w:t>
            </w:r>
          </w:p>
          <w:p w:rsidR="00501CAF" w:rsidRDefault="00501CAF" w:rsidP="0031751B">
            <w:pPr>
              <w:jc w:val="center"/>
            </w:pPr>
          </w:p>
        </w:tc>
      </w:tr>
      <w:tr w:rsidR="00501CAF" w:rsidTr="0031751B">
        <w:trPr>
          <w:trHeight w:val="522"/>
        </w:trPr>
        <w:tc>
          <w:tcPr>
            <w:tcW w:w="2518" w:type="dxa"/>
            <w:vMerge/>
            <w:tcBorders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40-49</w:t>
            </w:r>
            <w:r>
              <w:t xml:space="preserve"> 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50-59</w:t>
            </w:r>
            <w:r>
              <w:t xml:space="preserve"> y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60-69</w:t>
            </w:r>
            <w:r>
              <w:t xml:space="preserve"> </w:t>
            </w:r>
            <w:proofErr w:type="spellStart"/>
            <w:r>
              <w:t>y</w:t>
            </w:r>
            <w:r w:rsidRPr="00BD448E">
              <w:rPr>
                <w:rFonts w:hint="eastAsia"/>
                <w:vertAlign w:val="superscript"/>
              </w:rPr>
              <w:t>a</w:t>
            </w:r>
            <w:proofErr w:type="spellEnd"/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</w:p>
        </w:tc>
      </w:tr>
      <w:tr w:rsidR="00501CAF" w:rsidTr="0031751B">
        <w:trPr>
          <w:trHeight w:val="561"/>
        </w:trPr>
        <w:tc>
          <w:tcPr>
            <w:tcW w:w="2518" w:type="dxa"/>
            <w:tcBorders>
              <w:top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Transition rate from free of BC to progressive PCDP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 w:rsidRPr="001C774C">
              <w:rPr>
                <w:position w:val="-12"/>
              </w:rPr>
              <w:object w:dxaOrig="60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18.75pt" o:ole="">
                  <v:imagedata r:id="rId5" o:title=""/>
                </v:shape>
                <o:OLEObject Type="Embed" ProgID="Equation.DSMT4" ShapeID="_x0000_i1025" DrawAspect="Content" ObjectID="_1604589550" r:id="rId6"/>
              </w:objec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t>0.00308</w:t>
            </w:r>
          </w:p>
          <w:p w:rsidR="00501CAF" w:rsidRDefault="00501CAF" w:rsidP="0031751B">
            <w:pPr>
              <w:jc w:val="center"/>
            </w:pPr>
            <w:r>
              <w:t>(0.00300, 0.0031</w:t>
            </w:r>
            <w:r>
              <w:rPr>
                <w:rFonts w:hint="eastAsia"/>
              </w:rPr>
              <w:t>6</w:t>
            </w:r>
            <w: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t>0.004</w:t>
            </w:r>
            <w:r>
              <w:rPr>
                <w:rFonts w:hint="eastAsia"/>
              </w:rPr>
              <w:t>20</w:t>
            </w:r>
          </w:p>
          <w:p w:rsidR="00501CAF" w:rsidRDefault="00501CAF" w:rsidP="0031751B">
            <w:pPr>
              <w:jc w:val="center"/>
            </w:pPr>
            <w:r>
              <w:t>(0.004</w:t>
            </w:r>
            <w:r>
              <w:rPr>
                <w:rFonts w:hint="eastAsia"/>
              </w:rPr>
              <w:t>10</w:t>
            </w:r>
            <w:r>
              <w:t>, 0.00429)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0.00336</w:t>
            </w:r>
          </w:p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(0.00331, 0.00342)</w:t>
            </w:r>
          </w:p>
        </w:tc>
      </w:tr>
      <w:tr w:rsidR="00501CAF" w:rsidTr="0031751B">
        <w:trPr>
          <w:trHeight w:val="261"/>
        </w:trPr>
        <w:tc>
          <w:tcPr>
            <w:tcW w:w="2518" w:type="dxa"/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Transition rate from progressive PCDP to CP</w:t>
            </w:r>
          </w:p>
        </w:tc>
        <w:tc>
          <w:tcPr>
            <w:tcW w:w="1276" w:type="dxa"/>
            <w:vAlign w:val="center"/>
          </w:tcPr>
          <w:p w:rsidR="00501CAF" w:rsidRDefault="00501CAF" w:rsidP="0031751B">
            <w:pPr>
              <w:jc w:val="center"/>
            </w:pPr>
            <w:r w:rsidRPr="001C774C">
              <w:rPr>
                <w:position w:val="-12"/>
              </w:rPr>
              <w:object w:dxaOrig="600" w:dyaOrig="360">
                <v:shape id="_x0000_i1026" type="#_x0000_t75" style="width:30pt;height:18.75pt" o:ole="">
                  <v:imagedata r:id="rId7" o:title=""/>
                </v:shape>
                <o:OLEObject Type="Embed" ProgID="Equation.DSMT4" ShapeID="_x0000_i1026" DrawAspect="Content" ObjectID="_1604589551" r:id="rId8"/>
              </w:object>
            </w:r>
          </w:p>
        </w:tc>
        <w:tc>
          <w:tcPr>
            <w:tcW w:w="1701" w:type="dxa"/>
            <w:gridSpan w:val="2"/>
            <w:vAlign w:val="center"/>
          </w:tcPr>
          <w:p w:rsidR="00501CAF" w:rsidRDefault="00501CAF" w:rsidP="0031751B">
            <w:pPr>
              <w:jc w:val="center"/>
            </w:pPr>
            <w:r>
              <w:t>0.288</w:t>
            </w:r>
          </w:p>
          <w:p w:rsidR="00501CAF" w:rsidRDefault="00501CAF" w:rsidP="0031751B">
            <w:pPr>
              <w:jc w:val="center"/>
            </w:pPr>
            <w:r>
              <w:t>(0.256, 0.3</w:t>
            </w:r>
            <w:r>
              <w:rPr>
                <w:rFonts w:hint="eastAsia"/>
              </w:rPr>
              <w:t>20</w:t>
            </w:r>
            <w:r>
              <w:t>)</w:t>
            </w:r>
          </w:p>
        </w:tc>
        <w:tc>
          <w:tcPr>
            <w:tcW w:w="2126" w:type="dxa"/>
            <w:vAlign w:val="center"/>
          </w:tcPr>
          <w:p w:rsidR="00501CAF" w:rsidRDefault="00501CAF" w:rsidP="0031751B">
            <w:pPr>
              <w:jc w:val="center"/>
            </w:pPr>
            <w:r>
              <w:t>0.43</w:t>
            </w:r>
            <w:r>
              <w:rPr>
                <w:rFonts w:hint="eastAsia"/>
              </w:rPr>
              <w:t>4</w:t>
            </w:r>
          </w:p>
          <w:p w:rsidR="00501CAF" w:rsidRDefault="00501CAF" w:rsidP="0031751B">
            <w:pPr>
              <w:jc w:val="center"/>
            </w:pPr>
            <w:r>
              <w:t>(0.408, 0.458)</w:t>
            </w:r>
          </w:p>
        </w:tc>
        <w:tc>
          <w:tcPr>
            <w:tcW w:w="2268" w:type="dxa"/>
            <w:vAlign w:val="center"/>
          </w:tcPr>
          <w:p w:rsidR="00501CAF" w:rsidRDefault="00501CAF" w:rsidP="0031751B">
            <w:pPr>
              <w:jc w:val="center"/>
            </w:pPr>
            <w:r>
              <w:t>0.271</w:t>
            </w:r>
          </w:p>
          <w:p w:rsidR="00501CAF" w:rsidRDefault="00501CAF" w:rsidP="0031751B">
            <w:pPr>
              <w:jc w:val="center"/>
            </w:pPr>
            <w:r>
              <w:t>(0.256, 0.287)</w:t>
            </w:r>
          </w:p>
        </w:tc>
        <w:tc>
          <w:tcPr>
            <w:tcW w:w="3119" w:type="dxa"/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0.416</w:t>
            </w:r>
          </w:p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(0.400,0.433)</w:t>
            </w:r>
          </w:p>
        </w:tc>
      </w:tr>
      <w:tr w:rsidR="00501CAF" w:rsidTr="0031751B">
        <w:trPr>
          <w:trHeight w:val="261"/>
        </w:trPr>
        <w:tc>
          <w:tcPr>
            <w:tcW w:w="2518" w:type="dxa"/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 xml:space="preserve">Ratio of </w:t>
            </w:r>
            <w:r w:rsidRPr="001C774C">
              <w:rPr>
                <w:position w:val="-12"/>
              </w:rPr>
              <w:object w:dxaOrig="600" w:dyaOrig="360">
                <v:shape id="_x0000_i1027" type="#_x0000_t75" style="width:30pt;height:18.75pt" o:ole="">
                  <v:imagedata r:id="rId9" o:title=""/>
                </v:shape>
                <o:OLEObject Type="Embed" ProgID="Equation.DSMT4" ShapeID="_x0000_i1027" DrawAspect="Content" ObjectID="_1604589552" r:id="rId10"/>
              </w:object>
            </w:r>
            <w:r>
              <w:t xml:space="preserve"> </w:t>
            </w:r>
            <w:r>
              <w:rPr>
                <w:rFonts w:hint="eastAsia"/>
              </w:rPr>
              <w:t xml:space="preserve">to </w:t>
            </w:r>
            <w:r w:rsidRPr="001C774C">
              <w:rPr>
                <w:position w:val="-12"/>
              </w:rPr>
              <w:object w:dxaOrig="600" w:dyaOrig="360">
                <v:shape id="_x0000_i1028" type="#_x0000_t75" style="width:30pt;height:18.75pt" o:ole="">
                  <v:imagedata r:id="rId5" o:title=""/>
                </v:shape>
                <o:OLEObject Type="Embed" ProgID="Equation.DSMT4" ShapeID="_x0000_i1028" DrawAspect="Content" ObjectID="_1604589553" r:id="rId11"/>
              </w:object>
            </w:r>
          </w:p>
        </w:tc>
        <w:tc>
          <w:tcPr>
            <w:tcW w:w="1276" w:type="dxa"/>
            <w:vAlign w:val="center"/>
          </w:tcPr>
          <w:p w:rsidR="00501CAF" w:rsidRDefault="00501CAF" w:rsidP="0031751B">
            <w:pPr>
              <w:jc w:val="center"/>
            </w:pPr>
            <w:r w:rsidRPr="001C774C">
              <w:rPr>
                <w:position w:val="-4"/>
              </w:rPr>
              <w:object w:dxaOrig="180" w:dyaOrig="200">
                <v:shape id="_x0000_i1029" type="#_x0000_t75" style="width:9.75pt;height:10.5pt" o:ole="">
                  <v:imagedata r:id="rId12" o:title=""/>
                </v:shape>
                <o:OLEObject Type="Embed" ProgID="Equation.DSMT4" ShapeID="_x0000_i1029" DrawAspect="Content" ObjectID="_1604589554" r:id="rId13"/>
              </w:object>
            </w:r>
          </w:p>
        </w:tc>
        <w:tc>
          <w:tcPr>
            <w:tcW w:w="6095" w:type="dxa"/>
            <w:gridSpan w:val="4"/>
            <w:vAlign w:val="center"/>
          </w:tcPr>
          <w:p w:rsidR="00501CAF" w:rsidRDefault="00501CAF" w:rsidP="0031751B">
            <w:pPr>
              <w:jc w:val="center"/>
            </w:pPr>
            <w:r>
              <w:t>0.00241</w:t>
            </w:r>
          </w:p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(0</w:t>
            </w:r>
            <w:r>
              <w:t>, 0.00621)</w:t>
            </w:r>
          </w:p>
        </w:tc>
        <w:tc>
          <w:tcPr>
            <w:tcW w:w="3119" w:type="dxa"/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1.768</w:t>
            </w:r>
            <w:r w:rsidRPr="00534D3E">
              <w:rPr>
                <w:position w:val="-6"/>
              </w:rPr>
              <w:object w:dxaOrig="600" w:dyaOrig="320">
                <v:shape id="_x0000_i1030" type="#_x0000_t75" style="width:30pt;height:16.5pt" o:ole="">
                  <v:imagedata r:id="rId14" o:title=""/>
                </v:shape>
                <o:OLEObject Type="Embed" ProgID="Equation.DSMT4" ShapeID="_x0000_i1030" DrawAspect="Content" ObjectID="_1604589555" r:id="rId15"/>
              </w:object>
            </w:r>
          </w:p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(0, 8.498</w:t>
            </w:r>
            <w:r w:rsidRPr="00534D3E">
              <w:rPr>
                <w:position w:val="-6"/>
              </w:rPr>
              <w:object w:dxaOrig="600" w:dyaOrig="320">
                <v:shape id="_x0000_i1031" type="#_x0000_t75" style="width:30pt;height:16.5pt" o:ole="">
                  <v:imagedata r:id="rId16" o:title=""/>
                </v:shape>
                <o:OLEObject Type="Embed" ProgID="Equation.DSMT4" ShapeID="_x0000_i1031" DrawAspect="Content" ObjectID="_1604589556" r:id="rId17"/>
              </w:object>
            </w:r>
            <w:r>
              <w:rPr>
                <w:rFonts w:hint="eastAsia"/>
              </w:rPr>
              <w:t>)</w:t>
            </w:r>
          </w:p>
        </w:tc>
      </w:tr>
      <w:tr w:rsidR="00501CAF" w:rsidTr="0031751B">
        <w:trPr>
          <w:trHeight w:val="261"/>
        </w:trPr>
        <w:tc>
          <w:tcPr>
            <w:tcW w:w="2518" w:type="dxa"/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Sensitivity</w:t>
            </w:r>
          </w:p>
        </w:tc>
        <w:tc>
          <w:tcPr>
            <w:tcW w:w="1276" w:type="dxa"/>
            <w:vAlign w:val="center"/>
          </w:tcPr>
          <w:p w:rsidR="00501CAF" w:rsidRDefault="00501CAF" w:rsidP="0031751B">
            <w:pPr>
              <w:jc w:val="center"/>
            </w:pPr>
            <w:r w:rsidRPr="001C774C">
              <w:rPr>
                <w:position w:val="-6"/>
              </w:rPr>
              <w:object w:dxaOrig="220" w:dyaOrig="279">
                <v:shape id="_x0000_i1032" type="#_x0000_t75" style="width:10.5pt;height:14.25pt" o:ole="">
                  <v:imagedata r:id="rId18" o:title=""/>
                </v:shape>
                <o:OLEObject Type="Embed" ProgID="Equation.DSMT4" ShapeID="_x0000_i1032" DrawAspect="Content" ObjectID="_1604589557" r:id="rId19"/>
              </w:object>
            </w:r>
          </w:p>
        </w:tc>
        <w:tc>
          <w:tcPr>
            <w:tcW w:w="6095" w:type="dxa"/>
            <w:gridSpan w:val="4"/>
            <w:vAlign w:val="center"/>
          </w:tcPr>
          <w:p w:rsidR="00501CAF" w:rsidRDefault="00501CAF" w:rsidP="0031751B">
            <w:pPr>
              <w:jc w:val="center"/>
            </w:pPr>
            <w:r>
              <w:t>0.883</w:t>
            </w:r>
          </w:p>
          <w:p w:rsidR="00501CAF" w:rsidRDefault="00501CAF" w:rsidP="0031751B">
            <w:pPr>
              <w:jc w:val="center"/>
            </w:pPr>
            <w:r>
              <w:t>(0.85</w:t>
            </w:r>
            <w:r>
              <w:rPr>
                <w:rFonts w:hint="eastAsia"/>
              </w:rPr>
              <w:t>7</w:t>
            </w:r>
            <w:r>
              <w:t>, 0.910)</w:t>
            </w:r>
          </w:p>
        </w:tc>
        <w:tc>
          <w:tcPr>
            <w:tcW w:w="3119" w:type="dxa"/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0.930</w:t>
            </w:r>
          </w:p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(0.908, 0.952)</w:t>
            </w:r>
          </w:p>
        </w:tc>
      </w:tr>
      <w:tr w:rsidR="00501CAF" w:rsidTr="0031751B">
        <w:trPr>
          <w:trHeight w:val="271"/>
        </w:trPr>
        <w:tc>
          <w:tcPr>
            <w:tcW w:w="2518" w:type="dxa"/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-2*log(likelihood)</w:t>
            </w:r>
          </w:p>
        </w:tc>
        <w:tc>
          <w:tcPr>
            <w:tcW w:w="1276" w:type="dxa"/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NA</w:t>
            </w:r>
          </w:p>
        </w:tc>
        <w:tc>
          <w:tcPr>
            <w:tcW w:w="6095" w:type="dxa"/>
            <w:gridSpan w:val="4"/>
            <w:vAlign w:val="center"/>
          </w:tcPr>
          <w:p w:rsidR="00501CAF" w:rsidRDefault="00501CAF" w:rsidP="0031751B">
            <w:pPr>
              <w:jc w:val="center"/>
            </w:pPr>
            <w:r>
              <w:t>217619</w:t>
            </w:r>
          </w:p>
        </w:tc>
        <w:tc>
          <w:tcPr>
            <w:tcW w:w="3119" w:type="dxa"/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215142</w:t>
            </w:r>
          </w:p>
        </w:tc>
      </w:tr>
      <w:tr w:rsidR="00501CAF" w:rsidTr="0031751B">
        <w:trPr>
          <w:trHeight w:val="271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Mean sojourn time (year)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 w:rsidRPr="00212BF9">
              <w:rPr>
                <w:position w:val="-30"/>
              </w:rPr>
              <w:object w:dxaOrig="639" w:dyaOrig="680">
                <v:shape id="_x0000_i1033" type="#_x0000_t75" style="width:31.5pt;height:34.5pt" o:ole="">
                  <v:imagedata r:id="rId20" o:title=""/>
                </v:shape>
                <o:OLEObject Type="Embed" ProgID="Equation.DSMT4" ShapeID="_x0000_i1033" DrawAspect="Content" ObjectID="_1604589558" r:id="rId21"/>
              </w:objec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01CAF" w:rsidRPr="001B4A44" w:rsidRDefault="00501CAF" w:rsidP="0031751B">
            <w:pPr>
              <w:jc w:val="center"/>
            </w:pPr>
            <w:r>
              <w:rPr>
                <w:rFonts w:hint="eastAsia"/>
              </w:rPr>
              <w:t>3.47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501CAF" w:rsidRPr="001B4A44" w:rsidRDefault="00501CAF" w:rsidP="0031751B">
            <w:pPr>
              <w:jc w:val="center"/>
            </w:pPr>
            <w:r>
              <w:rPr>
                <w:rFonts w:hint="eastAsia"/>
              </w:rPr>
              <w:t>2.31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01CAF" w:rsidRPr="001B4A44" w:rsidRDefault="00501CAF" w:rsidP="0031751B">
            <w:pPr>
              <w:jc w:val="center"/>
            </w:pPr>
            <w:r>
              <w:rPr>
                <w:rFonts w:hint="eastAsia"/>
              </w:rPr>
              <w:t>3.69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501CAF" w:rsidRDefault="00501CAF" w:rsidP="0031751B">
            <w:pPr>
              <w:jc w:val="center"/>
            </w:pPr>
            <w:r>
              <w:rPr>
                <w:rFonts w:hint="eastAsia"/>
              </w:rPr>
              <w:t>2.40</w:t>
            </w:r>
          </w:p>
        </w:tc>
      </w:tr>
    </w:tbl>
    <w:p w:rsidR="00501CAF" w:rsidRDefault="00501CAF" w:rsidP="00501CAF">
      <w:pPr>
        <w:spacing w:after="0"/>
      </w:pPr>
      <w:r>
        <w:rPr>
          <w:rFonts w:hint="eastAsia"/>
        </w:rPr>
        <w:t>PCDP: preclinical screen-detectable phase, CP: clinical phase, MLE: maximum likelihood estimate, CI: confidence interval, MST: mean sojourn time</w:t>
      </w:r>
      <w:r>
        <w:t>, NA: not applicable</w:t>
      </w:r>
    </w:p>
    <w:p w:rsidR="00501CAF" w:rsidRDefault="00501CAF" w:rsidP="00501CAF">
      <w:pPr>
        <w:spacing w:after="0"/>
      </w:pPr>
      <w:r>
        <w:rPr>
          <w:rFonts w:hint="eastAsia"/>
        </w:rPr>
        <w:t>Likelihood-ratio test</w:t>
      </w:r>
      <w:r>
        <w:t xml:space="preserve"> of the n</w:t>
      </w:r>
      <w:r>
        <w:rPr>
          <w:rFonts w:hint="eastAsia"/>
        </w:rPr>
        <w:t xml:space="preserve">on-homogeneous </w:t>
      </w:r>
      <w:r>
        <w:t>vs the h</w:t>
      </w:r>
      <w:r>
        <w:rPr>
          <w:rFonts w:hint="eastAsia"/>
        </w:rPr>
        <w:t xml:space="preserve">omogeneous </w:t>
      </w:r>
      <w:proofErr w:type="gramStart"/>
      <w:r>
        <w:rPr>
          <w:rFonts w:hint="eastAsia"/>
        </w:rPr>
        <w:t>model</w:t>
      </w:r>
      <w:r>
        <w:t xml:space="preserve"> </w:t>
      </w:r>
      <w:r>
        <w:rPr>
          <w:rFonts w:hint="eastAsia"/>
        </w:rPr>
        <w:t>:</w:t>
      </w:r>
      <w:proofErr w:type="gramEnd"/>
      <w:r>
        <w:rPr>
          <w:rFonts w:hint="eastAsia"/>
        </w:rPr>
        <w:t xml:space="preserve"> </w:t>
      </w:r>
      <w:r w:rsidRPr="00CA69D2">
        <w:rPr>
          <w:position w:val="-14"/>
        </w:rPr>
        <w:object w:dxaOrig="400" w:dyaOrig="400">
          <v:shape id="_x0000_i1034" type="#_x0000_t75" style="width:19.5pt;height:19.5pt" o:ole="">
            <v:imagedata r:id="rId22" o:title=""/>
          </v:shape>
          <o:OLEObject Type="Embed" ProgID="Equation.DSMT4" ShapeID="_x0000_i1034" DrawAspect="Content" ObjectID="_1604589559" r:id="rId23"/>
        </w:object>
      </w:r>
      <w:r>
        <w:rPr>
          <w:rFonts w:hint="eastAsia"/>
        </w:rPr>
        <w:t>=2477, p-value&lt;0.001</w:t>
      </w:r>
    </w:p>
    <w:p w:rsidR="00584B1B" w:rsidRDefault="00501CAF" w:rsidP="00501CAF">
      <w:pPr>
        <w:spacing w:after="0"/>
      </w:pPr>
      <w:proofErr w:type="gramStart"/>
      <w:r w:rsidRPr="00BD448E">
        <w:rPr>
          <w:rFonts w:hint="eastAsia"/>
          <w:vertAlign w:val="superscript"/>
        </w:rPr>
        <w:t>a</w:t>
      </w:r>
      <w:proofErr w:type="gramEnd"/>
      <w:r>
        <w:rPr>
          <w:rFonts w:hint="eastAsia"/>
        </w:rPr>
        <w:t xml:space="preserve"> 9.65% </w:t>
      </w:r>
      <w:r>
        <w:t xml:space="preserve">of the </w:t>
      </w:r>
      <w:r>
        <w:rPr>
          <w:rFonts w:hint="eastAsia"/>
        </w:rPr>
        <w:t>women were invited to screening in age 70-74</w:t>
      </w:r>
      <w:r>
        <w:t xml:space="preserve"> </w:t>
      </w:r>
      <w:bookmarkStart w:id="0" w:name="_GoBack"/>
      <w:bookmarkEnd w:id="0"/>
    </w:p>
    <w:sectPr w:rsidR="00584B1B" w:rsidSect="00501C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CAF"/>
    <w:rsid w:val="00401764"/>
    <w:rsid w:val="00501CAF"/>
    <w:rsid w:val="00584B1B"/>
    <w:rsid w:val="00A0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1CAF"/>
    <w:pPr>
      <w:spacing w:after="0"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1CAF"/>
    <w:pPr>
      <w:spacing w:after="0"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1152</Characters>
  <Application>Microsoft Office Word</Application>
  <DocSecurity>0</DocSecurity>
  <Lines>88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2018-11-24T10:31:00Z</dcterms:created>
  <dcterms:modified xsi:type="dcterms:W3CDTF">2018-11-24T10:32:00Z</dcterms:modified>
</cp:coreProperties>
</file>