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74859" w14:textId="548BAF2C" w:rsidR="00572F17" w:rsidRPr="00572F17" w:rsidRDefault="00572F17" w:rsidP="00441552">
      <w:pPr>
        <w:spacing w:after="120"/>
        <w:jc w:val="center"/>
        <w:rPr>
          <w:rFonts w:ascii="Times New Roman" w:hAnsi="Times New Roman" w:cs="Times New Roman"/>
          <w:b/>
        </w:rPr>
      </w:pPr>
      <w:r w:rsidRPr="00572F17">
        <w:rPr>
          <w:rFonts w:ascii="Times New Roman" w:hAnsi="Times New Roman" w:cs="Times New Roman"/>
          <w:b/>
        </w:rPr>
        <w:t>Digital Slide Acquisition Procedure</w:t>
      </w:r>
      <w:r w:rsidR="00441552">
        <w:rPr>
          <w:rFonts w:ascii="Times New Roman" w:hAnsi="Times New Roman" w:cs="Times New Roman"/>
          <w:b/>
        </w:rPr>
        <w:t>:</w:t>
      </w:r>
    </w:p>
    <w:p w14:paraId="20429CEA" w14:textId="38E17981" w:rsidR="00441552" w:rsidRDefault="00572F17" w:rsidP="00953E92">
      <w:pPr>
        <w:spacing w:after="120"/>
        <w:jc w:val="both"/>
        <w:rPr>
          <w:rFonts w:ascii="Times New Roman" w:hAnsi="Times New Roman" w:cs="Times New Roman"/>
        </w:rPr>
      </w:pPr>
      <w:r>
        <w:rPr>
          <w:rFonts w:ascii="Times New Roman" w:hAnsi="Times New Roman" w:cs="Times New Roman"/>
        </w:rPr>
        <w:t>In D1, a</w:t>
      </w:r>
      <w:r w:rsidRPr="00572F17">
        <w:rPr>
          <w:rFonts w:ascii="Times New Roman" w:hAnsi="Times New Roman" w:cs="Times New Roman"/>
        </w:rPr>
        <w:t xml:space="preserve">mong the 62 tissue slides, 22 slides were scanned on a Leica SCN400 Whole slide scanner at 20x magnification in Indiana University and 40 slides were scanned using a Philips </w:t>
      </w:r>
      <w:proofErr w:type="spellStart"/>
      <w:r w:rsidRPr="00572F17">
        <w:rPr>
          <w:rFonts w:ascii="Times New Roman" w:hAnsi="Times New Roman" w:cs="Times New Roman"/>
        </w:rPr>
        <w:t>Ultra Fast</w:t>
      </w:r>
      <w:proofErr w:type="spellEnd"/>
      <w:r w:rsidRPr="00572F17">
        <w:rPr>
          <w:rFonts w:ascii="Times New Roman" w:hAnsi="Times New Roman" w:cs="Times New Roman"/>
        </w:rPr>
        <w:t xml:space="preserve"> scanner at 40x magnification in the Institute for Pathology at Case Western Reserve University. The images were subsequently downsized to 20x to maintain a consistent magnification across all the slide images. All tissue was processed for histopathologic analysis according to standard anatomic pathology protocols in compliance with all College of American Pathologist (CAP) standards</w:t>
      </w:r>
      <w:r w:rsidR="003C5E03">
        <w:rPr>
          <w:rFonts w:ascii="Times New Roman" w:hAnsi="Times New Roman" w:cs="Times New Roman"/>
        </w:rPr>
        <w:fldChar w:fldCharType="begin"/>
      </w:r>
      <w:r w:rsidR="003C5E03">
        <w:rPr>
          <w:rFonts w:ascii="Times New Roman" w:hAnsi="Times New Roman" w:cs="Times New Roman"/>
        </w:rPr>
        <w:instrText xml:space="preserve"> ADDIN ZOTERO_ITEM CSL_CITATION {"citationID":"I2PcXbAq","properties":{"formattedCitation":"\\super 1\\nosupersub{}","plainCitation":"1","noteIndex":0},"citationItems":[{"id":519,"uris":["http://zotero.org/users/4616609/items/4J2LAQHH"],"uri":["http://zotero.org/users/4616609/items/4J2LAQHH"],"itemData":{"id":519,"type":"webpage","title":"Guidelines_For_Hematoxylin_and_Eosin_Staining.pdf","URL":"http://nsh.org/sites/default/files/Guidelines_For_Hematoxylin_and_Eosin_Staining.pdf","author":[{"family":"National Society for Histotechnology","given":""}],"accessed":{"date-parts":[["2019",5,25]]}}}],"schema":"https://github.com/citation-style-language/schema/raw/master/csl-citation.json"} </w:instrText>
      </w:r>
      <w:r w:rsidR="003C5E03">
        <w:rPr>
          <w:rFonts w:ascii="Times New Roman" w:hAnsi="Times New Roman" w:cs="Times New Roman"/>
        </w:rPr>
        <w:fldChar w:fldCharType="separate"/>
      </w:r>
      <w:r w:rsidR="003C5E03" w:rsidRPr="003C5E03">
        <w:rPr>
          <w:rFonts w:ascii="Times New Roman" w:hAnsi="Times New Roman" w:cs="Times New Roman"/>
          <w:szCs w:val="24"/>
          <w:vertAlign w:val="superscript"/>
        </w:rPr>
        <w:t>1</w:t>
      </w:r>
      <w:r w:rsidR="003C5E03">
        <w:rPr>
          <w:rFonts w:ascii="Times New Roman" w:hAnsi="Times New Roman" w:cs="Times New Roman"/>
        </w:rPr>
        <w:fldChar w:fldCharType="end"/>
      </w:r>
      <w:r w:rsidRPr="00572F17">
        <w:rPr>
          <w:rFonts w:ascii="Times New Roman" w:hAnsi="Times New Roman" w:cs="Times New Roman"/>
        </w:rPr>
        <w:t xml:space="preserve">. The tissue was fixed in 10% neutral buffered formalin and processed overnight in standard tissue processors. Slides were cut at 5 microns and stained on a </w:t>
      </w:r>
      <w:proofErr w:type="spellStart"/>
      <w:r w:rsidRPr="00572F17">
        <w:rPr>
          <w:rFonts w:ascii="Times New Roman" w:hAnsi="Times New Roman" w:cs="Times New Roman"/>
        </w:rPr>
        <w:t>Ventana</w:t>
      </w:r>
      <w:proofErr w:type="spellEnd"/>
      <w:r w:rsidRPr="00572F17">
        <w:rPr>
          <w:rFonts w:ascii="Times New Roman" w:hAnsi="Times New Roman" w:cs="Times New Roman"/>
        </w:rPr>
        <w:t xml:space="preserve"> automated staining system.</w:t>
      </w:r>
    </w:p>
    <w:p w14:paraId="3CFF2979" w14:textId="72E25270" w:rsidR="003C5E03" w:rsidRDefault="003C5E03" w:rsidP="00953E92">
      <w:pPr>
        <w:spacing w:after="1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F8190B7" wp14:editId="7D5E1915">
                <wp:simplePos x="0" y="0"/>
                <wp:positionH relativeFrom="column">
                  <wp:posOffset>0</wp:posOffset>
                </wp:positionH>
                <wp:positionV relativeFrom="paragraph">
                  <wp:posOffset>68580</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E8C40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" strokecolor="black [3213]" strokeweight="1.5pt">
                <v:stroke joinstyle="miter"/>
              </v:line>
            </w:pict>
          </mc:Fallback>
        </mc:AlternateContent>
      </w:r>
    </w:p>
    <w:p w14:paraId="59B591CC" w14:textId="3A6D4966" w:rsidR="00953E92" w:rsidRPr="00441552" w:rsidRDefault="0004503C" w:rsidP="00441552">
      <w:pPr>
        <w:spacing w:after="120"/>
        <w:jc w:val="both"/>
        <w:rPr>
          <w:rFonts w:ascii="Times New Roman" w:hAnsi="Times New Roman" w:cs="Times New Roman"/>
          <w:color w:val="000000" w:themeColor="text1"/>
        </w:rPr>
      </w:pPr>
      <w:r w:rsidRPr="0004503C">
        <w:rPr>
          <w:rFonts w:ascii="Times New Roman" w:hAnsi="Times New Roman" w:cs="Times New Roman"/>
        </w:rPr>
        <w:t>In order to evaluate the staining variation across the different tissue slides, we plotted out the intensity distribution of cancer nuclei in the H&amp;E stained slide image for each of the 6</w:t>
      </w:r>
      <w:r>
        <w:rPr>
          <w:rFonts w:ascii="Times New Roman" w:hAnsi="Times New Roman" w:cs="Times New Roman"/>
        </w:rPr>
        <w:t>2 patients in D1</w:t>
      </w:r>
      <w:r w:rsidR="00953E92" w:rsidRPr="0004503C">
        <w:rPr>
          <w:rFonts w:ascii="Times New Roman" w:hAnsi="Times New Roman" w:cs="Times New Roman"/>
        </w:rPr>
        <w:t>.</w:t>
      </w:r>
      <w:r w:rsidR="00953E92" w:rsidRPr="00953E92">
        <w:rPr>
          <w:rFonts w:ascii="Times New Roman" w:hAnsi="Times New Roman" w:cs="Times New Roman"/>
        </w:rPr>
        <w:t xml:space="preserve"> </w:t>
      </w:r>
      <w:r w:rsidR="00953E92" w:rsidRPr="00953E92">
        <w:rPr>
          <w:rFonts w:ascii="Times New Roman" w:hAnsi="Times New Roman" w:cs="Times New Roman"/>
          <w:color w:val="000000" w:themeColor="text1"/>
        </w:rPr>
        <w:t>As may be seen</w:t>
      </w:r>
      <w:r>
        <w:rPr>
          <w:rFonts w:ascii="Times New Roman" w:hAnsi="Times New Roman" w:cs="Times New Roman"/>
          <w:color w:val="000000" w:themeColor="text1"/>
        </w:rPr>
        <w:t xml:space="preserve"> in Figure1</w:t>
      </w:r>
      <w:r w:rsidR="00953E92" w:rsidRPr="00953E92">
        <w:rPr>
          <w:rFonts w:ascii="Times New Roman" w:hAnsi="Times New Roman" w:cs="Times New Roman"/>
          <w:color w:val="000000" w:themeColor="text1"/>
        </w:rPr>
        <w:t>, the staining intensity was relatively uniform across all the slides.</w:t>
      </w:r>
    </w:p>
    <w:p w14:paraId="25A720BE" w14:textId="3816F80A" w:rsidR="00953E92" w:rsidRDefault="00953E92" w:rsidP="00953E92">
      <w:pPr>
        <w:spacing w:after="120"/>
        <w:jc w:val="center"/>
        <w:rPr>
          <w:rFonts w:ascii="Arial" w:hAnsi="Arial" w:cs="Arial"/>
          <w:color w:val="000000" w:themeColor="text1"/>
        </w:rPr>
      </w:pPr>
      <w:r>
        <w:rPr>
          <w:rFonts w:ascii="Arial" w:hAnsi="Arial" w:cs="Arial"/>
          <w:noProof/>
          <w:color w:val="000000" w:themeColor="text1"/>
        </w:rPr>
        <w:drawing>
          <wp:inline distT="0" distB="0" distL="0" distR="0" wp14:anchorId="347AD047" wp14:editId="0115B03E">
            <wp:extent cx="4648200" cy="4448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r="21771"/>
                    <a:stretch>
                      <a:fillRect/>
                    </a:stretch>
                  </pic:blipFill>
                  <pic:spPr bwMode="auto">
                    <a:xfrm>
                      <a:off x="0" y="0"/>
                      <a:ext cx="4648200" cy="4448175"/>
                    </a:xfrm>
                    <a:prstGeom prst="rect">
                      <a:avLst/>
                    </a:prstGeom>
                    <a:noFill/>
                    <a:ln>
                      <a:noFill/>
                    </a:ln>
                  </pic:spPr>
                </pic:pic>
              </a:graphicData>
            </a:graphic>
          </wp:inline>
        </w:drawing>
      </w:r>
    </w:p>
    <w:p w14:paraId="306BA2EC" w14:textId="58502223" w:rsidR="0086405F" w:rsidRDefault="0086405F" w:rsidP="003C5E03">
      <w:pPr>
        <w:rPr>
          <w:rFonts w:ascii="Times New Roman" w:hAnsi="Times New Roman" w:cs="Times New Roman"/>
          <w:color w:val="000000" w:themeColor="text1"/>
        </w:rPr>
      </w:pPr>
      <w:r w:rsidRPr="0086405F">
        <w:rPr>
          <w:rFonts w:ascii="Times New Roman" w:hAnsi="Times New Roman" w:cs="Times New Roman"/>
          <w:color w:val="000000" w:themeColor="text1"/>
        </w:rPr>
        <w:lastRenderedPageBreak/>
        <w:t>Figure 1: Normalized intensity distribution of cancer nuclei in the H&amp;E stained slide images for patients in D1. The green curves (N=43) in the first plot represent patients corresponding to the low ODx risk category, blue curves (N=7) in the second plot represent patients corresponding to the intermediate ODx risk category and red curves (N=12) in the third plot represent patients corresponding to the high ODx risk category. The X axis corresponds to the gray level intensity of pixels, in turn corresponding to the cancer nuclei in the gray scale image converted from H&amp;E stained slide images. The Y axis corresponds to the proportion of number of pixels with a certain intensity level compared to the summation of all the pixels.</w:t>
      </w:r>
    </w:p>
    <w:p w14:paraId="7053BFD4" w14:textId="153A6B24" w:rsidR="003C5E03" w:rsidRPr="003C5E03" w:rsidRDefault="003C5E03" w:rsidP="003C5E03">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5DC8C7D" wp14:editId="3DBDDC57">
                <wp:simplePos x="0" y="0"/>
                <wp:positionH relativeFrom="column">
                  <wp:posOffset>21895</wp:posOffset>
                </wp:positionH>
                <wp:positionV relativeFrom="paragraph">
                  <wp:posOffset>121895</wp:posOffset>
                </wp:positionV>
                <wp:extent cx="59436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C4F8A2"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pt,9.6pt" to="469.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" strokecolor="black [3213]" strokeweight="1.5pt">
                <v:stroke joinstyle="miter"/>
              </v:line>
            </w:pict>
          </mc:Fallback>
        </mc:AlternateContent>
      </w:r>
    </w:p>
    <w:p w14:paraId="5C7A2BF1" w14:textId="77927EA2" w:rsidR="0086405F" w:rsidRPr="00391B99" w:rsidRDefault="0086405F" w:rsidP="0086405F">
      <w:pPr>
        <w:spacing w:after="120"/>
        <w:jc w:val="both"/>
        <w:rPr>
          <w:rFonts w:ascii="Times New Roman" w:hAnsi="Times New Roman" w:cs="Times New Roman"/>
        </w:rPr>
      </w:pPr>
      <w:r w:rsidRPr="00391B99">
        <w:rPr>
          <w:rFonts w:ascii="Times New Roman" w:hAnsi="Times New Roman" w:cs="Times New Roman"/>
        </w:rPr>
        <w:t>Besides the univariate analysis, we have also performed a multivariate analysis based off three clinical variables with the ODx risk categories. Specifically, we built six different cox proportional hazards regression models using clinical variables (percentage of ER positively stained cells, percentage of PR positively stained cells and age) as predictors and the class derived from ODx risk categories for six different tasks (High vs. Low, High vs. Inter, Inter vs. Low, High vs. Inter + Low, High + Inter vs. Low, High vs.  Inter vs. Low). The results including the p values, Hazard ratio along with the corresponding 95% confidentia</w:t>
      </w:r>
      <w:r>
        <w:rPr>
          <w:rFonts w:ascii="Times New Roman" w:hAnsi="Times New Roman" w:cs="Times New Roman"/>
        </w:rPr>
        <w:t>l interval are shown in Table 1</w:t>
      </w:r>
      <w:r w:rsidRPr="00391B99">
        <w:rPr>
          <w:rFonts w:ascii="Times New Roman" w:hAnsi="Times New Roman" w:cs="Times New Roman"/>
        </w:rPr>
        <w:t>. No clinical variable was found to be significantly associated with the ODx risk cate</w:t>
      </w:r>
      <w:r>
        <w:rPr>
          <w:rFonts w:ascii="Times New Roman" w:hAnsi="Times New Roman" w:cs="Times New Roman"/>
        </w:rPr>
        <w:t>gories in multivariate analysis</w:t>
      </w:r>
      <w:r w:rsidRPr="00391B99">
        <w:rPr>
          <w:rFonts w:ascii="Times New Roman" w:hAnsi="Times New Roman" w:cs="Times New Roman"/>
        </w:rPr>
        <w:t>.</w:t>
      </w:r>
    </w:p>
    <w:p w14:paraId="5712A8E9" w14:textId="77777777" w:rsidR="0086405F" w:rsidRDefault="0086405F" w:rsidP="00B70E7D">
      <w:pPr>
        <w:spacing w:after="120"/>
        <w:jc w:val="both"/>
        <w:rPr>
          <w:rFonts w:ascii="Times New Roman" w:hAnsi="Times New Roman" w:cs="Times New Roman"/>
        </w:rPr>
      </w:pPr>
    </w:p>
    <w:tbl>
      <w:tblPr>
        <w:tblStyle w:val="TableGrid"/>
        <w:tblW w:w="0" w:type="auto"/>
        <w:jc w:val="center"/>
        <w:tblInd w:w="0" w:type="dxa"/>
        <w:tblLook w:val="04A0" w:firstRow="1" w:lastRow="0" w:firstColumn="1" w:lastColumn="0" w:noHBand="0" w:noVBand="1"/>
      </w:tblPr>
      <w:tblGrid>
        <w:gridCol w:w="1885"/>
        <w:gridCol w:w="2250"/>
        <w:gridCol w:w="2340"/>
        <w:gridCol w:w="2250"/>
      </w:tblGrid>
      <w:tr w:rsidR="00B70E7D" w14:paraId="05CB71A9" w14:textId="77777777" w:rsidTr="00954A62">
        <w:trPr>
          <w:trHeight w:val="413"/>
          <w:jc w:val="center"/>
        </w:trPr>
        <w:tc>
          <w:tcPr>
            <w:tcW w:w="1885" w:type="dxa"/>
            <w:vMerge w:val="restart"/>
            <w:tcBorders>
              <w:top w:val="single" w:sz="4" w:space="0" w:color="auto"/>
              <w:left w:val="single" w:sz="4" w:space="0" w:color="auto"/>
              <w:bottom w:val="single" w:sz="4" w:space="0" w:color="auto"/>
              <w:right w:val="single" w:sz="4" w:space="0" w:color="auto"/>
            </w:tcBorders>
          </w:tcPr>
          <w:p w14:paraId="56279583" w14:textId="77777777" w:rsidR="00B70E7D" w:rsidRDefault="00B70E7D" w:rsidP="00954A62">
            <w:pPr>
              <w:spacing w:after="120"/>
              <w:jc w:val="center"/>
              <w:rPr>
                <w:rFonts w:ascii="Times New Roman" w:hAnsi="Times New Roman" w:cs="Times New Roman"/>
              </w:rPr>
            </w:pPr>
          </w:p>
        </w:tc>
        <w:tc>
          <w:tcPr>
            <w:tcW w:w="2250" w:type="dxa"/>
            <w:tcBorders>
              <w:top w:val="single" w:sz="4" w:space="0" w:color="auto"/>
              <w:left w:val="single" w:sz="4" w:space="0" w:color="auto"/>
              <w:bottom w:val="single" w:sz="4" w:space="0" w:color="auto"/>
              <w:right w:val="single" w:sz="4" w:space="0" w:color="auto"/>
            </w:tcBorders>
            <w:hideMark/>
          </w:tcPr>
          <w:p w14:paraId="479F9F5A"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 xml:space="preserve">ER </w:t>
            </w:r>
          </w:p>
        </w:tc>
        <w:tc>
          <w:tcPr>
            <w:tcW w:w="2340" w:type="dxa"/>
            <w:tcBorders>
              <w:top w:val="single" w:sz="4" w:space="0" w:color="auto"/>
              <w:left w:val="single" w:sz="4" w:space="0" w:color="auto"/>
              <w:bottom w:val="single" w:sz="4" w:space="0" w:color="auto"/>
              <w:right w:val="single" w:sz="4" w:space="0" w:color="auto"/>
            </w:tcBorders>
            <w:hideMark/>
          </w:tcPr>
          <w:p w14:paraId="51B11497"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PR</w:t>
            </w:r>
          </w:p>
        </w:tc>
        <w:tc>
          <w:tcPr>
            <w:tcW w:w="2250" w:type="dxa"/>
            <w:tcBorders>
              <w:top w:val="single" w:sz="4" w:space="0" w:color="auto"/>
              <w:left w:val="single" w:sz="4" w:space="0" w:color="auto"/>
              <w:bottom w:val="single" w:sz="4" w:space="0" w:color="auto"/>
              <w:right w:val="single" w:sz="4" w:space="0" w:color="auto"/>
            </w:tcBorders>
            <w:hideMark/>
          </w:tcPr>
          <w:p w14:paraId="116FB6FB"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Age</w:t>
            </w:r>
          </w:p>
        </w:tc>
      </w:tr>
      <w:tr w:rsidR="00B70E7D" w14:paraId="0FCDF7B9" w14:textId="77777777" w:rsidTr="00954A62">
        <w:trPr>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415E4" w14:textId="77777777" w:rsidR="00B70E7D" w:rsidRDefault="00B70E7D" w:rsidP="00954A62">
            <w:pPr>
              <w:rPr>
                <w:rFonts w:ascii="Times New Roman" w:hAnsi="Times New Roman" w:cs="Times New Roman"/>
              </w:rPr>
            </w:pPr>
          </w:p>
        </w:tc>
        <w:tc>
          <w:tcPr>
            <w:tcW w:w="2250" w:type="dxa"/>
            <w:tcBorders>
              <w:top w:val="single" w:sz="4" w:space="0" w:color="auto"/>
              <w:left w:val="single" w:sz="4" w:space="0" w:color="auto"/>
              <w:bottom w:val="single" w:sz="4" w:space="0" w:color="auto"/>
              <w:right w:val="single" w:sz="4" w:space="0" w:color="auto"/>
            </w:tcBorders>
            <w:hideMark/>
          </w:tcPr>
          <w:p w14:paraId="2B58C031"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P value / HR (95% CI)</w:t>
            </w:r>
          </w:p>
        </w:tc>
        <w:tc>
          <w:tcPr>
            <w:tcW w:w="2340" w:type="dxa"/>
            <w:tcBorders>
              <w:top w:val="single" w:sz="4" w:space="0" w:color="auto"/>
              <w:left w:val="single" w:sz="4" w:space="0" w:color="auto"/>
              <w:bottom w:val="single" w:sz="4" w:space="0" w:color="auto"/>
              <w:right w:val="single" w:sz="4" w:space="0" w:color="auto"/>
            </w:tcBorders>
            <w:hideMark/>
          </w:tcPr>
          <w:p w14:paraId="06D1F504"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P value / HR (95% CI)</w:t>
            </w:r>
          </w:p>
        </w:tc>
        <w:tc>
          <w:tcPr>
            <w:tcW w:w="2250" w:type="dxa"/>
            <w:tcBorders>
              <w:top w:val="single" w:sz="4" w:space="0" w:color="auto"/>
              <w:left w:val="single" w:sz="4" w:space="0" w:color="auto"/>
              <w:bottom w:val="single" w:sz="4" w:space="0" w:color="auto"/>
              <w:right w:val="single" w:sz="4" w:space="0" w:color="auto"/>
            </w:tcBorders>
            <w:hideMark/>
          </w:tcPr>
          <w:p w14:paraId="3FB14C6E"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P value / HR (95% CI)</w:t>
            </w:r>
          </w:p>
        </w:tc>
      </w:tr>
      <w:tr w:rsidR="00B70E7D" w14:paraId="7A7C018C"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6BA52CED"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High vs. Low</w:t>
            </w:r>
          </w:p>
        </w:tc>
        <w:tc>
          <w:tcPr>
            <w:tcW w:w="2250" w:type="dxa"/>
            <w:tcBorders>
              <w:top w:val="single" w:sz="4" w:space="0" w:color="auto"/>
              <w:left w:val="single" w:sz="4" w:space="0" w:color="auto"/>
              <w:bottom w:val="single" w:sz="4" w:space="0" w:color="auto"/>
              <w:right w:val="single" w:sz="4" w:space="0" w:color="auto"/>
            </w:tcBorders>
            <w:hideMark/>
          </w:tcPr>
          <w:p w14:paraId="3AB96D32" w14:textId="77777777" w:rsidR="00B70E7D" w:rsidRDefault="00B70E7D" w:rsidP="00954A62">
            <w:pPr>
              <w:rPr>
                <w:rFonts w:ascii="Times New Roman" w:eastAsiaTheme="minorHAnsi" w:hAnsi="Times New Roman" w:cs="Times New Roman"/>
                <w:lang w:eastAsia="en-US"/>
              </w:rPr>
            </w:pPr>
            <w:r>
              <w:rPr>
                <w:rFonts w:ascii="Times New Roman" w:hAnsi="Times New Roman" w:cs="Times New Roman"/>
              </w:rPr>
              <w:t>0.61 / 0.95 (0.78-1.15)</w:t>
            </w:r>
          </w:p>
        </w:tc>
        <w:tc>
          <w:tcPr>
            <w:tcW w:w="2340" w:type="dxa"/>
            <w:tcBorders>
              <w:top w:val="single" w:sz="4" w:space="0" w:color="auto"/>
              <w:left w:val="single" w:sz="4" w:space="0" w:color="auto"/>
              <w:bottom w:val="single" w:sz="4" w:space="0" w:color="auto"/>
              <w:right w:val="single" w:sz="4" w:space="0" w:color="auto"/>
            </w:tcBorders>
            <w:hideMark/>
          </w:tcPr>
          <w:p w14:paraId="769EDC9F" w14:textId="77777777" w:rsidR="00B70E7D" w:rsidRDefault="00B70E7D" w:rsidP="00954A62">
            <w:pPr>
              <w:rPr>
                <w:rFonts w:ascii="Times New Roman" w:hAnsi="Times New Roman" w:cs="Times New Roman"/>
              </w:rPr>
            </w:pPr>
            <w:r>
              <w:rPr>
                <w:rFonts w:ascii="Times New Roman" w:hAnsi="Times New Roman" w:cs="Times New Roman"/>
              </w:rPr>
              <w:t>0.18 / 0.86 (0.69-1.07)</w:t>
            </w:r>
          </w:p>
        </w:tc>
        <w:tc>
          <w:tcPr>
            <w:tcW w:w="2250" w:type="dxa"/>
            <w:tcBorders>
              <w:top w:val="single" w:sz="4" w:space="0" w:color="auto"/>
              <w:left w:val="single" w:sz="4" w:space="0" w:color="auto"/>
              <w:bottom w:val="single" w:sz="4" w:space="0" w:color="auto"/>
              <w:right w:val="single" w:sz="4" w:space="0" w:color="auto"/>
            </w:tcBorders>
            <w:hideMark/>
          </w:tcPr>
          <w:p w14:paraId="4782A836" w14:textId="77777777" w:rsidR="00B70E7D" w:rsidRDefault="00B70E7D" w:rsidP="00954A62">
            <w:pPr>
              <w:rPr>
                <w:rFonts w:ascii="Times New Roman" w:hAnsi="Times New Roman" w:cs="Times New Roman"/>
              </w:rPr>
            </w:pPr>
            <w:r>
              <w:rPr>
                <w:rFonts w:ascii="Times New Roman" w:hAnsi="Times New Roman" w:cs="Times New Roman"/>
              </w:rPr>
              <w:t>0.82 / 0.99 (0.96-1.02)</w:t>
            </w:r>
          </w:p>
        </w:tc>
      </w:tr>
      <w:tr w:rsidR="00B70E7D" w14:paraId="250C04CB"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02544136"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High vs. Inter</w:t>
            </w:r>
          </w:p>
        </w:tc>
        <w:tc>
          <w:tcPr>
            <w:tcW w:w="2250" w:type="dxa"/>
            <w:tcBorders>
              <w:top w:val="single" w:sz="4" w:space="0" w:color="auto"/>
              <w:left w:val="single" w:sz="4" w:space="0" w:color="auto"/>
              <w:bottom w:val="single" w:sz="4" w:space="0" w:color="auto"/>
              <w:right w:val="single" w:sz="4" w:space="0" w:color="auto"/>
            </w:tcBorders>
            <w:hideMark/>
          </w:tcPr>
          <w:p w14:paraId="75567713" w14:textId="77777777" w:rsidR="00B70E7D" w:rsidRDefault="00B70E7D" w:rsidP="00954A62">
            <w:pPr>
              <w:rPr>
                <w:rFonts w:ascii="Times New Roman" w:eastAsiaTheme="minorHAnsi" w:hAnsi="Times New Roman" w:cs="Times New Roman"/>
                <w:lang w:eastAsia="en-US"/>
              </w:rPr>
            </w:pPr>
            <w:r>
              <w:rPr>
                <w:rFonts w:ascii="Times New Roman" w:hAnsi="Times New Roman" w:cs="Times New Roman"/>
              </w:rPr>
              <w:t>0.66 / 1.07 (0.76-1.52)</w:t>
            </w:r>
          </w:p>
        </w:tc>
        <w:tc>
          <w:tcPr>
            <w:tcW w:w="2340" w:type="dxa"/>
            <w:tcBorders>
              <w:top w:val="single" w:sz="4" w:space="0" w:color="auto"/>
              <w:left w:val="single" w:sz="4" w:space="0" w:color="auto"/>
              <w:bottom w:val="single" w:sz="4" w:space="0" w:color="auto"/>
              <w:right w:val="single" w:sz="4" w:space="0" w:color="auto"/>
            </w:tcBorders>
            <w:hideMark/>
          </w:tcPr>
          <w:p w14:paraId="11231888" w14:textId="77777777" w:rsidR="00B70E7D" w:rsidRDefault="00B70E7D" w:rsidP="00954A62">
            <w:pPr>
              <w:rPr>
                <w:rFonts w:ascii="Times New Roman" w:hAnsi="Times New Roman" w:cs="Times New Roman"/>
              </w:rPr>
            </w:pPr>
            <w:r>
              <w:rPr>
                <w:rFonts w:ascii="Times New Roman" w:hAnsi="Times New Roman" w:cs="Times New Roman"/>
              </w:rPr>
              <w:t>0.33 / 0.74 (0.40-1.35)</w:t>
            </w:r>
          </w:p>
        </w:tc>
        <w:tc>
          <w:tcPr>
            <w:tcW w:w="2250" w:type="dxa"/>
            <w:tcBorders>
              <w:top w:val="single" w:sz="4" w:space="0" w:color="auto"/>
              <w:left w:val="single" w:sz="4" w:space="0" w:color="auto"/>
              <w:bottom w:val="single" w:sz="4" w:space="0" w:color="auto"/>
              <w:right w:val="single" w:sz="4" w:space="0" w:color="auto"/>
            </w:tcBorders>
            <w:hideMark/>
          </w:tcPr>
          <w:p w14:paraId="0A70D0EF" w14:textId="77777777" w:rsidR="00B70E7D" w:rsidRDefault="00B70E7D" w:rsidP="00954A62">
            <w:pPr>
              <w:rPr>
                <w:rFonts w:ascii="Times New Roman" w:hAnsi="Times New Roman" w:cs="Times New Roman"/>
              </w:rPr>
            </w:pPr>
            <w:r>
              <w:rPr>
                <w:rFonts w:ascii="Times New Roman" w:hAnsi="Times New Roman" w:cs="Times New Roman"/>
              </w:rPr>
              <w:t>0.47 / 0.98 (0.93-1.03)</w:t>
            </w:r>
          </w:p>
        </w:tc>
      </w:tr>
      <w:tr w:rsidR="00B70E7D" w14:paraId="571932A8"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59209A6A"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Inter vs. Low</w:t>
            </w:r>
          </w:p>
        </w:tc>
        <w:tc>
          <w:tcPr>
            <w:tcW w:w="2250" w:type="dxa"/>
            <w:tcBorders>
              <w:top w:val="single" w:sz="4" w:space="0" w:color="auto"/>
              <w:left w:val="single" w:sz="4" w:space="0" w:color="auto"/>
              <w:bottom w:val="single" w:sz="4" w:space="0" w:color="auto"/>
              <w:right w:val="single" w:sz="4" w:space="0" w:color="auto"/>
            </w:tcBorders>
            <w:hideMark/>
          </w:tcPr>
          <w:p w14:paraId="52D0B6F6" w14:textId="77777777" w:rsidR="00B70E7D" w:rsidRDefault="00B70E7D" w:rsidP="00954A62">
            <w:pPr>
              <w:rPr>
                <w:rFonts w:ascii="Times New Roman" w:eastAsiaTheme="minorHAnsi" w:hAnsi="Times New Roman" w:cs="Times New Roman"/>
                <w:lang w:eastAsia="en-US"/>
              </w:rPr>
            </w:pPr>
            <w:r>
              <w:rPr>
                <w:rFonts w:ascii="Times New Roman" w:hAnsi="Times New Roman" w:cs="Times New Roman"/>
              </w:rPr>
              <w:t>0.81 / 0.97 (0.77-1.22)</w:t>
            </w:r>
          </w:p>
        </w:tc>
        <w:tc>
          <w:tcPr>
            <w:tcW w:w="2340" w:type="dxa"/>
            <w:tcBorders>
              <w:top w:val="single" w:sz="4" w:space="0" w:color="auto"/>
              <w:left w:val="single" w:sz="4" w:space="0" w:color="auto"/>
              <w:bottom w:val="single" w:sz="4" w:space="0" w:color="auto"/>
              <w:right w:val="single" w:sz="4" w:space="0" w:color="auto"/>
            </w:tcBorders>
            <w:hideMark/>
          </w:tcPr>
          <w:p w14:paraId="2C07EF22" w14:textId="77777777" w:rsidR="00B70E7D" w:rsidRDefault="00B70E7D" w:rsidP="00954A62">
            <w:pPr>
              <w:rPr>
                <w:rFonts w:ascii="Times New Roman" w:hAnsi="Times New Roman" w:cs="Times New Roman"/>
              </w:rPr>
            </w:pPr>
            <w:r>
              <w:rPr>
                <w:rFonts w:ascii="Times New Roman" w:hAnsi="Times New Roman" w:cs="Times New Roman"/>
              </w:rPr>
              <w:t>0.55 / 0.93 (0.74-1.16)</w:t>
            </w:r>
          </w:p>
        </w:tc>
        <w:tc>
          <w:tcPr>
            <w:tcW w:w="2250" w:type="dxa"/>
            <w:tcBorders>
              <w:top w:val="single" w:sz="4" w:space="0" w:color="auto"/>
              <w:left w:val="single" w:sz="4" w:space="0" w:color="auto"/>
              <w:bottom w:val="single" w:sz="4" w:space="0" w:color="auto"/>
              <w:right w:val="single" w:sz="4" w:space="0" w:color="auto"/>
            </w:tcBorders>
            <w:hideMark/>
          </w:tcPr>
          <w:p w14:paraId="476DB72E" w14:textId="77777777" w:rsidR="00B70E7D" w:rsidRDefault="00B70E7D" w:rsidP="00954A62">
            <w:pPr>
              <w:rPr>
                <w:rFonts w:ascii="Times New Roman" w:hAnsi="Times New Roman" w:cs="Times New Roman"/>
              </w:rPr>
            </w:pPr>
            <w:r>
              <w:rPr>
                <w:rFonts w:ascii="Times New Roman" w:hAnsi="Times New Roman" w:cs="Times New Roman"/>
              </w:rPr>
              <w:t>0.93 / 1.00 (0.97-1.03)</w:t>
            </w:r>
          </w:p>
        </w:tc>
      </w:tr>
      <w:tr w:rsidR="00B70E7D" w14:paraId="5A562709"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7CB933CA"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High vs. Inter + Low</w:t>
            </w:r>
          </w:p>
        </w:tc>
        <w:tc>
          <w:tcPr>
            <w:tcW w:w="2250" w:type="dxa"/>
            <w:tcBorders>
              <w:top w:val="single" w:sz="4" w:space="0" w:color="auto"/>
              <w:left w:val="single" w:sz="4" w:space="0" w:color="auto"/>
              <w:bottom w:val="single" w:sz="4" w:space="0" w:color="auto"/>
              <w:right w:val="single" w:sz="4" w:space="0" w:color="auto"/>
            </w:tcBorders>
            <w:hideMark/>
          </w:tcPr>
          <w:p w14:paraId="6804C7A3" w14:textId="77777777" w:rsidR="00B70E7D" w:rsidRDefault="00B70E7D" w:rsidP="00954A62">
            <w:pPr>
              <w:rPr>
                <w:rFonts w:ascii="Times New Roman" w:eastAsiaTheme="minorHAnsi" w:hAnsi="Times New Roman" w:cs="Times New Roman"/>
                <w:lang w:eastAsia="en-US"/>
              </w:rPr>
            </w:pPr>
            <w:r>
              <w:rPr>
                <w:rFonts w:ascii="Times New Roman" w:hAnsi="Times New Roman" w:cs="Times New Roman"/>
              </w:rPr>
              <w:t>0.86 / 0.98 (0.81-1.18)</w:t>
            </w:r>
          </w:p>
        </w:tc>
        <w:tc>
          <w:tcPr>
            <w:tcW w:w="2340" w:type="dxa"/>
            <w:tcBorders>
              <w:top w:val="single" w:sz="4" w:space="0" w:color="auto"/>
              <w:left w:val="single" w:sz="4" w:space="0" w:color="auto"/>
              <w:bottom w:val="single" w:sz="4" w:space="0" w:color="auto"/>
              <w:right w:val="single" w:sz="4" w:space="0" w:color="auto"/>
            </w:tcBorders>
            <w:hideMark/>
          </w:tcPr>
          <w:p w14:paraId="1A6BB0C7" w14:textId="77777777" w:rsidR="00B70E7D" w:rsidRDefault="00B70E7D" w:rsidP="00954A62">
            <w:pPr>
              <w:rPr>
                <w:rFonts w:ascii="Times New Roman" w:hAnsi="Times New Roman" w:cs="Times New Roman"/>
              </w:rPr>
            </w:pPr>
            <w:r>
              <w:rPr>
                <w:rFonts w:ascii="Times New Roman" w:hAnsi="Times New Roman" w:cs="Times New Roman"/>
              </w:rPr>
              <w:t>0.12 / 0.84 (0.67-1.04)</w:t>
            </w:r>
          </w:p>
        </w:tc>
        <w:tc>
          <w:tcPr>
            <w:tcW w:w="2250" w:type="dxa"/>
            <w:tcBorders>
              <w:top w:val="single" w:sz="4" w:space="0" w:color="auto"/>
              <w:left w:val="single" w:sz="4" w:space="0" w:color="auto"/>
              <w:bottom w:val="single" w:sz="4" w:space="0" w:color="auto"/>
              <w:right w:val="single" w:sz="4" w:space="0" w:color="auto"/>
            </w:tcBorders>
            <w:hideMark/>
          </w:tcPr>
          <w:p w14:paraId="30697FBC" w14:textId="77777777" w:rsidR="00B70E7D" w:rsidRDefault="00B70E7D" w:rsidP="00954A62">
            <w:pPr>
              <w:rPr>
                <w:rFonts w:ascii="Times New Roman" w:hAnsi="Times New Roman" w:cs="Times New Roman"/>
              </w:rPr>
            </w:pPr>
            <w:r>
              <w:rPr>
                <w:rFonts w:ascii="Times New Roman" w:hAnsi="Times New Roman" w:cs="Times New Roman"/>
              </w:rPr>
              <w:t>0.82 / 0.99 (0.97-1.02)</w:t>
            </w:r>
          </w:p>
        </w:tc>
      </w:tr>
      <w:tr w:rsidR="00B70E7D" w14:paraId="32F06D07"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36247902"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High + Inter  vs. Low</w:t>
            </w:r>
          </w:p>
        </w:tc>
        <w:tc>
          <w:tcPr>
            <w:tcW w:w="2250" w:type="dxa"/>
            <w:tcBorders>
              <w:top w:val="single" w:sz="4" w:space="0" w:color="auto"/>
              <w:left w:val="single" w:sz="4" w:space="0" w:color="auto"/>
              <w:bottom w:val="single" w:sz="4" w:space="0" w:color="auto"/>
              <w:right w:val="single" w:sz="4" w:space="0" w:color="auto"/>
            </w:tcBorders>
            <w:hideMark/>
          </w:tcPr>
          <w:p w14:paraId="30431B6B" w14:textId="77777777" w:rsidR="00B70E7D" w:rsidRDefault="00B70E7D" w:rsidP="00954A62">
            <w:pPr>
              <w:rPr>
                <w:rFonts w:ascii="Times New Roman" w:eastAsiaTheme="minorHAnsi" w:hAnsi="Times New Roman" w:cs="Times New Roman"/>
                <w:lang w:eastAsia="en-US"/>
              </w:rPr>
            </w:pPr>
            <w:r>
              <w:rPr>
                <w:rFonts w:ascii="Times New Roman" w:hAnsi="Times New Roman" w:cs="Times New Roman"/>
              </w:rPr>
              <w:t>0.61 / 0.95 (0.80-1.13)</w:t>
            </w:r>
          </w:p>
        </w:tc>
        <w:tc>
          <w:tcPr>
            <w:tcW w:w="2340" w:type="dxa"/>
            <w:tcBorders>
              <w:top w:val="single" w:sz="4" w:space="0" w:color="auto"/>
              <w:left w:val="single" w:sz="4" w:space="0" w:color="auto"/>
              <w:bottom w:val="single" w:sz="4" w:space="0" w:color="auto"/>
              <w:right w:val="single" w:sz="4" w:space="0" w:color="auto"/>
            </w:tcBorders>
            <w:hideMark/>
          </w:tcPr>
          <w:p w14:paraId="197F9B9C" w14:textId="77777777" w:rsidR="00B70E7D" w:rsidRDefault="00B70E7D" w:rsidP="00954A62">
            <w:pPr>
              <w:rPr>
                <w:rFonts w:ascii="Times New Roman" w:hAnsi="Times New Roman" w:cs="Times New Roman"/>
              </w:rPr>
            </w:pPr>
            <w:r>
              <w:rPr>
                <w:rFonts w:ascii="Times New Roman" w:hAnsi="Times New Roman" w:cs="Times New Roman"/>
              </w:rPr>
              <w:t>0.24 / 0.88 (0.72-1.08)</w:t>
            </w:r>
          </w:p>
        </w:tc>
        <w:tc>
          <w:tcPr>
            <w:tcW w:w="2250" w:type="dxa"/>
            <w:tcBorders>
              <w:top w:val="single" w:sz="4" w:space="0" w:color="auto"/>
              <w:left w:val="single" w:sz="4" w:space="0" w:color="auto"/>
              <w:bottom w:val="single" w:sz="4" w:space="0" w:color="auto"/>
              <w:right w:val="single" w:sz="4" w:space="0" w:color="auto"/>
            </w:tcBorders>
            <w:hideMark/>
          </w:tcPr>
          <w:p w14:paraId="4F816AF1" w14:textId="77777777" w:rsidR="00B70E7D" w:rsidRDefault="00B70E7D" w:rsidP="00954A62">
            <w:pPr>
              <w:rPr>
                <w:rFonts w:ascii="Times New Roman" w:hAnsi="Times New Roman" w:cs="Times New Roman"/>
              </w:rPr>
            </w:pPr>
            <w:r>
              <w:rPr>
                <w:rFonts w:ascii="Times New Roman" w:hAnsi="Times New Roman" w:cs="Times New Roman"/>
              </w:rPr>
              <w:t>0.77 / 0.99 (0.96-1.02)</w:t>
            </w:r>
          </w:p>
        </w:tc>
      </w:tr>
      <w:tr w:rsidR="00B70E7D" w14:paraId="5B30A705" w14:textId="77777777" w:rsidTr="00954A62">
        <w:trPr>
          <w:jc w:val="center"/>
        </w:trPr>
        <w:tc>
          <w:tcPr>
            <w:tcW w:w="1885" w:type="dxa"/>
            <w:tcBorders>
              <w:top w:val="single" w:sz="4" w:space="0" w:color="auto"/>
              <w:left w:val="single" w:sz="4" w:space="0" w:color="auto"/>
              <w:bottom w:val="single" w:sz="4" w:space="0" w:color="auto"/>
              <w:right w:val="single" w:sz="4" w:space="0" w:color="auto"/>
            </w:tcBorders>
            <w:hideMark/>
          </w:tcPr>
          <w:p w14:paraId="4C937857" w14:textId="77777777" w:rsidR="00B70E7D" w:rsidRDefault="00B70E7D" w:rsidP="00954A62">
            <w:pPr>
              <w:spacing w:after="120"/>
              <w:jc w:val="center"/>
              <w:rPr>
                <w:rFonts w:ascii="Times New Roman" w:hAnsi="Times New Roman" w:cs="Times New Roman"/>
              </w:rPr>
            </w:pPr>
            <w:r>
              <w:rPr>
                <w:rFonts w:ascii="Times New Roman" w:hAnsi="Times New Roman" w:cs="Times New Roman"/>
              </w:rPr>
              <w:t>High vs.  Inter  vs. Low</w:t>
            </w:r>
          </w:p>
        </w:tc>
        <w:tc>
          <w:tcPr>
            <w:tcW w:w="2250" w:type="dxa"/>
            <w:tcBorders>
              <w:top w:val="single" w:sz="4" w:space="0" w:color="auto"/>
              <w:left w:val="single" w:sz="4" w:space="0" w:color="auto"/>
              <w:bottom w:val="single" w:sz="4" w:space="0" w:color="auto"/>
              <w:right w:val="single" w:sz="4" w:space="0" w:color="auto"/>
            </w:tcBorders>
            <w:hideMark/>
          </w:tcPr>
          <w:p w14:paraId="507C706E" w14:textId="77777777" w:rsidR="00B70E7D" w:rsidRDefault="00B70E7D" w:rsidP="00954A62">
            <w:pPr>
              <w:rPr>
                <w:rFonts w:ascii="Times New Roman" w:hAnsi="Times New Roman" w:cs="Times New Roman"/>
              </w:rPr>
            </w:pPr>
            <w:r>
              <w:rPr>
                <w:rFonts w:ascii="Times New Roman" w:hAnsi="Times New Roman" w:cs="Times New Roman"/>
              </w:rPr>
              <w:t>0.69/ 0.96 (0.80-1.15)</w:t>
            </w:r>
          </w:p>
        </w:tc>
        <w:tc>
          <w:tcPr>
            <w:tcW w:w="2340" w:type="dxa"/>
            <w:tcBorders>
              <w:top w:val="single" w:sz="4" w:space="0" w:color="auto"/>
              <w:left w:val="single" w:sz="4" w:space="0" w:color="auto"/>
              <w:bottom w:val="single" w:sz="4" w:space="0" w:color="auto"/>
              <w:right w:val="single" w:sz="4" w:space="0" w:color="auto"/>
            </w:tcBorders>
            <w:hideMark/>
          </w:tcPr>
          <w:p w14:paraId="50F20919" w14:textId="77777777" w:rsidR="00B70E7D" w:rsidRDefault="00B70E7D" w:rsidP="00954A62">
            <w:pPr>
              <w:rPr>
                <w:rFonts w:ascii="Times New Roman" w:hAnsi="Times New Roman" w:cs="Times New Roman"/>
              </w:rPr>
            </w:pPr>
            <w:r>
              <w:rPr>
                <w:rFonts w:ascii="Times New Roman" w:hAnsi="Times New Roman" w:cs="Times New Roman"/>
              </w:rPr>
              <w:t>0.07/ 0.81 (0.65-1.01)</w:t>
            </w:r>
          </w:p>
        </w:tc>
        <w:tc>
          <w:tcPr>
            <w:tcW w:w="2250" w:type="dxa"/>
            <w:tcBorders>
              <w:top w:val="single" w:sz="4" w:space="0" w:color="auto"/>
              <w:left w:val="single" w:sz="4" w:space="0" w:color="auto"/>
              <w:bottom w:val="single" w:sz="4" w:space="0" w:color="auto"/>
              <w:right w:val="single" w:sz="4" w:space="0" w:color="auto"/>
            </w:tcBorders>
            <w:hideMark/>
          </w:tcPr>
          <w:p w14:paraId="7053D574" w14:textId="77777777" w:rsidR="00B70E7D" w:rsidRDefault="00B70E7D" w:rsidP="00954A62">
            <w:pPr>
              <w:rPr>
                <w:rFonts w:ascii="Times New Roman" w:hAnsi="Times New Roman" w:cs="Times New Roman"/>
              </w:rPr>
            </w:pPr>
            <w:r>
              <w:rPr>
                <w:rFonts w:ascii="Times New Roman" w:hAnsi="Times New Roman" w:cs="Times New Roman"/>
              </w:rPr>
              <w:t>0.67 / 0.99 (0.96-1.02)</w:t>
            </w:r>
          </w:p>
        </w:tc>
      </w:tr>
    </w:tbl>
    <w:p w14:paraId="74844999" w14:textId="77777777" w:rsidR="00B70E7D" w:rsidRDefault="00B70E7D" w:rsidP="00B70E7D">
      <w:pPr>
        <w:spacing w:after="120"/>
        <w:jc w:val="both"/>
        <w:rPr>
          <w:rFonts w:ascii="Times New Roman" w:hAnsi="Times New Roman" w:cs="Times New Roman"/>
          <w:sz w:val="24"/>
          <w:szCs w:val="24"/>
          <w:highlight w:val="green"/>
        </w:rPr>
      </w:pPr>
    </w:p>
    <w:p w14:paraId="12086A2C" w14:textId="77777777" w:rsidR="00B70E7D" w:rsidRDefault="00B70E7D" w:rsidP="00B70E7D">
      <w:pPr>
        <w:spacing w:after="120"/>
        <w:jc w:val="both"/>
        <w:rPr>
          <w:rFonts w:ascii="Times New Roman" w:hAnsi="Times New Roman" w:cs="Times New Roman"/>
        </w:rPr>
      </w:pPr>
      <w:r>
        <w:rPr>
          <w:rFonts w:ascii="Times New Roman" w:hAnsi="Times New Roman" w:cs="Times New Roman"/>
        </w:rPr>
        <w:t>Table1: multivariate (estrogen receptor status, progesterone receptor status and age) Cox proportional hazards analysis on risk class derived from ODx risk categories for the different tasks.</w:t>
      </w:r>
    </w:p>
    <w:p w14:paraId="3F02F3CC" w14:textId="5C4E51BC" w:rsidR="003C5E03" w:rsidRDefault="003C5E03" w:rsidP="008503C3">
      <w:pPr>
        <w:jc w:val="cente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05C2A17" wp14:editId="2482EC8A">
                <wp:simplePos x="0" y="0"/>
                <wp:positionH relativeFrom="margin">
                  <wp:align>left</wp:align>
                </wp:positionH>
                <wp:positionV relativeFrom="paragraph">
                  <wp:posOffset>152984</wp:posOffset>
                </wp:positionV>
                <wp:extent cx="5943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D0A04" id="Straight Connector 7"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12.05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" strokecolor="black [3213]" strokeweight="1.5pt">
                <v:stroke joinstyle="miter"/>
                <w10:wrap anchorx="margin"/>
              </v:line>
            </w:pict>
          </mc:Fallback>
        </mc:AlternateContent>
      </w:r>
    </w:p>
    <w:p w14:paraId="560F0B9E" w14:textId="3EA0EF23" w:rsidR="008503C3" w:rsidRPr="008503C3" w:rsidRDefault="008503C3" w:rsidP="008503C3">
      <w:pPr>
        <w:jc w:val="center"/>
        <w:rPr>
          <w:rFonts w:ascii="Times New Roman" w:hAnsi="Times New Roman" w:cs="Times New Roman"/>
          <w:b/>
        </w:rPr>
      </w:pPr>
      <w:r w:rsidRPr="008503C3">
        <w:rPr>
          <w:rFonts w:ascii="Times New Roman" w:hAnsi="Times New Roman" w:cs="Times New Roman"/>
          <w:b/>
        </w:rPr>
        <w:t>Feature Description:</w:t>
      </w:r>
    </w:p>
    <w:p w14:paraId="547A43B8" w14:textId="703870EA" w:rsidR="008503C3" w:rsidRPr="008503C3" w:rsidRDefault="008503C3" w:rsidP="008503C3">
      <w:pPr>
        <w:rPr>
          <w:rFonts w:ascii="Times New Roman" w:hAnsi="Times New Roman" w:cs="Times New Roman"/>
        </w:rPr>
      </w:pPr>
      <w:r w:rsidRPr="008503C3">
        <w:rPr>
          <w:rFonts w:ascii="Times New Roman" w:hAnsi="Times New Roman" w:cs="Times New Roman"/>
          <w:b/>
        </w:rPr>
        <w:t>Global Graph:</w:t>
      </w:r>
      <w:r w:rsidRPr="008503C3">
        <w:rPr>
          <w:rFonts w:ascii="Times New Roman" w:hAnsi="Times New Roman" w:cs="Times New Roman"/>
        </w:rPr>
        <w:t xml:space="preserve"> Global graph features which reflect the nuclear architecture have previously shown to be prognostic for invasive breast cancer</w:t>
      </w:r>
      <w:r w:rsidR="003C5E03">
        <w:rPr>
          <w:rFonts w:ascii="Times New Roman" w:hAnsi="Times New Roman" w:cs="Times New Roman"/>
        </w:rPr>
        <w:fldChar w:fldCharType="begin"/>
      </w:r>
      <w:r w:rsidR="003C5E03">
        <w:rPr>
          <w:rFonts w:ascii="Times New Roman" w:hAnsi="Times New Roman" w:cs="Times New Roman"/>
        </w:rPr>
        <w:instrText xml:space="preserve"> ADDIN ZOTERO_ITEM CSL_CITATION {"citationID":"KOdtB966","properties":{"formattedCitation":"\\super 2\\nosupersub{}","plainCitation":"2","noteIndex":0},"citationItems":[{"id":322,"uris":["http://zotero.org/users/4616609/items/9HXQMJPS"],"uri":["http://zotero.org/users/4616609/items/9HXQMJPS"],"itemData":{"id":322,"type":"article-journal","title":"Quantitative nuclear histomorphometry predicts oncotype DX risk categories for early stage ER+ breast cancer","container-title":"BMC cancer","page":"610","volume":"18","issue":"1","source":"PubMed","abstract":"BACKGROUND: Gene-expression companion diagnostic tests, such as the Oncotype DX test, assess the risk of early stage Estrogen receptor (ER) positive (+) breast cancers, and guide clinicians in the decision of whether or not to use chemotherapy. However, these tests are typically expensive, time consuming, and tissue-destructive.\nMETHODS: In this paper, we evaluate the ability of computer-extracted nuclear morphology features from routine hematoxylin and eosin (H&amp;E) stained images of 178 early stage ER+ breast cancer patients to predict corresponding risk categories derived using the Oncotype DX test. A total of 216 features corresponding to the nuclear shape and architecture categories from each of the pathologic images were extracted and four feature selection schemes: Ranksum, Principal Component Analysis with Variable Importance on Projection (PCA-VIP), Maximum-Relevance, Minimum Redundancy Mutual Information Difference (MRMR MID), and Maximum-Relevance, Minimum Redundancy - Mutual Information Quotient (MRMR MIQ), were employed to identify the most discriminating features. These features were employed to train 4 machine learning classifiers: Random Forest, Neural Network, Support Vector Machine, and Linear Discriminant Analysis, via 3-fold cross validation.\nRESULTS: The four sets of risk categories, and the top Area Under the receiver operating characteristic Curve (AUC) machine classifier performances were: 1) Low ODx and Low mBR grade vs. High ODx and High mBR grade (Low-Low vs. High-High) (AUC = 0.83), 2) Low ODx vs. High ODx (AUC = 0.72), 3) Low ODx vs. Intermediate and High ODx (AUC = 0.58), and 4) Low and Intermediate ODx vs. High ODx (AUC = 0.65). Trained models were tested independent validation set of 53 cases which comprised of Low and High ODx risk, and demonstrated per-patient accuracies ranging from 75 to 86%.\nCONCLUSION: Our results suggest that computerized image analysis of digitized H&amp;E pathology images of early stage ER+ breast cancer might be able predict the corresponding Oncotype DX risk categories.","DOI":"10.1186/s12885-018-4448-9","ISSN":"1471-2407","note":"PMID: 29848291\nPMCID: PMC5977541","journalAbbreviation":"BMC Cancer","language":"eng","author":[{"family":"Whitney","given":"Jon"},{"family":"Corredor","given":"German"},{"family":"Janowczyk","given":"Andrew"},{"family":"Ganesan","given":"Shridar"},{"family":"Doyle","given":"Scott"},{"family":"Tomaszewski","given":"John"},{"family":"Feldman","given":"Michael"},{"family":"Gilmore","given":"Hannah"},{"family":"Madabhushi","given":"Anant"}],"issued":{"date-parts":[["2018",5,30]]}}}],"schema":"https://github.com/citation-style-language/schema/raw/master/csl-citation.json"} </w:instrText>
      </w:r>
      <w:r w:rsidR="003C5E03">
        <w:rPr>
          <w:rFonts w:ascii="Times New Roman" w:hAnsi="Times New Roman" w:cs="Times New Roman"/>
        </w:rPr>
        <w:fldChar w:fldCharType="separate"/>
      </w:r>
      <w:r w:rsidR="003C5E03" w:rsidRPr="003C5E03">
        <w:rPr>
          <w:rFonts w:ascii="Times New Roman" w:hAnsi="Times New Roman" w:cs="Times New Roman"/>
          <w:szCs w:val="24"/>
          <w:vertAlign w:val="superscript"/>
        </w:rPr>
        <w:t>2</w:t>
      </w:r>
      <w:r w:rsidR="003C5E03">
        <w:rPr>
          <w:rFonts w:ascii="Times New Roman" w:hAnsi="Times New Roman" w:cs="Times New Roman"/>
        </w:rPr>
        <w:fldChar w:fldCharType="end"/>
      </w:r>
      <w:r w:rsidR="003C5E03">
        <w:rPr>
          <w:rFonts w:ascii="Times New Roman" w:hAnsi="Times New Roman" w:cs="Times New Roman"/>
        </w:rPr>
        <w:t xml:space="preserve"> and lung cancer</w:t>
      </w:r>
      <w:r w:rsidR="003C5E03">
        <w:rPr>
          <w:rFonts w:ascii="Times New Roman" w:hAnsi="Times New Roman" w:cs="Times New Roman"/>
        </w:rPr>
        <w:fldChar w:fldCharType="begin"/>
      </w:r>
      <w:r w:rsidR="003C5E03">
        <w:rPr>
          <w:rFonts w:ascii="Times New Roman" w:hAnsi="Times New Roman" w:cs="Times New Roman"/>
        </w:rPr>
        <w:instrText xml:space="preserve"> ADDIN ZOTERO_ITEM CSL_CITATION {"citationID":"YvuBCQ2f","properties":{"formattedCitation":"\\super 3\\nosupersub{}","plainCitation":"3","noteIndex":0},"citationItems":[{"id":250,"uris":["http://zotero.org/users/4616609/items/XJR4IG8T"],"uri":["http://zotero.org/users/4616609/items/XJR4IG8T"],"itemData":{"id":250,"type":"article-journal","title":"Prediction of recurrence in early stage non-small cell lung cancer using computer extracted nuclear features from digital H&amp;E images","container-title":"Scientific Reports","page":"13543","volume":"7","issue":"1","source":"www.nature.com","abstract":"Identification of patients with early stage non-small cell lung cancer (NSCLC) with high risk of recurrence could help identify patients who would receive additional benefit from adjuvant therapy. In this work, we present a computational histomorphometric image classifier using nuclear orientation, texture, shape, and tumor architecture to predict disease recurrence in early stage NSCLC from digitized H&amp;E tissue microarray (TMA) slides. Using a retrospective cohort of early stage NSCLC patients (Cohort #1, n = 70), we constructed a supervised classification model involving the most predictive features associated with disease recurrence. This model was then validated on two independent sets of early stage NSCLC patients, Cohort #2 (n = 119) and Cohort #3 (n = 116). The model yielded an accuracy of 81% for prediction of recurrence in the training Cohort #1, 82% and 75% in the validation Cohorts #2 and #3 respectively. A multivariable Cox proportional hazard model of Cohort #2, incorporating gender and traditional prognostic variables such as nodal status and stage indicated that the computer extracted histomorphometric score was an independent prognostic factor (hazard ratio = 20.81, 95% CI: 6.42–67.52, P &lt; 0.001).","DOI":"10.1038/s41598-017-13773-7","ISSN":"2045-2322","language":"en","author":[{"family":"Wang","given":"Xiangxue"},{"family":"Janowczyk","given":"Andrew"},{"family":"Zhou","given":"Yu"},{"family":"Thawani","given":"Rajat"},{"family":"Fu","given":"Pingfu"},{"family":"Schalper","given":"Kurt"},{"family":"Velcheti","given":"Vamsidhar"},{"family":"Madabhushi","given":"Anant"}],"issued":{"date-parts":[["2017",10,19]]}}}],"schema":"https://github.com/citation-style-language/schema/raw/master/csl-citation.json"} </w:instrText>
      </w:r>
      <w:r w:rsidR="003C5E03">
        <w:rPr>
          <w:rFonts w:ascii="Times New Roman" w:hAnsi="Times New Roman" w:cs="Times New Roman"/>
        </w:rPr>
        <w:fldChar w:fldCharType="separate"/>
      </w:r>
      <w:r w:rsidR="003C5E03" w:rsidRPr="003C5E03">
        <w:rPr>
          <w:rFonts w:ascii="Times New Roman" w:hAnsi="Times New Roman" w:cs="Times New Roman"/>
          <w:szCs w:val="24"/>
          <w:vertAlign w:val="superscript"/>
        </w:rPr>
        <w:t>3</w:t>
      </w:r>
      <w:r w:rsidR="003C5E03">
        <w:rPr>
          <w:rFonts w:ascii="Times New Roman" w:hAnsi="Times New Roman" w:cs="Times New Roman"/>
        </w:rPr>
        <w:fldChar w:fldCharType="end"/>
      </w:r>
      <w:r w:rsidRPr="008503C3">
        <w:rPr>
          <w:rFonts w:ascii="Times New Roman" w:hAnsi="Times New Roman" w:cs="Times New Roman"/>
        </w:rPr>
        <w:t>. Global graphs were constructed by considering each nucleus as a node. The individual nodes were then connected via algorithms corresponding to the Voronoi Diagrams</w:t>
      </w:r>
      <w:r w:rsidR="003C5E03">
        <w:rPr>
          <w:rFonts w:ascii="Times New Roman" w:hAnsi="Times New Roman" w:cs="Times New Roman"/>
        </w:rPr>
        <w:t xml:space="preserve">, Delaunay Triangles </w:t>
      </w:r>
      <w:r w:rsidRPr="008503C3">
        <w:rPr>
          <w:rFonts w:ascii="Times New Roman" w:hAnsi="Times New Roman" w:cs="Times New Roman"/>
        </w:rPr>
        <w:t>and Mini</w:t>
      </w:r>
      <w:r w:rsidR="003C5E03">
        <w:rPr>
          <w:rFonts w:ascii="Times New Roman" w:hAnsi="Times New Roman" w:cs="Times New Roman"/>
        </w:rPr>
        <w:t xml:space="preserve">mum Spanning Trees. </w:t>
      </w:r>
      <w:r w:rsidRPr="008503C3">
        <w:rPr>
          <w:rFonts w:ascii="Times New Roman" w:hAnsi="Times New Roman" w:cs="Times New Roman"/>
        </w:rPr>
        <w:t xml:space="preserve">Nuclear spatial arrangement and nuclei density measurements were subsequently derived from the connections between the edges and polygons of these constructed graphs. In addition, for each individual nucleus, architectural measurements such as average and standard deviation of distances to the nearest three, five and seven neighbor nuclei, and number of neighbor nuclei in the 10, 20, 30, 40 and 50 pixel radius around each node were extracted. </w:t>
      </w:r>
    </w:p>
    <w:p w14:paraId="7184D9C9" w14:textId="591EB753" w:rsidR="008503C3" w:rsidRPr="008503C3" w:rsidRDefault="008503C3" w:rsidP="008503C3">
      <w:pPr>
        <w:rPr>
          <w:rFonts w:ascii="Times New Roman" w:hAnsi="Times New Roman" w:cs="Times New Roman"/>
        </w:rPr>
      </w:pPr>
      <w:r w:rsidRPr="008503C3">
        <w:rPr>
          <w:rFonts w:ascii="Times New Roman" w:hAnsi="Times New Roman" w:cs="Times New Roman"/>
          <w:b/>
        </w:rPr>
        <w:t>Nuclear Shape:</w:t>
      </w:r>
      <w:r w:rsidRPr="008503C3">
        <w:rPr>
          <w:rFonts w:ascii="Times New Roman" w:hAnsi="Times New Roman" w:cs="Times New Roman"/>
        </w:rPr>
        <w:t xml:space="preserve"> Previous work has shown that nuclear shape features are associated with </w:t>
      </w:r>
      <w:r w:rsidR="003C5E03">
        <w:rPr>
          <w:rFonts w:ascii="Times New Roman" w:hAnsi="Times New Roman" w:cs="Times New Roman"/>
        </w:rPr>
        <w:t>invasive breast cancer outcome</w:t>
      </w:r>
      <w:r w:rsidR="003C5E03">
        <w:rPr>
          <w:rFonts w:ascii="Times New Roman" w:hAnsi="Times New Roman" w:cs="Times New Roman"/>
        </w:rPr>
        <w:fldChar w:fldCharType="begin"/>
      </w:r>
      <w:r w:rsidR="003C5E03">
        <w:rPr>
          <w:rFonts w:ascii="Times New Roman" w:hAnsi="Times New Roman" w:cs="Times New Roman"/>
        </w:rPr>
        <w:instrText xml:space="preserve"> ADDIN ZOTERO_ITEM CSL_CITATION {"citationID":"6usUhrvn","properties":{"formattedCitation":"\\super 4\\nosupersub{}","plainCitation":"4","noteIndex":0},"citationItems":[{"id":308,"uris":["http://zotero.org/users/4616609/items/M38PWC6D"],"uri":["http://zotero.org/users/4616609/items/M38PWC6D"],"itemData":{"id":308,"type":"article-journal","title":"Nuclear shape and orientation features from H&amp;E images predict survival in early-stage estrogen receptor-positive breast cancers","container-title":"Laboratory Investigation; a Journal of Technical Methods and Pathology","source":"PubMed","abstract":"Early-stage estrogen receptor-positive (ER+) breast cancer (BCa) is the most common type of BCa in the United States. One critical question with these tumors is identifying which patients will receive added benefit from adjuvant chemotherapy. Nuclear pleomorphism (variance in nuclear shape and morphology) is an important constituent of breast grading schemes, and in ER+ cases, the grade is highly correlated with disease outcome. This study aimed to investigate whether quantitative computer-extracted image features of nuclear shape and orientation on digitized images of hematoxylin-stained and eosin-stained tissue of lymph node-negative (LN-), ER+ BCa could help stratify patients into discrete (&lt;10 years short-term vs. &gt;10 years long-term survival) outcome groups independent of standard clinical and pathological parameters. We considered a tissue microarray (TMA) cohort of 276 ER+, LN- patients comprising 150 patients with long-term and 126 patients with short-term overall survival, wherein 177 randomly chosen cases formed the modeling set, and 99 remaining cases the test set. Segmentation of individual nuclei was performed using multiresolution watershed; subsequently, 615 features relating to nuclear shape/texture and orientation disorder were extracted from each TMA spot. The Wilcoxon's rank-sum test identified the 15 most prognostic quantitative histomorphometric features within the modeling set. These features were then subsequently combined via a linear discriminant analysis classifier and evaluated on the test set to assign a probability of long-term vs. short-term disease-specific survival. In univariate survival analysis, patients identified by the image classifier as high risk had significantly poorer survival outcome: hazard ratio (95% confident interval) = 2.91(1.23-6.92), p = 0.02786. Multivariate analysis controlling for T-stage, histology grade, and nuclear grade showed the classifier to be independently predictive of poorer survival: hazard ratio (95% confident interval) = 3.17(0.33-30.46), p = 0.01039. Our results suggest that quantitative histomorphometric features of nuclear shape and orientation are strongly and independently predictive of patient survival in ER+, LN- BCa.","DOI":"10.1038/s41374-018-0095-7","ISSN":"1530-0307","note":"PMID: 29959421","journalAbbreviation":"Lab. Invest.","language":"eng","author":[{"family":"Lu","given":"Cheng"},{"family":"Romo-Bucheli","given":"David"},{"family":"Wang","given":"Xiangxue"},{"family":"Janowczyk","given":"Andrew"},{"family":"Ganesan","given":"Shridar"},{"family":"Gilmore","given":"Hannah"},{"family":"Rimm","given":"David"},{"family":"Madabhushi","given":"Anant"}],"issued":{"date-parts":[["2018",6,29]]}}}],"schema":"https://github.com/citation-style-language/schema/raw/master/csl-citation.json"} </w:instrText>
      </w:r>
      <w:r w:rsidR="003C5E03">
        <w:rPr>
          <w:rFonts w:ascii="Times New Roman" w:hAnsi="Times New Roman" w:cs="Times New Roman"/>
        </w:rPr>
        <w:fldChar w:fldCharType="separate"/>
      </w:r>
      <w:r w:rsidR="003C5E03" w:rsidRPr="003C5E03">
        <w:rPr>
          <w:rFonts w:ascii="Times New Roman" w:hAnsi="Times New Roman" w:cs="Times New Roman"/>
          <w:szCs w:val="24"/>
          <w:vertAlign w:val="superscript"/>
        </w:rPr>
        <w:t>4</w:t>
      </w:r>
      <w:r w:rsidR="003C5E03">
        <w:rPr>
          <w:rFonts w:ascii="Times New Roman" w:hAnsi="Times New Roman" w:cs="Times New Roman"/>
        </w:rPr>
        <w:fldChar w:fldCharType="end"/>
      </w:r>
      <w:r w:rsidRPr="008503C3">
        <w:rPr>
          <w:rFonts w:ascii="Times New Roman" w:hAnsi="Times New Roman" w:cs="Times New Roman"/>
        </w:rPr>
        <w:t xml:space="preserve">. Nuclear shape features were extracted from the nuclear boundaries to capture individual nuclear appearance. The 25 shape measurements consisted of nuclear area, perimeter, smoothness, fractal dimension, invariant moments, and Fourier descriptors of nuclear boundary points. The mean, median, standard deviation, and minimum/maximum ratio of these 25 measurements were calculated to give a total of 100 features. </w:t>
      </w:r>
    </w:p>
    <w:p w14:paraId="10A3DC19" w14:textId="0BC7AF2B" w:rsidR="008503C3" w:rsidRPr="008503C3" w:rsidRDefault="008503C3" w:rsidP="008503C3">
      <w:pPr>
        <w:rPr>
          <w:rFonts w:ascii="Times New Roman" w:hAnsi="Times New Roman" w:cs="Times New Roman"/>
        </w:rPr>
      </w:pPr>
      <w:r w:rsidRPr="008503C3">
        <w:rPr>
          <w:rFonts w:ascii="Times New Roman" w:hAnsi="Times New Roman" w:cs="Times New Roman"/>
          <w:b/>
        </w:rPr>
        <w:t>CORE:</w:t>
      </w:r>
      <w:r w:rsidRPr="008503C3">
        <w:rPr>
          <w:rFonts w:ascii="Times New Roman" w:hAnsi="Times New Roman" w:cs="Times New Roman"/>
        </w:rPr>
        <w:t xml:space="preserve"> The CORE feature family comprised quantitative measurements of the degree of disorder in nuclear orientation. These disorder measurements are derived from an 18 × 18 nuclear orientation co-occurrence matrix, with each row or column corresponding to a discretized nuclear orientation angle from 0 to 180</w:t>
      </w:r>
      <w:r w:rsidR="003C5E03">
        <w:rPr>
          <w:rFonts w:ascii="Times New Roman" w:hAnsi="Times New Roman" w:cs="Times New Roman"/>
        </w:rPr>
        <w:t xml:space="preserve"> degrees with an interval of 10.</w:t>
      </w:r>
    </w:p>
    <w:p w14:paraId="793F6A18" w14:textId="4F3874BC" w:rsidR="008503C3" w:rsidRPr="008503C3" w:rsidRDefault="008503C3" w:rsidP="008503C3">
      <w:pPr>
        <w:rPr>
          <w:rFonts w:ascii="Times New Roman" w:hAnsi="Times New Roman" w:cs="Times New Roman"/>
        </w:rPr>
      </w:pPr>
      <w:r w:rsidRPr="008503C3">
        <w:rPr>
          <w:rFonts w:ascii="Times New Roman" w:hAnsi="Times New Roman" w:cs="Times New Roman"/>
          <w:b/>
        </w:rPr>
        <w:t>CCG:</w:t>
      </w:r>
      <w:r w:rsidRPr="008503C3">
        <w:rPr>
          <w:rFonts w:ascii="Times New Roman" w:hAnsi="Times New Roman" w:cs="Times New Roman"/>
        </w:rPr>
        <w:t xml:space="preserve"> In the CCG feature family, the nuclei were clustered into different neighborhoods based on their spatial proximity to derive the measurements relating to local nuclear spatial arrangement, packing, and clustering. From the subgraph, the features including sub-graph radius, connectivity, and eccentricity were extracted. CCG features have been identified to be associated with the risk of</w:t>
      </w:r>
      <w:r w:rsidR="003C5E03">
        <w:rPr>
          <w:rFonts w:ascii="Times New Roman" w:hAnsi="Times New Roman" w:cs="Times New Roman"/>
        </w:rPr>
        <w:t xml:space="preserve"> recurrence in prostate cancer</w:t>
      </w:r>
      <w:r w:rsidR="003C5E03">
        <w:rPr>
          <w:rFonts w:ascii="Times New Roman" w:hAnsi="Times New Roman" w:cs="Times New Roman"/>
        </w:rPr>
        <w:fldChar w:fldCharType="begin"/>
      </w:r>
      <w:r w:rsidR="003C5E03">
        <w:rPr>
          <w:rFonts w:ascii="Times New Roman" w:hAnsi="Times New Roman" w:cs="Times New Roman"/>
        </w:rPr>
        <w:instrText xml:space="preserve"> ADDIN ZOTERO_ITEM CSL_CITATION {"citationID":"sW0gWTVe","properties":{"formattedCitation":"\\super 5\\nosupersub{}","plainCitation":"5","noteIndex":0},"citationItems":[{"id":145,"uris":["http://zotero.org/users/4616609/items/9G7CENLD"],"uri":["http://zotero.org/users/4616609/items/9G7CENLD"],"itemData":{"id":145,"type":"webpage","title":"Cell Orientation Entropy (COrE): Predicting Biochemical Recurrence from Prostate Cancer Tissue Microarrays | SpringerLink","URL":"https://link.springer.com/chapter/10.1007%2F978-3-642-40760-4_50","accessed":{"date-parts":[["2018",2,6]]}}}],"schema":"https://github.com/citation-style-language/schema/raw/master/csl-citation.json"} </w:instrText>
      </w:r>
      <w:r w:rsidR="003C5E03">
        <w:rPr>
          <w:rFonts w:ascii="Times New Roman" w:hAnsi="Times New Roman" w:cs="Times New Roman"/>
        </w:rPr>
        <w:fldChar w:fldCharType="separate"/>
      </w:r>
      <w:r w:rsidR="003C5E03" w:rsidRPr="003C5E03">
        <w:rPr>
          <w:rFonts w:ascii="Times New Roman" w:hAnsi="Times New Roman" w:cs="Times New Roman"/>
          <w:szCs w:val="24"/>
          <w:vertAlign w:val="superscript"/>
        </w:rPr>
        <w:t>5</w:t>
      </w:r>
      <w:r w:rsidR="003C5E03">
        <w:rPr>
          <w:rFonts w:ascii="Times New Roman" w:hAnsi="Times New Roman" w:cs="Times New Roman"/>
        </w:rPr>
        <w:fldChar w:fldCharType="end"/>
      </w:r>
      <w:r w:rsidR="003C5E03">
        <w:rPr>
          <w:rFonts w:ascii="Times New Roman" w:hAnsi="Times New Roman" w:cs="Times New Roman"/>
        </w:rPr>
        <w:t>.</w:t>
      </w:r>
    </w:p>
    <w:p w14:paraId="10D611B5" w14:textId="0B6BFFE4" w:rsidR="008503C3" w:rsidRPr="008503C3" w:rsidRDefault="008503C3" w:rsidP="008503C3">
      <w:pPr>
        <w:rPr>
          <w:rFonts w:ascii="Times New Roman" w:hAnsi="Times New Roman" w:cs="Times New Roman"/>
        </w:rPr>
      </w:pPr>
      <w:r w:rsidRPr="008503C3">
        <w:rPr>
          <w:rFonts w:ascii="Times New Roman" w:hAnsi="Times New Roman" w:cs="Times New Roman"/>
          <w:b/>
        </w:rPr>
        <w:t>Haralick Texture:</w:t>
      </w:r>
      <w:r w:rsidRPr="008503C3">
        <w:rPr>
          <w:rFonts w:ascii="Times New Roman" w:hAnsi="Times New Roman" w:cs="Times New Roman"/>
        </w:rPr>
        <w:t xml:space="preserve"> A total of 26 Haralick texture features which correspond to heterogeneity patterns relating to the arrangement of the chromatin within the individual nuclei were also extracted.</w:t>
      </w:r>
    </w:p>
    <w:p w14:paraId="7961DFFE" w14:textId="0697B268" w:rsidR="00441552" w:rsidRDefault="003C5E03" w:rsidP="003C5E03">
      <w:pPr>
        <w:rPr>
          <w:b/>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A46E03C" wp14:editId="0CB4B321">
                <wp:simplePos x="0" y="0"/>
                <wp:positionH relativeFrom="margin">
                  <wp:posOffset>38100</wp:posOffset>
                </wp:positionH>
                <wp:positionV relativeFrom="paragraph">
                  <wp:posOffset>146685</wp:posOffset>
                </wp:positionV>
                <wp:extent cx="59436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FA66B7" id="Straight Connector 8"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3pt,11.55pt" to="471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" strokecolor="black [3213]" strokeweight="1.5pt">
                <v:stroke joinstyle="miter"/>
                <w10:wrap anchorx="margin"/>
              </v:line>
            </w:pict>
          </mc:Fallback>
        </mc:AlternateContent>
      </w:r>
    </w:p>
    <w:p w14:paraId="626784F0" w14:textId="70EFF571" w:rsidR="00B70E7D" w:rsidRDefault="00B70E7D" w:rsidP="00B70E7D">
      <w:pPr>
        <w:jc w:val="center"/>
      </w:pPr>
      <w:r>
        <w:rPr>
          <w:noProof/>
        </w:rPr>
        <w:drawing>
          <wp:inline distT="0" distB="0" distL="0" distR="0" wp14:anchorId="7881C30F" wp14:editId="25250F3C">
            <wp:extent cx="3820260" cy="3402419"/>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ature_extraction.png"/>
                    <pic:cNvPicPr/>
                  </pic:nvPicPr>
                  <pic:blipFill>
                    <a:blip r:embed="rId5">
                      <a:extLst>
                        <a:ext uri="{28A0092B-C50C-407E-A947-70E740481C1C}">
                          <a14:useLocalDpi xmlns:a14="http://schemas.microsoft.com/office/drawing/2010/main" val="0"/>
                        </a:ext>
                      </a:extLst>
                    </a:blip>
                    <a:stretch>
                      <a:fillRect/>
                    </a:stretch>
                  </pic:blipFill>
                  <pic:spPr>
                    <a:xfrm>
                      <a:off x="0" y="0"/>
                      <a:ext cx="3826623" cy="3408086"/>
                    </a:xfrm>
                    <a:prstGeom prst="rect">
                      <a:avLst/>
                    </a:prstGeom>
                  </pic:spPr>
                </pic:pic>
              </a:graphicData>
            </a:graphic>
          </wp:inline>
        </w:drawing>
      </w:r>
      <w:r w:rsidR="00584FC6">
        <w:t xml:space="preserve">  </w:t>
      </w:r>
    </w:p>
    <w:p w14:paraId="3863D297" w14:textId="77777777" w:rsidR="00B70E7D" w:rsidRPr="00B70E7D" w:rsidRDefault="00B70E7D" w:rsidP="00B70E7D">
      <w:pPr>
        <w:jc w:val="center"/>
        <w:rPr>
          <w:rFonts w:ascii="Times New Roman" w:hAnsi="Times New Roman" w:cs="Times New Roman"/>
          <w:b/>
          <w:sz w:val="24"/>
        </w:rPr>
      </w:pPr>
      <w:r w:rsidRPr="00B70E7D">
        <w:rPr>
          <w:rFonts w:ascii="Times New Roman" w:hAnsi="Times New Roman" w:cs="Times New Roman"/>
          <w:b/>
          <w:sz w:val="24"/>
        </w:rPr>
        <w:t>(I)</w:t>
      </w:r>
    </w:p>
    <w:p w14:paraId="6892B7CE" w14:textId="77777777" w:rsidR="00B70E7D" w:rsidRDefault="00B70E7D" w:rsidP="00B70E7D">
      <w:pPr>
        <w:jc w:val="center"/>
      </w:pPr>
      <w:r>
        <w:rPr>
          <w:noProof/>
        </w:rPr>
        <w:drawing>
          <wp:inline distT="0" distB="0" distL="0" distR="0" wp14:anchorId="19C64325" wp14:editId="660AADD1">
            <wp:extent cx="4773582" cy="34506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ature_extraction_inter.png"/>
                    <pic:cNvPicPr/>
                  </pic:nvPicPr>
                  <pic:blipFill>
                    <a:blip r:embed="rId6">
                      <a:extLst>
                        <a:ext uri="{28A0092B-C50C-407E-A947-70E740481C1C}">
                          <a14:useLocalDpi xmlns:a14="http://schemas.microsoft.com/office/drawing/2010/main" val="0"/>
                        </a:ext>
                      </a:extLst>
                    </a:blip>
                    <a:stretch>
                      <a:fillRect/>
                    </a:stretch>
                  </pic:blipFill>
                  <pic:spPr>
                    <a:xfrm>
                      <a:off x="0" y="0"/>
                      <a:ext cx="4773582" cy="3450635"/>
                    </a:xfrm>
                    <a:prstGeom prst="rect">
                      <a:avLst/>
                    </a:prstGeom>
                  </pic:spPr>
                </pic:pic>
              </a:graphicData>
            </a:graphic>
          </wp:inline>
        </w:drawing>
      </w:r>
    </w:p>
    <w:p w14:paraId="5FA24894" w14:textId="77777777" w:rsidR="00B70E7D" w:rsidRPr="00B70E7D" w:rsidRDefault="00B70E7D" w:rsidP="00B70E7D">
      <w:pPr>
        <w:jc w:val="center"/>
        <w:rPr>
          <w:rFonts w:ascii="Times New Roman" w:hAnsi="Times New Roman" w:cs="Times New Roman"/>
          <w:b/>
          <w:sz w:val="24"/>
        </w:rPr>
      </w:pPr>
      <w:r w:rsidRPr="00B70E7D">
        <w:rPr>
          <w:rFonts w:ascii="Times New Roman" w:hAnsi="Times New Roman" w:cs="Times New Roman"/>
          <w:b/>
          <w:sz w:val="24"/>
        </w:rPr>
        <w:t>(II)</w:t>
      </w:r>
    </w:p>
    <w:p w14:paraId="6FC7416F" w14:textId="77777777" w:rsidR="00B70E7D" w:rsidRDefault="00B70E7D" w:rsidP="00B70E7D">
      <w:pPr>
        <w:jc w:val="center"/>
      </w:pPr>
      <w:r>
        <w:rPr>
          <w:noProof/>
        </w:rPr>
        <w:drawing>
          <wp:inline distT="0" distB="0" distL="0" distR="0" wp14:anchorId="42BB20CA" wp14:editId="1FE5B482">
            <wp:extent cx="4848446" cy="3499313"/>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ature_extraction_low.png"/>
                    <pic:cNvPicPr/>
                  </pic:nvPicPr>
                  <pic:blipFill>
                    <a:blip r:embed="rId7">
                      <a:extLst>
                        <a:ext uri="{28A0092B-C50C-407E-A947-70E740481C1C}">
                          <a14:useLocalDpi xmlns:a14="http://schemas.microsoft.com/office/drawing/2010/main" val="0"/>
                        </a:ext>
                      </a:extLst>
                    </a:blip>
                    <a:stretch>
                      <a:fillRect/>
                    </a:stretch>
                  </pic:blipFill>
                  <pic:spPr>
                    <a:xfrm>
                      <a:off x="0" y="0"/>
                      <a:ext cx="4858838" cy="3506813"/>
                    </a:xfrm>
                    <a:prstGeom prst="rect">
                      <a:avLst/>
                    </a:prstGeom>
                  </pic:spPr>
                </pic:pic>
              </a:graphicData>
            </a:graphic>
          </wp:inline>
        </w:drawing>
      </w:r>
    </w:p>
    <w:p w14:paraId="4A264033" w14:textId="77777777" w:rsidR="00B70E7D" w:rsidRPr="00B70E7D" w:rsidRDefault="00B70E7D" w:rsidP="00B70E7D">
      <w:pPr>
        <w:jc w:val="center"/>
        <w:rPr>
          <w:rFonts w:ascii="Times New Roman" w:hAnsi="Times New Roman" w:cs="Times New Roman"/>
          <w:b/>
          <w:sz w:val="24"/>
        </w:rPr>
      </w:pPr>
      <w:r w:rsidRPr="00B70E7D">
        <w:rPr>
          <w:rFonts w:ascii="Times New Roman" w:hAnsi="Times New Roman" w:cs="Times New Roman"/>
          <w:b/>
          <w:sz w:val="24"/>
        </w:rPr>
        <w:t>(III)</w:t>
      </w:r>
    </w:p>
    <w:p w14:paraId="3879CE8D" w14:textId="77777777" w:rsidR="00B70E7D" w:rsidRDefault="00B70E7D" w:rsidP="00B70E7D"/>
    <w:p w14:paraId="33F5D1E3" w14:textId="7E7E737A" w:rsidR="00B70E7D" w:rsidRDefault="00B70E7D" w:rsidP="00B70E7D">
      <w:pPr>
        <w:spacing w:line="360" w:lineRule="auto"/>
        <w:jc w:val="center"/>
        <w:rPr>
          <w:rFonts w:ascii="Times New Roman" w:hAnsi="Times New Roman" w:cs="Times New Roman"/>
        </w:rPr>
      </w:pPr>
      <w:r w:rsidRPr="00B70E7D">
        <w:rPr>
          <w:rFonts w:ascii="Times New Roman" w:hAnsi="Times New Roman" w:cs="Times New Roman"/>
        </w:rPr>
        <w:t>Figure 2: Illustration of the feature maps corresponding to global graph (Voronoi, Delaunay, and Minimum Spanning Tree), Shape, CORE, CCG and Haralick Texture features, capturing respectively spatial arrangement, shape, orientation, local arrangement and heterogeneity of nuclei within a tissue image of a DCIS patient corresponding to the high (I), intermediate (II) and low (III) ODx risk category</w:t>
      </w:r>
      <w:r w:rsidR="0004503C">
        <w:rPr>
          <w:rFonts w:ascii="Times New Roman" w:hAnsi="Times New Roman" w:cs="Times New Roman"/>
        </w:rPr>
        <w:t xml:space="preserve"> respectively</w:t>
      </w:r>
      <w:r w:rsidRPr="00B70E7D">
        <w:rPr>
          <w:rFonts w:ascii="Times New Roman" w:hAnsi="Times New Roman" w:cs="Times New Roman"/>
        </w:rPr>
        <w:t>.</w:t>
      </w:r>
    </w:p>
    <w:p w14:paraId="54210C60" w14:textId="14821EAA" w:rsidR="008503C3" w:rsidRDefault="008503C3" w:rsidP="00B70E7D">
      <w:pPr>
        <w:spacing w:line="360" w:lineRule="auto"/>
        <w:jc w:val="center"/>
        <w:rPr>
          <w:rFonts w:ascii="Times New Roman" w:hAnsi="Times New Roman" w:cs="Times New Roman"/>
        </w:rPr>
      </w:pPr>
      <w:bookmarkStart w:id="0" w:name="_GoBack"/>
      <w:bookmarkEnd w:id="0"/>
    </w:p>
    <w:p w14:paraId="5EDF0B97" w14:textId="5419E71C" w:rsidR="00584FC6" w:rsidRPr="003A79A2" w:rsidRDefault="00584FC6" w:rsidP="00584FC6">
      <w:pPr>
        <w:spacing w:line="360" w:lineRule="auto"/>
        <w:rPr>
          <w:rFonts w:ascii="Times New Roman" w:hAnsi="Times New Roman" w:cs="Times New Roman"/>
          <w:b/>
        </w:rPr>
      </w:pPr>
      <w:r w:rsidRPr="003A79A2">
        <w:rPr>
          <w:rFonts w:ascii="Times New Roman" w:hAnsi="Times New Roman" w:cs="Times New Roman"/>
          <w:b/>
        </w:rPr>
        <w:t>Reference:</w:t>
      </w:r>
    </w:p>
    <w:p w14:paraId="590CC3C0" w14:textId="77777777" w:rsidR="00584FC6" w:rsidRPr="00584FC6" w:rsidRDefault="00584FC6" w:rsidP="00584FC6">
      <w:pPr>
        <w:pStyle w:val="Bibliography"/>
        <w:rPr>
          <w:rFonts w:ascii="Times New Roman" w:hAnsi="Times New Roman" w:cs="Times New Roman"/>
        </w:rPr>
      </w:pPr>
      <w:r w:rsidRPr="00584FC6">
        <w:rPr>
          <w:rFonts w:ascii="Times New Roman" w:hAnsi="Times New Roman" w:cs="Times New Roman"/>
        </w:rPr>
        <w:fldChar w:fldCharType="begin"/>
      </w:r>
      <w:r w:rsidRPr="00584FC6">
        <w:rPr>
          <w:rFonts w:ascii="Times New Roman" w:hAnsi="Times New Roman" w:cs="Times New Roman"/>
        </w:rPr>
        <w:instrText xml:space="preserve"> ADDIN ZOTERO_BIBL {"uncited":[],"omitted":[],"custom":[]} CSL_BIBLIOGRAPHY </w:instrText>
      </w:r>
      <w:r w:rsidRPr="00584FC6">
        <w:rPr>
          <w:rFonts w:ascii="Times New Roman" w:hAnsi="Times New Roman" w:cs="Times New Roman"/>
        </w:rPr>
        <w:fldChar w:fldCharType="separate"/>
      </w:r>
      <w:r w:rsidRPr="00584FC6">
        <w:rPr>
          <w:rFonts w:ascii="Times New Roman" w:hAnsi="Times New Roman" w:cs="Times New Roman"/>
        </w:rPr>
        <w:t xml:space="preserve">1. </w:t>
      </w:r>
      <w:r w:rsidRPr="00584FC6">
        <w:rPr>
          <w:rFonts w:ascii="Times New Roman" w:hAnsi="Times New Roman" w:cs="Times New Roman"/>
        </w:rPr>
        <w:tab/>
        <w:t xml:space="preserve">National Society for </w:t>
      </w:r>
      <w:proofErr w:type="spellStart"/>
      <w:r w:rsidRPr="00584FC6">
        <w:rPr>
          <w:rFonts w:ascii="Times New Roman" w:hAnsi="Times New Roman" w:cs="Times New Roman"/>
        </w:rPr>
        <w:t>Histotechnology</w:t>
      </w:r>
      <w:proofErr w:type="spellEnd"/>
      <w:r w:rsidRPr="00584FC6">
        <w:rPr>
          <w:rFonts w:ascii="Times New Roman" w:hAnsi="Times New Roman" w:cs="Times New Roman"/>
        </w:rPr>
        <w:t>. Guidelines_For_Hematoxylin_and_Eosin_Staining.pdf [Internet]. [</w:t>
      </w:r>
      <w:proofErr w:type="gramStart"/>
      <w:r w:rsidRPr="00584FC6">
        <w:rPr>
          <w:rFonts w:ascii="Times New Roman" w:hAnsi="Times New Roman" w:cs="Times New Roman"/>
        </w:rPr>
        <w:t>cited</w:t>
      </w:r>
      <w:proofErr w:type="gramEnd"/>
      <w:r w:rsidRPr="00584FC6">
        <w:rPr>
          <w:rFonts w:ascii="Times New Roman" w:hAnsi="Times New Roman" w:cs="Times New Roman"/>
        </w:rPr>
        <w:t xml:space="preserve"> 2019 May 25]. Available from: http://nsh.org/sites/default/files/Guidelines_For_Hematoxylin_and_Eosin_Staining.pdf</w:t>
      </w:r>
    </w:p>
    <w:p w14:paraId="59BE7B29" w14:textId="77777777" w:rsidR="00584FC6" w:rsidRPr="00584FC6" w:rsidRDefault="00584FC6" w:rsidP="00584FC6">
      <w:pPr>
        <w:pStyle w:val="Bibliography"/>
        <w:rPr>
          <w:rFonts w:ascii="Times New Roman" w:hAnsi="Times New Roman" w:cs="Times New Roman"/>
        </w:rPr>
      </w:pPr>
      <w:r w:rsidRPr="00584FC6">
        <w:rPr>
          <w:rFonts w:ascii="Times New Roman" w:hAnsi="Times New Roman" w:cs="Times New Roman"/>
        </w:rPr>
        <w:t xml:space="preserve">2. </w:t>
      </w:r>
      <w:r w:rsidRPr="00584FC6">
        <w:rPr>
          <w:rFonts w:ascii="Times New Roman" w:hAnsi="Times New Roman" w:cs="Times New Roman"/>
        </w:rPr>
        <w:tab/>
        <w:t xml:space="preserve">Whitney J, </w:t>
      </w:r>
      <w:proofErr w:type="spellStart"/>
      <w:r w:rsidRPr="00584FC6">
        <w:rPr>
          <w:rFonts w:ascii="Times New Roman" w:hAnsi="Times New Roman" w:cs="Times New Roman"/>
        </w:rPr>
        <w:t>Corredor</w:t>
      </w:r>
      <w:proofErr w:type="spellEnd"/>
      <w:r w:rsidRPr="00584FC6">
        <w:rPr>
          <w:rFonts w:ascii="Times New Roman" w:hAnsi="Times New Roman" w:cs="Times New Roman"/>
        </w:rPr>
        <w:t xml:space="preserve"> G, </w:t>
      </w:r>
      <w:proofErr w:type="spellStart"/>
      <w:r w:rsidRPr="00584FC6">
        <w:rPr>
          <w:rFonts w:ascii="Times New Roman" w:hAnsi="Times New Roman" w:cs="Times New Roman"/>
        </w:rPr>
        <w:t>Janowczyk</w:t>
      </w:r>
      <w:proofErr w:type="spellEnd"/>
      <w:r w:rsidRPr="00584FC6">
        <w:rPr>
          <w:rFonts w:ascii="Times New Roman" w:hAnsi="Times New Roman" w:cs="Times New Roman"/>
        </w:rPr>
        <w:t xml:space="preserve"> A, </w:t>
      </w:r>
      <w:proofErr w:type="spellStart"/>
      <w:r w:rsidRPr="00584FC6">
        <w:rPr>
          <w:rFonts w:ascii="Times New Roman" w:hAnsi="Times New Roman" w:cs="Times New Roman"/>
        </w:rPr>
        <w:t>Ganesan</w:t>
      </w:r>
      <w:proofErr w:type="spellEnd"/>
      <w:r w:rsidRPr="00584FC6">
        <w:rPr>
          <w:rFonts w:ascii="Times New Roman" w:hAnsi="Times New Roman" w:cs="Times New Roman"/>
        </w:rPr>
        <w:t xml:space="preserve"> S, Doyle S, </w:t>
      </w:r>
      <w:proofErr w:type="spellStart"/>
      <w:r w:rsidRPr="00584FC6">
        <w:rPr>
          <w:rFonts w:ascii="Times New Roman" w:hAnsi="Times New Roman" w:cs="Times New Roman"/>
        </w:rPr>
        <w:t>Tomaszewski</w:t>
      </w:r>
      <w:proofErr w:type="spellEnd"/>
      <w:r w:rsidRPr="00584FC6">
        <w:rPr>
          <w:rFonts w:ascii="Times New Roman" w:hAnsi="Times New Roman" w:cs="Times New Roman"/>
        </w:rPr>
        <w:t xml:space="preserve"> J, Feldman M, Gilmore H, </w:t>
      </w:r>
      <w:proofErr w:type="spellStart"/>
      <w:r w:rsidRPr="00584FC6">
        <w:rPr>
          <w:rFonts w:ascii="Times New Roman" w:hAnsi="Times New Roman" w:cs="Times New Roman"/>
        </w:rPr>
        <w:t>Madabhushi</w:t>
      </w:r>
      <w:proofErr w:type="spellEnd"/>
      <w:r w:rsidRPr="00584FC6">
        <w:rPr>
          <w:rFonts w:ascii="Times New Roman" w:hAnsi="Times New Roman" w:cs="Times New Roman"/>
        </w:rPr>
        <w:t xml:space="preserve"> A. Quantitative nuclear histomorphometry predicts </w:t>
      </w:r>
      <w:proofErr w:type="spellStart"/>
      <w:r w:rsidRPr="00584FC6">
        <w:rPr>
          <w:rFonts w:ascii="Times New Roman" w:hAnsi="Times New Roman" w:cs="Times New Roman"/>
        </w:rPr>
        <w:t>oncotype</w:t>
      </w:r>
      <w:proofErr w:type="spellEnd"/>
      <w:r w:rsidRPr="00584FC6">
        <w:rPr>
          <w:rFonts w:ascii="Times New Roman" w:hAnsi="Times New Roman" w:cs="Times New Roman"/>
        </w:rPr>
        <w:t xml:space="preserve"> DX risk categories for early stage ER+ breast cancer. BMC Cancer. 2018 May 30</w:t>
      </w:r>
      <w:proofErr w:type="gramStart"/>
      <w:r w:rsidRPr="00584FC6">
        <w:rPr>
          <w:rFonts w:ascii="Times New Roman" w:hAnsi="Times New Roman" w:cs="Times New Roman"/>
        </w:rPr>
        <w:t>;18</w:t>
      </w:r>
      <w:proofErr w:type="gramEnd"/>
      <w:r w:rsidRPr="00584FC6">
        <w:rPr>
          <w:rFonts w:ascii="Times New Roman" w:hAnsi="Times New Roman" w:cs="Times New Roman"/>
        </w:rPr>
        <w:t xml:space="preserve">(1):610. </w:t>
      </w:r>
      <w:proofErr w:type="gramStart"/>
      <w:r w:rsidRPr="00584FC6">
        <w:rPr>
          <w:rFonts w:ascii="Times New Roman" w:hAnsi="Times New Roman" w:cs="Times New Roman"/>
        </w:rPr>
        <w:t>doi:</w:t>
      </w:r>
      <w:proofErr w:type="gramEnd"/>
      <w:r w:rsidRPr="00584FC6">
        <w:rPr>
          <w:rFonts w:ascii="Times New Roman" w:hAnsi="Times New Roman" w:cs="Times New Roman"/>
        </w:rPr>
        <w:t>10.1186/s12885-018-4448-9 PMID: 29848291 PMCID: PMC5977541</w:t>
      </w:r>
    </w:p>
    <w:p w14:paraId="7B87A8A3" w14:textId="77777777" w:rsidR="00584FC6" w:rsidRPr="00584FC6" w:rsidRDefault="00584FC6" w:rsidP="00584FC6">
      <w:pPr>
        <w:pStyle w:val="Bibliography"/>
        <w:rPr>
          <w:rFonts w:ascii="Times New Roman" w:hAnsi="Times New Roman" w:cs="Times New Roman"/>
        </w:rPr>
      </w:pPr>
      <w:r w:rsidRPr="00584FC6">
        <w:rPr>
          <w:rFonts w:ascii="Times New Roman" w:hAnsi="Times New Roman" w:cs="Times New Roman"/>
        </w:rPr>
        <w:t xml:space="preserve">3. </w:t>
      </w:r>
      <w:r w:rsidRPr="00584FC6">
        <w:rPr>
          <w:rFonts w:ascii="Times New Roman" w:hAnsi="Times New Roman" w:cs="Times New Roman"/>
        </w:rPr>
        <w:tab/>
        <w:t xml:space="preserve">Wang X, </w:t>
      </w:r>
      <w:proofErr w:type="spellStart"/>
      <w:r w:rsidRPr="00584FC6">
        <w:rPr>
          <w:rFonts w:ascii="Times New Roman" w:hAnsi="Times New Roman" w:cs="Times New Roman"/>
        </w:rPr>
        <w:t>Janowczyk</w:t>
      </w:r>
      <w:proofErr w:type="spellEnd"/>
      <w:r w:rsidRPr="00584FC6">
        <w:rPr>
          <w:rFonts w:ascii="Times New Roman" w:hAnsi="Times New Roman" w:cs="Times New Roman"/>
        </w:rPr>
        <w:t xml:space="preserve"> A, Zhou Y, </w:t>
      </w:r>
      <w:proofErr w:type="spellStart"/>
      <w:r w:rsidRPr="00584FC6">
        <w:rPr>
          <w:rFonts w:ascii="Times New Roman" w:hAnsi="Times New Roman" w:cs="Times New Roman"/>
        </w:rPr>
        <w:t>Thawani</w:t>
      </w:r>
      <w:proofErr w:type="spellEnd"/>
      <w:r w:rsidRPr="00584FC6">
        <w:rPr>
          <w:rFonts w:ascii="Times New Roman" w:hAnsi="Times New Roman" w:cs="Times New Roman"/>
        </w:rPr>
        <w:t xml:space="preserve"> R, Fu P, </w:t>
      </w:r>
      <w:proofErr w:type="spellStart"/>
      <w:r w:rsidRPr="00584FC6">
        <w:rPr>
          <w:rFonts w:ascii="Times New Roman" w:hAnsi="Times New Roman" w:cs="Times New Roman"/>
        </w:rPr>
        <w:t>Schalper</w:t>
      </w:r>
      <w:proofErr w:type="spellEnd"/>
      <w:r w:rsidRPr="00584FC6">
        <w:rPr>
          <w:rFonts w:ascii="Times New Roman" w:hAnsi="Times New Roman" w:cs="Times New Roman"/>
        </w:rPr>
        <w:t xml:space="preserve"> K, </w:t>
      </w:r>
      <w:proofErr w:type="spellStart"/>
      <w:r w:rsidRPr="00584FC6">
        <w:rPr>
          <w:rFonts w:ascii="Times New Roman" w:hAnsi="Times New Roman" w:cs="Times New Roman"/>
        </w:rPr>
        <w:t>Velcheti</w:t>
      </w:r>
      <w:proofErr w:type="spellEnd"/>
      <w:r w:rsidRPr="00584FC6">
        <w:rPr>
          <w:rFonts w:ascii="Times New Roman" w:hAnsi="Times New Roman" w:cs="Times New Roman"/>
        </w:rPr>
        <w:t xml:space="preserve"> V, </w:t>
      </w:r>
      <w:proofErr w:type="spellStart"/>
      <w:r w:rsidRPr="00584FC6">
        <w:rPr>
          <w:rFonts w:ascii="Times New Roman" w:hAnsi="Times New Roman" w:cs="Times New Roman"/>
        </w:rPr>
        <w:t>Madabhushi</w:t>
      </w:r>
      <w:proofErr w:type="spellEnd"/>
      <w:r w:rsidRPr="00584FC6">
        <w:rPr>
          <w:rFonts w:ascii="Times New Roman" w:hAnsi="Times New Roman" w:cs="Times New Roman"/>
        </w:rPr>
        <w:t xml:space="preserve"> A. Prediction of recurrence in early stage non-small cell lung cancer using computer extracted nuclear features from digital H&amp;E images. Scientific Reports. 2017 Oct 19</w:t>
      </w:r>
      <w:proofErr w:type="gramStart"/>
      <w:r w:rsidRPr="00584FC6">
        <w:rPr>
          <w:rFonts w:ascii="Times New Roman" w:hAnsi="Times New Roman" w:cs="Times New Roman"/>
        </w:rPr>
        <w:t>;7</w:t>
      </w:r>
      <w:proofErr w:type="gramEnd"/>
      <w:r w:rsidRPr="00584FC6">
        <w:rPr>
          <w:rFonts w:ascii="Times New Roman" w:hAnsi="Times New Roman" w:cs="Times New Roman"/>
        </w:rPr>
        <w:t xml:space="preserve">(1):13543. </w:t>
      </w:r>
      <w:proofErr w:type="gramStart"/>
      <w:r w:rsidRPr="00584FC6">
        <w:rPr>
          <w:rFonts w:ascii="Times New Roman" w:hAnsi="Times New Roman" w:cs="Times New Roman"/>
        </w:rPr>
        <w:t>doi:</w:t>
      </w:r>
      <w:proofErr w:type="gramEnd"/>
      <w:r w:rsidRPr="00584FC6">
        <w:rPr>
          <w:rFonts w:ascii="Times New Roman" w:hAnsi="Times New Roman" w:cs="Times New Roman"/>
        </w:rPr>
        <w:t>10.1038/s41598-017-13773-7</w:t>
      </w:r>
    </w:p>
    <w:p w14:paraId="1E5D5FC4" w14:textId="77777777" w:rsidR="00584FC6" w:rsidRPr="00584FC6" w:rsidRDefault="00584FC6" w:rsidP="00584FC6">
      <w:pPr>
        <w:pStyle w:val="Bibliography"/>
        <w:rPr>
          <w:rFonts w:ascii="Times New Roman" w:hAnsi="Times New Roman" w:cs="Times New Roman"/>
        </w:rPr>
      </w:pPr>
      <w:r w:rsidRPr="00584FC6">
        <w:rPr>
          <w:rFonts w:ascii="Times New Roman" w:hAnsi="Times New Roman" w:cs="Times New Roman"/>
        </w:rPr>
        <w:t xml:space="preserve">4. </w:t>
      </w:r>
      <w:r w:rsidRPr="00584FC6">
        <w:rPr>
          <w:rFonts w:ascii="Times New Roman" w:hAnsi="Times New Roman" w:cs="Times New Roman"/>
        </w:rPr>
        <w:tab/>
        <w:t xml:space="preserve">Lu C, </w:t>
      </w:r>
      <w:proofErr w:type="spellStart"/>
      <w:r w:rsidRPr="00584FC6">
        <w:rPr>
          <w:rFonts w:ascii="Times New Roman" w:hAnsi="Times New Roman" w:cs="Times New Roman"/>
        </w:rPr>
        <w:t>Romo-Bucheli</w:t>
      </w:r>
      <w:proofErr w:type="spellEnd"/>
      <w:r w:rsidRPr="00584FC6">
        <w:rPr>
          <w:rFonts w:ascii="Times New Roman" w:hAnsi="Times New Roman" w:cs="Times New Roman"/>
        </w:rPr>
        <w:t xml:space="preserve"> D, Wang X, </w:t>
      </w:r>
      <w:proofErr w:type="spellStart"/>
      <w:r w:rsidRPr="00584FC6">
        <w:rPr>
          <w:rFonts w:ascii="Times New Roman" w:hAnsi="Times New Roman" w:cs="Times New Roman"/>
        </w:rPr>
        <w:t>Janowczyk</w:t>
      </w:r>
      <w:proofErr w:type="spellEnd"/>
      <w:r w:rsidRPr="00584FC6">
        <w:rPr>
          <w:rFonts w:ascii="Times New Roman" w:hAnsi="Times New Roman" w:cs="Times New Roman"/>
        </w:rPr>
        <w:t xml:space="preserve"> A, </w:t>
      </w:r>
      <w:proofErr w:type="spellStart"/>
      <w:r w:rsidRPr="00584FC6">
        <w:rPr>
          <w:rFonts w:ascii="Times New Roman" w:hAnsi="Times New Roman" w:cs="Times New Roman"/>
        </w:rPr>
        <w:t>Ganesan</w:t>
      </w:r>
      <w:proofErr w:type="spellEnd"/>
      <w:r w:rsidRPr="00584FC6">
        <w:rPr>
          <w:rFonts w:ascii="Times New Roman" w:hAnsi="Times New Roman" w:cs="Times New Roman"/>
        </w:rPr>
        <w:t xml:space="preserve"> S, Gilmore H, </w:t>
      </w:r>
      <w:proofErr w:type="spellStart"/>
      <w:r w:rsidRPr="00584FC6">
        <w:rPr>
          <w:rFonts w:ascii="Times New Roman" w:hAnsi="Times New Roman" w:cs="Times New Roman"/>
        </w:rPr>
        <w:t>Rimm</w:t>
      </w:r>
      <w:proofErr w:type="spellEnd"/>
      <w:r w:rsidRPr="00584FC6">
        <w:rPr>
          <w:rFonts w:ascii="Times New Roman" w:hAnsi="Times New Roman" w:cs="Times New Roman"/>
        </w:rPr>
        <w:t xml:space="preserve"> D, </w:t>
      </w:r>
      <w:proofErr w:type="spellStart"/>
      <w:r w:rsidRPr="00584FC6">
        <w:rPr>
          <w:rFonts w:ascii="Times New Roman" w:hAnsi="Times New Roman" w:cs="Times New Roman"/>
        </w:rPr>
        <w:t>Madabhushi</w:t>
      </w:r>
      <w:proofErr w:type="spellEnd"/>
      <w:r w:rsidRPr="00584FC6">
        <w:rPr>
          <w:rFonts w:ascii="Times New Roman" w:hAnsi="Times New Roman" w:cs="Times New Roman"/>
        </w:rPr>
        <w:t xml:space="preserve"> A. Nuclear shape and orientation features from H&amp;E images predict survival in early-stage estrogen receptor-positive breast cancers. Lab Invest. 2018 Jun 29; doi</w:t>
      </w:r>
      <w:proofErr w:type="gramStart"/>
      <w:r w:rsidRPr="00584FC6">
        <w:rPr>
          <w:rFonts w:ascii="Times New Roman" w:hAnsi="Times New Roman" w:cs="Times New Roman"/>
        </w:rPr>
        <w:t>:10.1038</w:t>
      </w:r>
      <w:proofErr w:type="gramEnd"/>
      <w:r w:rsidRPr="00584FC6">
        <w:rPr>
          <w:rFonts w:ascii="Times New Roman" w:hAnsi="Times New Roman" w:cs="Times New Roman"/>
        </w:rPr>
        <w:t>/s41374-018-0095-7 PMID: 29959421</w:t>
      </w:r>
    </w:p>
    <w:p w14:paraId="7F2FA110" w14:textId="77777777" w:rsidR="00584FC6" w:rsidRPr="00584FC6" w:rsidRDefault="00584FC6" w:rsidP="00584FC6">
      <w:pPr>
        <w:pStyle w:val="Bibliography"/>
        <w:rPr>
          <w:rFonts w:ascii="Times New Roman" w:hAnsi="Times New Roman" w:cs="Times New Roman"/>
        </w:rPr>
      </w:pPr>
      <w:r w:rsidRPr="00584FC6">
        <w:rPr>
          <w:rFonts w:ascii="Times New Roman" w:hAnsi="Times New Roman" w:cs="Times New Roman"/>
        </w:rPr>
        <w:t xml:space="preserve">5. </w:t>
      </w:r>
      <w:r w:rsidRPr="00584FC6">
        <w:rPr>
          <w:rFonts w:ascii="Times New Roman" w:hAnsi="Times New Roman" w:cs="Times New Roman"/>
        </w:rPr>
        <w:tab/>
        <w:t>Cell Orientation Entropy (</w:t>
      </w:r>
      <w:proofErr w:type="spellStart"/>
      <w:r w:rsidRPr="00584FC6">
        <w:rPr>
          <w:rFonts w:ascii="Times New Roman" w:hAnsi="Times New Roman" w:cs="Times New Roman"/>
        </w:rPr>
        <w:t>COrE</w:t>
      </w:r>
      <w:proofErr w:type="spellEnd"/>
      <w:r w:rsidRPr="00584FC6">
        <w:rPr>
          <w:rFonts w:ascii="Times New Roman" w:hAnsi="Times New Roman" w:cs="Times New Roman"/>
        </w:rPr>
        <w:t xml:space="preserve">): Predicting Biochemical Recurrence from Prostate Cancer Tissue Microarrays | </w:t>
      </w:r>
      <w:proofErr w:type="spellStart"/>
      <w:r w:rsidRPr="00584FC6">
        <w:rPr>
          <w:rFonts w:ascii="Times New Roman" w:hAnsi="Times New Roman" w:cs="Times New Roman"/>
        </w:rPr>
        <w:t>SpringerLink</w:t>
      </w:r>
      <w:proofErr w:type="spellEnd"/>
      <w:r w:rsidRPr="00584FC6">
        <w:rPr>
          <w:rFonts w:ascii="Times New Roman" w:hAnsi="Times New Roman" w:cs="Times New Roman"/>
        </w:rPr>
        <w:t xml:space="preserve"> [Internet]. [</w:t>
      </w:r>
      <w:proofErr w:type="gramStart"/>
      <w:r w:rsidRPr="00584FC6">
        <w:rPr>
          <w:rFonts w:ascii="Times New Roman" w:hAnsi="Times New Roman" w:cs="Times New Roman"/>
        </w:rPr>
        <w:t>cited</w:t>
      </w:r>
      <w:proofErr w:type="gramEnd"/>
      <w:r w:rsidRPr="00584FC6">
        <w:rPr>
          <w:rFonts w:ascii="Times New Roman" w:hAnsi="Times New Roman" w:cs="Times New Roman"/>
        </w:rPr>
        <w:t xml:space="preserve"> 2018 Feb 6]. Available from: https://link.springer.com/chapter/10.1007%2F978-3-642-40760-4_50</w:t>
      </w:r>
    </w:p>
    <w:p w14:paraId="00C3FF8F" w14:textId="60536805" w:rsidR="00584FC6" w:rsidRPr="00584FC6" w:rsidRDefault="00584FC6" w:rsidP="00584FC6">
      <w:pPr>
        <w:spacing w:line="360" w:lineRule="auto"/>
        <w:rPr>
          <w:rFonts w:ascii="Times New Roman" w:hAnsi="Times New Roman" w:cs="Times New Roman"/>
        </w:rPr>
      </w:pPr>
      <w:r w:rsidRPr="00584FC6">
        <w:rPr>
          <w:rFonts w:ascii="Times New Roman" w:hAnsi="Times New Roman" w:cs="Times New Roman"/>
        </w:rPr>
        <w:fldChar w:fldCharType="end"/>
      </w:r>
    </w:p>
    <w:p w14:paraId="2756911D" w14:textId="74B73968" w:rsidR="008503C3" w:rsidRDefault="008503C3" w:rsidP="008503C3">
      <w:pPr>
        <w:spacing w:line="360" w:lineRule="auto"/>
        <w:jc w:val="center"/>
      </w:pPr>
    </w:p>
    <w:p w14:paraId="34222FC9" w14:textId="1E90062B" w:rsidR="008503C3" w:rsidRDefault="008503C3" w:rsidP="008503C3">
      <w:pPr>
        <w:spacing w:line="360" w:lineRule="auto"/>
        <w:jc w:val="center"/>
      </w:pPr>
    </w:p>
    <w:p w14:paraId="1649526D" w14:textId="15EBD8EC" w:rsidR="008503C3" w:rsidRDefault="008503C3" w:rsidP="008503C3">
      <w:pPr>
        <w:spacing w:line="360" w:lineRule="auto"/>
        <w:jc w:val="center"/>
      </w:pPr>
    </w:p>
    <w:p w14:paraId="13ED877D" w14:textId="1A739144" w:rsidR="008503C3" w:rsidRDefault="008503C3" w:rsidP="008503C3">
      <w:pPr>
        <w:spacing w:line="360" w:lineRule="auto"/>
        <w:jc w:val="center"/>
      </w:pPr>
    </w:p>
    <w:p w14:paraId="5E98A2C9" w14:textId="77777777" w:rsidR="008503C3" w:rsidRPr="00647084" w:rsidRDefault="008503C3" w:rsidP="008503C3">
      <w:pPr>
        <w:spacing w:line="360" w:lineRule="auto"/>
        <w:jc w:val="center"/>
      </w:pPr>
    </w:p>
    <w:p w14:paraId="4D39DFCD" w14:textId="77777777" w:rsidR="008503C3" w:rsidRPr="00B70E7D" w:rsidRDefault="008503C3" w:rsidP="00B70E7D">
      <w:pPr>
        <w:spacing w:line="360" w:lineRule="auto"/>
        <w:jc w:val="center"/>
        <w:rPr>
          <w:rFonts w:ascii="Times New Roman" w:hAnsi="Times New Roman" w:cs="Times New Roman"/>
        </w:rPr>
      </w:pPr>
    </w:p>
    <w:sectPr w:rsidR="008503C3" w:rsidRPr="00B70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FF"/>
    <w:rsid w:val="0004503C"/>
    <w:rsid w:val="0006053B"/>
    <w:rsid w:val="00164286"/>
    <w:rsid w:val="00327540"/>
    <w:rsid w:val="003A79A2"/>
    <w:rsid w:val="003C5E03"/>
    <w:rsid w:val="0041150A"/>
    <w:rsid w:val="00441552"/>
    <w:rsid w:val="00572F17"/>
    <w:rsid w:val="00584FC6"/>
    <w:rsid w:val="005A5244"/>
    <w:rsid w:val="006B2AE6"/>
    <w:rsid w:val="008503C3"/>
    <w:rsid w:val="0086405F"/>
    <w:rsid w:val="00873FFF"/>
    <w:rsid w:val="00953E92"/>
    <w:rsid w:val="00AD18FE"/>
    <w:rsid w:val="00B2053E"/>
    <w:rsid w:val="00B70E7D"/>
    <w:rsid w:val="00E06C8E"/>
    <w:rsid w:val="00F05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3A49"/>
  <w15:chartTrackingRefBased/>
  <w15:docId w15:val="{EECEC711-7279-4188-AE75-0F2B8801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3E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84FC6"/>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13559">
      <w:bodyDiv w:val="1"/>
      <w:marLeft w:val="0"/>
      <w:marRight w:val="0"/>
      <w:marTop w:val="0"/>
      <w:marBottom w:val="0"/>
      <w:divBdr>
        <w:top w:val="none" w:sz="0" w:space="0" w:color="auto"/>
        <w:left w:val="none" w:sz="0" w:space="0" w:color="auto"/>
        <w:bottom w:val="none" w:sz="0" w:space="0" w:color="auto"/>
        <w:right w:val="none" w:sz="0" w:space="0" w:color="auto"/>
      </w:divBdr>
    </w:div>
    <w:div w:id="8791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748</TotalTime>
  <Pages>5</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Haojia Li</dc:creator>
  <cp:keywords/>
  <dc:description/>
  <cp:lastModifiedBy>Haojia Li</cp:lastModifiedBy>
  <cp:revision>12</cp:revision>
  <dcterms:created xsi:type="dcterms:W3CDTF">2019-05-31T15:08:00Z</dcterms:created>
  <dcterms:modified xsi:type="dcterms:W3CDTF">2019-07-26T20:37:00Z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zotero-version="5.0.61"&gt;&lt;session id="x8OnZn30"/&gt;&lt;style id="http://csl.mendeley.com/styles/573171/national-library-of-medicine-grant-proposals-9" hasBibliography="1" bibliographyStyleHasBeenSet="1"/&gt;&lt;prefs&gt;&lt;pref name="fieldType" valu</vt:lpwstr>
  </property>
  <property fmtid="{D5CDD505-2E9C-101B-9397-08002B2CF9AE}" pid="3" name="ZOTERO_PREF_2">
    <vt:lpwstr>e="Field"/&gt;&lt;/prefs&gt;&lt;/data&gt;</vt:lpwstr>
  </property>
</Properties>
</file>