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920EA" w14:textId="55AE1DE4" w:rsidR="00101D92" w:rsidRPr="0004351B" w:rsidRDefault="008B74F8" w:rsidP="0004351B">
      <w:pPr>
        <w:pStyle w:val="NoSpacing"/>
        <w:spacing w:line="480" w:lineRule="auto"/>
        <w:rPr>
          <w:rFonts w:ascii="Times New Roman" w:hAnsi="Times New Roman" w:cs="Times New Roman"/>
          <w:b/>
          <w:szCs w:val="20"/>
        </w:rPr>
      </w:pPr>
      <w:r w:rsidRPr="0004351B">
        <w:rPr>
          <w:rFonts w:ascii="Times New Roman" w:hAnsi="Times New Roman" w:cs="Times New Roman"/>
          <w:b/>
          <w:szCs w:val="20"/>
        </w:rPr>
        <w:t xml:space="preserve">Supplementary </w:t>
      </w:r>
      <w:r w:rsidR="00101D92" w:rsidRPr="0004351B">
        <w:rPr>
          <w:rFonts w:ascii="Times New Roman" w:hAnsi="Times New Roman" w:cs="Times New Roman"/>
          <w:b/>
          <w:szCs w:val="20"/>
        </w:rPr>
        <w:t>Methods</w:t>
      </w:r>
    </w:p>
    <w:p w14:paraId="46E0AD77" w14:textId="37D994E2" w:rsidR="00101D92" w:rsidRPr="0004351B" w:rsidRDefault="00B304F4" w:rsidP="0004351B">
      <w:pPr>
        <w:pStyle w:val="NoSpacing"/>
        <w:spacing w:line="480" w:lineRule="auto"/>
        <w:rPr>
          <w:rFonts w:ascii="Times New Roman" w:hAnsi="Times New Roman" w:cs="Times New Roman"/>
          <w:b/>
          <w:szCs w:val="20"/>
        </w:rPr>
      </w:pPr>
      <w:r w:rsidRPr="0004351B">
        <w:rPr>
          <w:rFonts w:ascii="Times New Roman" w:hAnsi="Times New Roman" w:cs="Times New Roman"/>
          <w:b/>
          <w:szCs w:val="20"/>
        </w:rPr>
        <w:t>Patient and c</w:t>
      </w:r>
      <w:r w:rsidR="00101D92" w:rsidRPr="0004351B">
        <w:rPr>
          <w:rFonts w:ascii="Times New Roman" w:hAnsi="Times New Roman" w:cs="Times New Roman"/>
          <w:b/>
          <w:szCs w:val="20"/>
        </w:rPr>
        <w:t>linical tissue sample selection</w:t>
      </w:r>
    </w:p>
    <w:p w14:paraId="346B7CC2" w14:textId="32D84ABE" w:rsidR="00101D92" w:rsidRPr="0004351B" w:rsidRDefault="00D2742C"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szCs w:val="20"/>
        </w:rPr>
        <w:t>All pathologic specimens enrolled in this study were collected from the Seoul National University Hospital biorepository operated by the Department of Pathology. Inclusion criteria for this study accepted (a) female patients who received chemotherapeutic medication with Adriamycin (ADR), cyclophosphamide (CPM) and docetaxel (</w:t>
      </w:r>
      <w:r w:rsidRPr="0004351B">
        <w:rPr>
          <w:rFonts w:ascii="Times New Roman" w:hAnsi="Times New Roman" w:cs="Times New Roman"/>
          <w:color w:val="1C1E29"/>
          <w:szCs w:val="20"/>
        </w:rPr>
        <w:t>DTX)</w:t>
      </w:r>
      <w:r w:rsidRPr="0004351B">
        <w:rPr>
          <w:rFonts w:ascii="Times New Roman" w:hAnsi="Times New Roman" w:cs="Times New Roman"/>
          <w:szCs w:val="20"/>
        </w:rPr>
        <w:t xml:space="preserve"> as preoperative therapy</w:t>
      </w:r>
      <w:r w:rsidR="005250F1" w:rsidRPr="0004351B">
        <w:rPr>
          <w:rFonts w:ascii="Times New Roman" w:hAnsi="Times New Roman" w:cs="Times New Roman"/>
          <w:szCs w:val="20"/>
        </w:rPr>
        <w:t xml:space="preserve"> </w:t>
      </w:r>
      <w:r w:rsidR="005250F1" w:rsidRPr="0004351B">
        <w:rPr>
          <w:rFonts w:ascii="Times New Roman" w:hAnsi="Times New Roman" w:cs="Times New Roman"/>
          <w:szCs w:val="20"/>
        </w:rPr>
        <w:fldChar w:fldCharType="begin"/>
      </w:r>
      <w:r w:rsidR="0004351B" w:rsidRPr="0004351B">
        <w:rPr>
          <w:rFonts w:ascii="Times New Roman" w:hAnsi="Times New Roman" w:cs="Times New Roman"/>
          <w:szCs w:val="20"/>
        </w:rPr>
        <w:instrText xml:space="preserve"> ADDIN EN.CITE &lt;EndNote&gt;&lt;Cite&gt;&lt;Author&gt;von Minckwitz&lt;/Author&gt;&lt;Year&gt;2005&lt;/Year&gt;&lt;RecNum&gt;18&lt;/RecNum&gt;&lt;DisplayText&gt;[1]&lt;/DisplayText&gt;&lt;record&gt;&lt;rec-number&gt;18&lt;/rec-number&gt;&lt;foreign-keys&gt;&lt;key app="EN" db-id="e20vzwpvqzezz1e9zrn5zxpud95t509tazz2" timestamp="1564361942"&gt;18&lt;/key&gt;&lt;/foreign-keys&gt;&lt;ref-type name="Journal Article"&gt;17&lt;/ref-type&gt;&lt;contributors&gt;&lt;authors&gt;&lt;author&gt;von Minckwitz, G.&lt;/author&gt;&lt;author&gt;Raab, G.&lt;/author&gt;&lt;author&gt;Caputo, A.&lt;/author&gt;&lt;author&gt;Schutte, M.&lt;/author&gt;&lt;author&gt;Hilfrich, F.&lt;/author&gt;&lt;author&gt;Blohmer, J. U.&lt;/author&gt;&lt;author&gt;Gerber, B.&lt;/author&gt;&lt;author&gt;Costa, S. D.&lt;/author&gt;&lt;author&gt;Merkle, E.&lt;/author&gt;&lt;author&gt;Eidtmann, H.&lt;/author&gt;&lt;author&gt;Lampe, D.&lt;/author&gt;&lt;author&gt;Jackisch, C.&lt;/author&gt;&lt;author&gt;du Bois, A.&lt;/author&gt;&lt;author&gt;Kaufmann, M.&lt;/author&gt;&lt;/authors&gt;&lt;/contributors&gt;&lt;titles&gt;&lt;title&gt;Doxorubicin with cyclophosphamide followed by docetaxel every 21 days compared with doxorubicin and docetaxel every 14 days as preoperative treatment in operable breast cancer: The GEPARDUO Study of the German Breast Group&lt;/title&gt;&lt;secondary-title&gt;Journal of Clinical Oncology&lt;/secondary-title&gt;&lt;/titles&gt;&lt;periodical&gt;&lt;full-title&gt;Journal of Clinical Oncology&lt;/full-title&gt;&lt;/periodical&gt;&lt;pages&gt;2676-2685&lt;/pages&gt;&lt;volume&gt;23&lt;/volume&gt;&lt;number&gt;12&lt;/number&gt;&lt;dates&gt;&lt;year&gt;2005&lt;/year&gt;&lt;pub-dates&gt;&lt;date&gt;Apr&lt;/date&gt;&lt;/pub-dates&gt;&lt;/dates&gt;&lt;isbn&gt;0732-183X&lt;/isbn&gt;&lt;accession-num&gt;WOS:000228563600015&lt;/accession-num&gt;&lt;urls&gt;&lt;related-urls&gt;&lt;url&gt;&amp;lt;Go to ISI&amp;gt;://WOS:000228563600015&lt;/url&gt;&lt;/related-urls&gt;&lt;/urls&gt;&lt;electronic-resource-num&gt;10.1200/jco.2005.05.078&lt;/electronic-resource-num&gt;&lt;/record&gt;&lt;/Cite&gt;&lt;/EndNote&gt;</w:instrText>
      </w:r>
      <w:r w:rsidR="005250F1" w:rsidRPr="0004351B">
        <w:rPr>
          <w:rFonts w:ascii="Times New Roman" w:hAnsi="Times New Roman" w:cs="Times New Roman"/>
          <w:szCs w:val="20"/>
        </w:rPr>
        <w:fldChar w:fldCharType="separate"/>
      </w:r>
      <w:r w:rsidR="0004351B" w:rsidRPr="0004351B">
        <w:rPr>
          <w:rFonts w:ascii="Times New Roman" w:hAnsi="Times New Roman" w:cs="Times New Roman"/>
          <w:noProof/>
          <w:szCs w:val="20"/>
        </w:rPr>
        <w:t>[1]</w:t>
      </w:r>
      <w:r w:rsidR="005250F1" w:rsidRPr="0004351B">
        <w:rPr>
          <w:rFonts w:ascii="Times New Roman" w:hAnsi="Times New Roman" w:cs="Times New Roman"/>
          <w:szCs w:val="20"/>
        </w:rPr>
        <w:fldChar w:fldCharType="end"/>
      </w:r>
      <w:r w:rsidRPr="0004351B">
        <w:rPr>
          <w:rFonts w:ascii="Times New Roman" w:hAnsi="Times New Roman" w:cs="Times New Roman"/>
          <w:szCs w:val="20"/>
        </w:rPr>
        <w:t xml:space="preserve">; (b) histologically confirmed T2 tumors with positive axillary nodes (N1); (c) biopsy samples available per-chemotherapeutic needle as well as post-chemotherapeutic surgical specimens for microscopic assessment of therapeutic effectiveness by the American Joint Committee on Cancer TNM </w:t>
      </w:r>
      <w:r w:rsidRPr="0004351B">
        <w:rPr>
          <w:rFonts w:ascii="Times New Roman" w:hAnsi="Times New Roman" w:cs="Times New Roman"/>
          <w:szCs w:val="20"/>
        </w:rPr>
        <w:fldChar w:fldCharType="begin"/>
      </w:r>
      <w:r w:rsidR="0004351B" w:rsidRPr="0004351B">
        <w:rPr>
          <w:rFonts w:ascii="Times New Roman" w:hAnsi="Times New Roman" w:cs="Times New Roman"/>
          <w:szCs w:val="20"/>
        </w:rPr>
        <w:instrText xml:space="preserve"> ADDIN EN.CITE &lt;EndNote&gt;&lt;Cite&gt;&lt;Author&gt;Edge&lt;/Author&gt;&lt;Year&gt;2010&lt;/Year&gt;&lt;RecNum&gt;161&lt;/RecNum&gt;&lt;DisplayText&gt;[2]&lt;/DisplayText&gt;&lt;record&gt;&lt;rec-number&gt;161&lt;/rec-number&gt;&lt;foreign-keys&gt;&lt;key app="EN" db-id="rt5apazwgzz22iesazbpwfzad2drfrav9wvf" timestamp="1544687579"&gt;161&lt;/key&gt;&lt;/foreign-keys&gt;&lt;ref-type name="Journal Article"&gt;17&lt;/ref-type&gt;&lt;contributors&gt;&lt;authors&gt;&lt;author&gt;Edge, S. B.&lt;/author&gt;&lt;author&gt;Compton, C. C.&lt;/author&gt;&lt;/authors&gt;&lt;/contributors&gt;&lt;titles&gt;&lt;title&gt;The American Joint Committee on Cancer: the 7th edition of the AJCC cancer staging manual and the future of TNM&lt;/title&gt;&lt;secondary-title&gt;Ann Surg Oncol&lt;/secondary-title&gt;&lt;/titles&gt;&lt;periodical&gt;&lt;full-title&gt;Ann Surg Oncol&lt;/full-title&gt;&lt;/periodical&gt;&lt;pages&gt;1471-4&lt;/pages&gt;&lt;volume&gt;17&lt;/volume&gt;&lt;number&gt;6&lt;/number&gt;&lt;edition&gt;2010/02/25&lt;/edition&gt;&lt;keywords&gt;&lt;keyword&gt;Humans&lt;/keyword&gt;&lt;keyword&gt;Lymphatic Metastasis&lt;/keyword&gt;&lt;keyword&gt;Neoplasm Staging/ standards&lt;/keyword&gt;&lt;keyword&gt;Neoplasms/ pathology&lt;/keyword&gt;&lt;keyword&gt;Practice Guidelines as Topic&lt;/keyword&gt;&lt;keyword&gt;Predictive Value of Tests&lt;/keyword&gt;&lt;keyword&gt;Prognosis&lt;/keyword&gt;&lt;keyword&gt;Societies, Medical&lt;/keyword&gt;&lt;keyword&gt;United States&lt;/keyword&gt;&lt;/keywords&gt;&lt;dates&gt;&lt;year&gt;2010&lt;/year&gt;&lt;pub-dates&gt;&lt;date&gt;Jun&lt;/date&gt;&lt;/pub-dates&gt;&lt;/dates&gt;&lt;isbn&gt;1534-4681 (Electronic)&amp;#xD;1068-9265 (Linking)&lt;/isbn&gt;&lt;accession-num&gt;20180029&lt;/accession-num&gt;&lt;urls&gt;&lt;/urls&gt;&lt;electronic-resource-num&gt;10.1245/s10434-010-0985-4&lt;/electronic-resource-num&gt;&lt;remote-database-provider&gt;NLM&lt;/remote-database-provider&gt;&lt;language&gt;eng&lt;/language&gt;&lt;/record&gt;&lt;/Cite&gt;&lt;/EndNote&gt;</w:instrText>
      </w:r>
      <w:r w:rsidRPr="0004351B">
        <w:rPr>
          <w:rFonts w:ascii="Times New Roman" w:hAnsi="Times New Roman" w:cs="Times New Roman"/>
          <w:szCs w:val="20"/>
        </w:rPr>
        <w:fldChar w:fldCharType="separate"/>
      </w:r>
      <w:r w:rsidR="0004351B" w:rsidRPr="0004351B">
        <w:rPr>
          <w:rFonts w:ascii="Times New Roman" w:hAnsi="Times New Roman" w:cs="Times New Roman"/>
          <w:noProof/>
          <w:szCs w:val="20"/>
        </w:rPr>
        <w:t>[2]</w:t>
      </w:r>
      <w:r w:rsidRPr="0004351B">
        <w:rPr>
          <w:rFonts w:ascii="Times New Roman" w:hAnsi="Times New Roman" w:cs="Times New Roman"/>
          <w:szCs w:val="20"/>
        </w:rPr>
        <w:fldChar w:fldCharType="end"/>
      </w:r>
      <w:r w:rsidRPr="0004351B">
        <w:rPr>
          <w:rFonts w:ascii="Times New Roman" w:hAnsi="Times New Roman" w:cs="Times New Roman"/>
          <w:szCs w:val="20"/>
        </w:rPr>
        <w:t xml:space="preserve">; (d) available immunohistochemical information for intrinsic subtyping. Tissue samples were divided into two sets as follows: a discovery set consisting of a </w:t>
      </w:r>
      <w:r w:rsidRPr="0004351B">
        <w:rPr>
          <w:rFonts w:ascii="Times New Roman" w:hAnsi="Times New Roman" w:cs="Times New Roman"/>
          <w:color w:val="000000" w:themeColor="text1"/>
          <w:szCs w:val="20"/>
        </w:rPr>
        <w:t>t</w:t>
      </w:r>
      <w:r w:rsidR="00101D92" w:rsidRPr="0004351B">
        <w:rPr>
          <w:rFonts w:ascii="Times New Roman" w:hAnsi="Times New Roman" w:cs="Times New Roman"/>
          <w:color w:val="000000" w:themeColor="text1"/>
          <w:szCs w:val="20"/>
        </w:rPr>
        <w:t>otal of 20 needle biopsy samples collected from 13 patients with non-pathologic complete remission (</w:t>
      </w:r>
      <w:proofErr w:type="spellStart"/>
      <w:r w:rsidR="00101D92" w:rsidRPr="0004351B">
        <w:rPr>
          <w:rFonts w:ascii="Times New Roman" w:hAnsi="Times New Roman" w:cs="Times New Roman"/>
          <w:color w:val="000000" w:themeColor="text1"/>
          <w:szCs w:val="20"/>
        </w:rPr>
        <w:t>nCR</w:t>
      </w:r>
      <w:proofErr w:type="spellEnd"/>
      <w:r w:rsidR="00101D92" w:rsidRPr="0004351B">
        <w:rPr>
          <w:rFonts w:ascii="Times New Roman" w:hAnsi="Times New Roman" w:cs="Times New Roman"/>
          <w:color w:val="000000" w:themeColor="text1"/>
          <w:szCs w:val="20"/>
        </w:rPr>
        <w:t xml:space="preserve">) and 7 with pathologic complete remission (CR) for mass spectrometry analysis (Supplementary Table S1). </w:t>
      </w:r>
      <w:r w:rsidR="00CD7F5F" w:rsidRPr="0004351B">
        <w:rPr>
          <w:rFonts w:ascii="Times New Roman" w:hAnsi="Times New Roman" w:cs="Times New Roman"/>
          <w:color w:val="000000" w:themeColor="text1"/>
          <w:szCs w:val="20"/>
        </w:rPr>
        <w:t>I</w:t>
      </w:r>
      <w:r w:rsidR="00101D92" w:rsidRPr="0004351B">
        <w:rPr>
          <w:rFonts w:ascii="Times New Roman" w:hAnsi="Times New Roman" w:cs="Times New Roman"/>
          <w:color w:val="000000" w:themeColor="text1"/>
          <w:szCs w:val="20"/>
        </w:rPr>
        <w:t>mmunocytochemical validation of selected proteomic biomarkers</w:t>
      </w:r>
      <w:r w:rsidR="00CD7F5F" w:rsidRPr="0004351B">
        <w:rPr>
          <w:rFonts w:ascii="Times New Roman" w:hAnsi="Times New Roman" w:cs="Times New Roman"/>
          <w:color w:val="000000" w:themeColor="text1"/>
          <w:szCs w:val="20"/>
        </w:rPr>
        <w:t xml:space="preserve"> included</w:t>
      </w:r>
      <w:r w:rsidR="00101D92" w:rsidRPr="0004351B">
        <w:rPr>
          <w:rFonts w:ascii="Times New Roman" w:hAnsi="Times New Roman" w:cs="Times New Roman"/>
          <w:color w:val="000000" w:themeColor="text1"/>
          <w:szCs w:val="20"/>
        </w:rPr>
        <w:t xml:space="preserve"> an independent cohort of 123 cases of needle biopsy samples, </w:t>
      </w:r>
      <w:r w:rsidR="00CD7F5F" w:rsidRPr="0004351B">
        <w:rPr>
          <w:rFonts w:ascii="Times New Roman" w:hAnsi="Times New Roman" w:cs="Times New Roman"/>
          <w:color w:val="000000" w:themeColor="text1"/>
          <w:szCs w:val="20"/>
        </w:rPr>
        <w:t>divided into</w:t>
      </w:r>
      <w:r w:rsidR="00101D92" w:rsidRPr="0004351B">
        <w:rPr>
          <w:rFonts w:ascii="Times New Roman" w:hAnsi="Times New Roman" w:cs="Times New Roman"/>
          <w:color w:val="000000" w:themeColor="text1"/>
          <w:szCs w:val="20"/>
        </w:rPr>
        <w:t xml:space="preserve"> 61 </w:t>
      </w:r>
      <w:proofErr w:type="spellStart"/>
      <w:r w:rsidR="00101D92" w:rsidRPr="0004351B">
        <w:rPr>
          <w:rFonts w:ascii="Times New Roman" w:hAnsi="Times New Roman" w:cs="Times New Roman"/>
          <w:color w:val="000000" w:themeColor="text1"/>
          <w:szCs w:val="20"/>
        </w:rPr>
        <w:t>nCR</w:t>
      </w:r>
      <w:proofErr w:type="spellEnd"/>
      <w:r w:rsidR="00101D92" w:rsidRPr="0004351B">
        <w:rPr>
          <w:rFonts w:ascii="Times New Roman" w:hAnsi="Times New Roman" w:cs="Times New Roman"/>
          <w:color w:val="000000" w:themeColor="text1"/>
          <w:szCs w:val="20"/>
        </w:rPr>
        <w:t xml:space="preserve"> and 62 CR cases</w:t>
      </w:r>
      <w:r w:rsidR="00B7460E" w:rsidRPr="0004351B">
        <w:rPr>
          <w:rFonts w:ascii="Times New Roman" w:hAnsi="Times New Roman" w:cs="Times New Roman"/>
          <w:color w:val="000000" w:themeColor="text1"/>
          <w:szCs w:val="20"/>
        </w:rPr>
        <w:t xml:space="preserve"> </w:t>
      </w:r>
      <w:r w:rsidR="00B7460E"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&lt;EndNote&gt;&lt;Cite&gt;&lt;Author&gt;von Minckwitz&lt;/Author&gt;&lt;Year&gt;2012&lt;/Year&gt;&lt;RecNum&gt;4&lt;/RecNum&gt;&lt;DisplayText&gt;[3]&lt;/DisplayText&gt;&lt;record&gt;&lt;rec-number&gt;4&lt;/rec-number&gt;&lt;foreign-keys&gt;&lt;key app="EN" db-id="e20vzwpvqzezz1e9zrn5zxpud95t509tazz2" timestamp="1563332915"&gt;4&lt;/key&gt;&lt;/foreign-keys&gt;&lt;ref-type name="Journal Article"&gt;17&lt;/ref-type&gt;&lt;contributors&gt;&lt;authors&gt;&lt;author&gt;von Minckwitz, G.&lt;/author&gt;&lt;author&gt;Untch, M.&lt;/author&gt;&lt;author&gt;Blohmer, J. U.&lt;/author&gt;&lt;author&gt;Costa, S. D.&lt;/author&gt;&lt;author&gt;Eidtmann, H.&lt;/author&gt;&lt;author&gt;Fasching, P. A.&lt;/author&gt;&lt;author&gt;Gerber, B.&lt;/author&gt;&lt;author&gt;Eiermann, W.&lt;/author&gt;&lt;author&gt;Hilfrich, J.&lt;/author&gt;&lt;author&gt;Huober, J.&lt;/author&gt;&lt;author&gt;Jackisch, C.&lt;/author&gt;&lt;author&gt;Kaufmann, M.&lt;/author&gt;&lt;author&gt;Konecny, G. E.&lt;/author&gt;&lt;author&gt;Denkert, C.&lt;/author&gt;&lt;author&gt;Nekljudova, V.&lt;/author&gt;&lt;author&gt;Mehta, K.&lt;/author&gt;&lt;author&gt;Loibl, S.&lt;/author&gt;&lt;/authors&gt;&lt;/contributors&gt;&lt;titles&gt;&lt;title&gt;Definition and Impact of Pathologic Complete Response on Prognosis After Neoadjuvant Chemotherapy in Various Intrinsic Breast Cancer Subtypes&lt;/title&gt;&lt;secondary-title&gt;Journal of Clinical Oncology&lt;/secondary-title&gt;&lt;/titles&gt;&lt;periodical&gt;&lt;full-title&gt;Journal of Clinical Oncology&lt;/full-title&gt;&lt;/periodical&gt;&lt;pages&gt;1796-1804&lt;/pages&gt;&lt;volume&gt;30&lt;/volume&gt;&lt;number&gt;15&lt;/number&gt;&lt;dates&gt;&lt;year&gt;2012&lt;/year&gt;&lt;pub-dates&gt;&lt;date&gt;May&lt;/date&gt;&lt;/pub-dates&gt;&lt;/dates&gt;&lt;isbn&gt;0732-183X&lt;/isbn&gt;&lt;accession-num&gt;WOS:000304427600014&lt;/accession-num&gt;&lt;urls&gt;&lt;related-urls&gt;&lt;url&gt;&amp;lt;Go to ISI&amp;gt;://WOS:000304427600014&lt;/url&gt;&lt;/related-urls&gt;&lt;/urls&gt;&lt;electronic-resource-num&gt;10.1200/jco.2011.38.8595&lt;/electronic-resource-num&gt;&lt;/record&gt;&lt;/Cite&gt;&lt;/EndNote&gt;</w:instrText>
      </w:r>
      <w:r w:rsidR="00B7460E"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[3]</w:t>
      </w:r>
      <w:r w:rsidR="00B7460E" w:rsidRPr="0004351B">
        <w:rPr>
          <w:rFonts w:ascii="Times New Roman" w:hAnsi="Times New Roman" w:cs="Times New Roman"/>
          <w:color w:val="000000" w:themeColor="text1"/>
          <w:szCs w:val="20"/>
        </w:rPr>
        <w:fldChar w:fldCharType="end"/>
      </w:r>
      <w:r w:rsidR="00B7460E" w:rsidRPr="0004351B">
        <w:rPr>
          <w:rFonts w:ascii="Times New Roman" w:hAnsi="Times New Roman" w:cs="Times New Roman"/>
          <w:color w:val="000000" w:themeColor="text1"/>
          <w:szCs w:val="20"/>
        </w:rPr>
        <w:t>.</w:t>
      </w:r>
      <w:r w:rsidR="00101D92" w:rsidRPr="0004351B">
        <w:rPr>
          <w:rFonts w:ascii="Times New Roman" w:hAnsi="Times New Roman" w:cs="Times New Roman"/>
          <w:color w:val="000000" w:themeColor="text1"/>
          <w:szCs w:val="20"/>
        </w:rPr>
        <w:t xml:space="preserve"> The presence of residual tumor cells was evaluated from hematoxylin and eosin (H&amp;E)-stained histological sections</w:t>
      </w:r>
      <w:r w:rsidR="00B304F4" w:rsidRPr="0004351B">
        <w:rPr>
          <w:rFonts w:ascii="Times New Roman" w:hAnsi="Times New Roman" w:cs="Times New Roman"/>
          <w:color w:val="000000" w:themeColor="text1"/>
          <w:szCs w:val="20"/>
        </w:rPr>
        <w:t xml:space="preserve"> were prepared</w:t>
      </w:r>
      <w:r w:rsidR="00101D92" w:rsidRPr="0004351B">
        <w:rPr>
          <w:rFonts w:ascii="Times New Roman" w:hAnsi="Times New Roman" w:cs="Times New Roman"/>
          <w:color w:val="000000" w:themeColor="text1"/>
          <w:szCs w:val="20"/>
        </w:rPr>
        <w:t xml:space="preserve"> by two experienced pathologists. </w:t>
      </w:r>
      <w:r w:rsidR="00CD7F5F" w:rsidRPr="0004351B">
        <w:rPr>
          <w:rFonts w:ascii="Times New Roman" w:hAnsi="Times New Roman" w:cs="Times New Roman"/>
          <w:color w:val="000000" w:themeColor="text1"/>
          <w:szCs w:val="20"/>
        </w:rPr>
        <w:t>Moreover, t</w:t>
      </w:r>
      <w:r w:rsidR="00101D92" w:rsidRPr="0004351B">
        <w:rPr>
          <w:rFonts w:ascii="Times New Roman" w:hAnsi="Times New Roman" w:cs="Times New Roman"/>
          <w:color w:val="000000" w:themeColor="text1"/>
          <w:szCs w:val="20"/>
        </w:rPr>
        <w:t>he study protocol was approved by the Institutional Review Board at Seoul National University Hospital (IRB no. 1412-111-634).</w:t>
      </w:r>
    </w:p>
    <w:p w14:paraId="160EC97C" w14:textId="77777777" w:rsidR="00840B35" w:rsidRPr="0004351B" w:rsidRDefault="00840B35" w:rsidP="0004351B">
      <w:pPr>
        <w:pStyle w:val="NoSpacing"/>
        <w:spacing w:line="480" w:lineRule="auto"/>
        <w:rPr>
          <w:rFonts w:ascii="Times New Roman" w:hAnsi="Times New Roman" w:cs="Times New Roman"/>
          <w:b/>
          <w:color w:val="000000" w:themeColor="text1"/>
          <w:szCs w:val="20"/>
        </w:rPr>
      </w:pPr>
    </w:p>
    <w:p w14:paraId="1A9DDFBE" w14:textId="21C2A551" w:rsidR="00101D92" w:rsidRPr="0004351B" w:rsidRDefault="00840B35" w:rsidP="0004351B">
      <w:pPr>
        <w:pStyle w:val="NoSpacing"/>
        <w:spacing w:line="480" w:lineRule="auto"/>
        <w:rPr>
          <w:rFonts w:ascii="Times New Roman" w:hAnsi="Times New Roman" w:cs="Times New Roman"/>
          <w:b/>
          <w:color w:val="000000" w:themeColor="text1"/>
          <w:szCs w:val="20"/>
        </w:rPr>
      </w:pPr>
      <w:r w:rsidRPr="0004351B">
        <w:rPr>
          <w:rFonts w:ascii="Times New Roman" w:hAnsi="Times New Roman" w:cs="Times New Roman"/>
          <w:b/>
          <w:color w:val="000000" w:themeColor="text1"/>
          <w:szCs w:val="20"/>
        </w:rPr>
        <w:t>Label-free quantification and statistical analyses</w:t>
      </w:r>
    </w:p>
    <w:p w14:paraId="2DD007A7" w14:textId="04B7F388" w:rsidR="009A4FAE" w:rsidRPr="0004351B" w:rsidRDefault="009A4FAE"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color w:val="000000" w:themeColor="text1"/>
          <w:szCs w:val="20"/>
        </w:rPr>
        <w:t xml:space="preserve">The FFPE 10 </w:t>
      </w:r>
      <w:proofErr w:type="spellStart"/>
      <w:r w:rsidRPr="0004351B">
        <w:rPr>
          <w:rFonts w:ascii="Times New Roman" w:hAnsi="Times New Roman" w:cs="Times New Roman"/>
          <w:color w:val="000000" w:themeColor="text1"/>
          <w:szCs w:val="20"/>
        </w:rPr>
        <w:t>μm</w:t>
      </w:r>
      <w:proofErr w:type="spellEnd"/>
      <w:r w:rsidRPr="0004351B">
        <w:rPr>
          <w:rFonts w:ascii="Times New Roman" w:hAnsi="Times New Roman" w:cs="Times New Roman"/>
          <w:color w:val="000000" w:themeColor="text1"/>
          <w:szCs w:val="20"/>
        </w:rPr>
        <w:t xml:space="preserve"> sections were deparaffinized in xylene for 5 min, followed by absolute ethanol twice for 3 min. Sections were then hydrated twice in 85% ethanol for 1.5 min, and distilled water for 3 min. </w:t>
      </w:r>
      <w:r w:rsidR="00D67FB7" w:rsidRPr="0004351B">
        <w:rPr>
          <w:rFonts w:ascii="Times New Roman" w:hAnsi="Times New Roman" w:cs="Times New Roman"/>
          <w:color w:val="000000" w:themeColor="text1"/>
          <w:szCs w:val="20"/>
        </w:rPr>
        <w:t>F</w:t>
      </w:r>
      <w:r w:rsidRPr="0004351B">
        <w:rPr>
          <w:rFonts w:ascii="Times New Roman" w:hAnsi="Times New Roman" w:cs="Times New Roman"/>
          <w:color w:val="000000" w:themeColor="text1"/>
          <w:szCs w:val="20"/>
        </w:rPr>
        <w:t>ollowing vacuum-drying, the tissue samples were scraped off the slides into microfuge tubes, and extraction buffer (4% SDS; 1 mM TCEP; and 0.3 M Tris, pH 8.5) was added to each tube. Samples were briefly sonicated and incubated for 2h at 95</w:t>
      </w:r>
      <w:bookmarkStart w:id="0" w:name="OLE_LINK8"/>
      <w:bookmarkStart w:id="1" w:name="OLE_LINK7"/>
      <w:bookmarkStart w:id="2" w:name="OLE_LINK3"/>
      <w:bookmarkStart w:id="3" w:name="OLE_LINK2"/>
      <w:bookmarkStart w:id="4" w:name="OLE_LINK1"/>
      <w:r w:rsidRPr="0004351B">
        <w:rPr>
          <w:rFonts w:ascii="Times New Roman" w:eastAsia="Microsoft JhengHei" w:hAnsi="Times New Roman" w:cs="Times New Roman"/>
          <w:color w:val="000000" w:themeColor="text1"/>
          <w:szCs w:val="20"/>
        </w:rPr>
        <w:t>°C</w:t>
      </w:r>
      <w:bookmarkEnd w:id="0"/>
      <w:bookmarkEnd w:id="1"/>
      <w:bookmarkEnd w:id="2"/>
      <w:bookmarkEnd w:id="3"/>
      <w:bookmarkEnd w:id="4"/>
      <w:r w:rsidRPr="0004351B">
        <w:rPr>
          <w:rFonts w:ascii="Times New Roman" w:hAnsi="Times New Roman" w:cs="Times New Roman"/>
          <w:color w:val="000000" w:themeColor="text1"/>
          <w:szCs w:val="20"/>
        </w:rPr>
        <w:t>. Extracted proteins were precipitated by adding chilled acetone at a volume ratio of 1:5 buffer to acetone, followed by incubation at -20°C for 16 h. Samples were washed with 200 µl of chilled acetone, and protein pellets were collected by centrifugation at 15,000 rpm for 10 min and then air-dried. Protein concentrations were measured using a bicinchoninic acid</w:t>
      </w:r>
      <w:r w:rsidR="00D67FB7" w:rsidRPr="0004351B">
        <w:rPr>
          <w:rFonts w:ascii="Times New Roman" w:hAnsi="Times New Roman" w:cs="Times New Roman"/>
          <w:color w:val="000000" w:themeColor="text1"/>
          <w:szCs w:val="20"/>
        </w:rPr>
        <w:t>-</w:t>
      </w:r>
      <w:r w:rsidRPr="0004351B">
        <w:rPr>
          <w:rFonts w:ascii="Times New Roman" w:hAnsi="Times New Roman" w:cs="Times New Roman"/>
          <w:color w:val="000000" w:themeColor="text1"/>
          <w:szCs w:val="20"/>
        </w:rPr>
        <w:t xml:space="preserve">reducing agent compatible kit (Thermo Fisher Scientific Inc., Rockford, IL, USA). </w:t>
      </w:r>
    </w:p>
    <w:p w14:paraId="58C683E5" w14:textId="060B4E69" w:rsidR="009A4FAE" w:rsidRPr="0004351B" w:rsidRDefault="009A4FAE"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color w:val="000000" w:themeColor="text1"/>
          <w:szCs w:val="20"/>
        </w:rPr>
        <w:t>The peptide sample was prepared with 100 µg of proteins per sample and digested using the filter-aided sample preparation</w:t>
      </w:r>
      <w:r w:rsidRPr="0004351B" w:rsidDel="00407551">
        <w:rPr>
          <w:rFonts w:ascii="Times New Roman" w:hAnsi="Times New Roman" w:cs="Times New Roman"/>
          <w:color w:val="000000" w:themeColor="text1"/>
          <w:szCs w:val="20"/>
        </w:rPr>
        <w:t xml:space="preserve"> </w:t>
      </w:r>
      <w:r w:rsidRPr="0004351B">
        <w:rPr>
          <w:rFonts w:ascii="Times New Roman" w:hAnsi="Times New Roman" w:cs="Times New Roman"/>
          <w:color w:val="000000" w:themeColor="text1"/>
          <w:szCs w:val="20"/>
        </w:rPr>
        <w:t xml:space="preserve">procedure, as described previously </w:t>
      </w:r>
      <w:r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&lt;EndNote&gt;&lt;Cite&gt;&lt;Author&gt;Wisniewski&lt;/Author&gt;&lt;Year&gt;2009&lt;/Year&gt;&lt;RecNum&gt;156&lt;/RecNum&gt;&lt;DisplayText&gt;[4]&lt;/DisplayText&gt;&lt;record&gt;&lt;rec-number&gt;156&lt;/rec-number&gt;&lt;foreign-keys&gt;&lt;key app="EN" db-id="rt5apazwgzz22iesazbpwfzad2drfrav9wvf" timestamp="1540861646"&gt;156&lt;/key&gt;&lt;/foreign-keys&gt;&lt;ref-type name="Journal Article"&gt;17&lt;/ref-type&gt;&lt;contributors&gt;&lt;authors&gt;&lt;author&gt;Wisniewski, J. R.&lt;/author&gt;&lt;author&gt;Zougman, A.&lt;/author&gt;&lt;author&gt;Nagaraj, N.&lt;/author&gt;&lt;author&gt;Mann, M.&lt;/author&gt;&lt;/authors&gt;&lt;/contributors&gt;&lt;auth-address&gt;Department of Proteomics and Signal Transduction, Max Planck Institute for Biochemistry, Martinsried, Germany. jwisniew@biochem.mpg.de&lt;/auth-address&gt;&lt;titles&gt;&lt;title&gt;Universal sample preparation method for proteome analysis&lt;/title&gt;&lt;secondary-title&gt;Nat Methods&lt;/secondary-title&gt;&lt;/titles&gt;&lt;periodical&gt;&lt;full-title&gt;Nat Methods&lt;/full-title&gt;&lt;/periodical&gt;&lt;pages&gt;359-62&lt;/pages&gt;&lt;volume&gt;6&lt;/volume&gt;&lt;number&gt;5&lt;/number&gt;&lt;edition&gt;2009/04/21&lt;/edition&gt;&lt;keywords&gt;&lt;keyword&gt;Analytic Sample Preparation Methods/ methods&lt;/keyword&gt;&lt;keyword&gt;Animals&lt;/keyword&gt;&lt;keyword&gt;Brain Chemistry&lt;/keyword&gt;&lt;keyword&gt;Endopeptidases/chemistry&lt;/keyword&gt;&lt;keyword&gt;HeLa Cells&lt;/keyword&gt;&lt;keyword&gt;Humans&lt;/keyword&gt;&lt;keyword&gt;Iodoacetamide/chemistry&lt;/keyword&gt;&lt;keyword&gt;Liver/chemistry&lt;/keyword&gt;&lt;keyword&gt;Mass Spectrometry/ methods&lt;/keyword&gt;&lt;keyword&gt;Mice&lt;/keyword&gt;&lt;keyword&gt;Mitochondria/chemistry&lt;/keyword&gt;&lt;keyword&gt;Proteome/ analysis/chemistry&lt;/keyword&gt;&lt;keyword&gt;Proteomics/ methods&lt;/keyword&gt;&lt;keyword&gt;Sodium Dodecyl Sulfate/chemistry&lt;/keyword&gt;&lt;keyword&gt;Tandem Mass Spectrometry/methods&lt;/keyword&gt;&lt;keyword&gt;Ultrafiltration/methods&lt;/keyword&gt;&lt;keyword&gt;Urea/chemistry&lt;/keyword&gt;&lt;/keywords&gt;&lt;dates&gt;&lt;year&gt;2009&lt;/year&gt;&lt;pub-dates&gt;&lt;date&gt;May&lt;/date&gt;&lt;/pub-dates&gt;&lt;/dates&gt;&lt;isbn&gt;1548-7105 (Electronic)&amp;#xD;1548-7091 (Linking)&lt;/isbn&gt;&lt;accession-num&gt;19377485&lt;/accession-num&gt;&lt;urls&gt;&lt;/urls&gt;&lt;electronic-resource-num&gt;10.1038/nmeth.1322&lt;/electronic-resource-num&gt;&lt;remote-database-provider&gt;NLM&lt;/remote-database-provider&gt;&lt;language&gt;eng&lt;/language&gt;&lt;/record&gt;&lt;/Cite&gt;&lt;/EndNote&gt;</w:instrText>
      </w:r>
      <w:r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[4]</w:t>
      </w:r>
      <w:r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t xml:space="preserve">. Eluted peptides were desalted and purified using C18 Stage Tips, </w:t>
      </w:r>
      <w:r w:rsidRPr="0004351B">
        <w:rPr>
          <w:rFonts w:ascii="Times New Roman" w:hAnsi="Times New Roman" w:cs="Times New Roman"/>
          <w:color w:val="000000" w:themeColor="text1"/>
          <w:szCs w:val="20"/>
        </w:rPr>
        <w:lastRenderedPageBreak/>
        <w:t xml:space="preserve">as previously described </w:t>
      </w:r>
      <w:r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&lt;EndNote&gt;&lt;Cite&gt;&lt;Author&gt;Rappsilber&lt;/Author&gt;&lt;Year&gt;2007&lt;/Year&gt;&lt;RecNum&gt;137&lt;/RecNum&gt;&lt;DisplayText&gt;[5]&lt;/DisplayText&gt;&lt;record&gt;&lt;rec-number&gt;137&lt;/rec-number&gt;&lt;foreign-keys&gt;&lt;key app="EN" db-id="rt5apazwgzz22iesazbpwfzad2drfrav9wvf" timestamp="1539590687"&gt;137&lt;/key&gt;&lt;/foreign-keys&gt;&lt;ref-type name="Journal Article"&gt;17&lt;/ref-type&gt;&lt;contributors&gt;&lt;authors&gt;&lt;author&gt;Rappsilber, J.&lt;/author&gt;&lt;author&gt;Mann, M.&lt;/author&gt;&lt;author&gt;Ishihama, Y.&lt;/author&gt;&lt;/authors&gt;&lt;/contributors&gt;&lt;auth-address&gt;Wellcome Trust Centre for Cell Biology, University of Edinburgh, Edinburgh, UK. juri.rappsilber@ed.ac.uk&lt;/auth-address&gt;&lt;titles&gt;&lt;title&gt;Protocol for micro-purification, enrichment, pre-fractionation and storage of peptides for proteomics using StageTips&lt;/title&gt;&lt;secondary-title&gt;Nat Protoc&lt;/secondary-title&gt;&lt;/titles&gt;&lt;periodical&gt;&lt;full-title&gt;Nat Protoc&lt;/full-title&gt;&lt;/periodical&gt;&lt;pages&gt;1896-906&lt;/pages&gt;&lt;volume&gt;2&lt;/volume&gt;&lt;number&gt;8&lt;/number&gt;&lt;edition&gt;2007/08/19&lt;/edition&gt;&lt;keywords&gt;&lt;keyword&gt;Chemical Fractionation/instrumentation/ methods&lt;/keyword&gt;&lt;keyword&gt;Chromatography, Liquid&lt;/keyword&gt;&lt;keyword&gt;Equipment Design&lt;/keyword&gt;&lt;keyword&gt;Mass Spectrometry&lt;/keyword&gt;&lt;keyword&gt;Peptides/ isolation &amp;amp; purification&lt;/keyword&gt;&lt;keyword&gt;Polytetrafluoroethylene&lt;/keyword&gt;&lt;keyword&gt;Proteomics/instrumentation/ methods&lt;/keyword&gt;&lt;keyword&gt;Surface Properties&lt;/keyword&gt;&lt;/keywords&gt;&lt;dates&gt;&lt;year&gt;2007&lt;/year&gt;&lt;/dates&gt;&lt;isbn&gt;1750-2799 (Electronic)&amp;#xD;1750-2799 (Linking)&lt;/isbn&gt;&lt;accession-num&gt;17703201&lt;/accession-num&gt;&lt;urls&gt;&lt;/urls&gt;&lt;electronic-resource-num&gt;10.1038/nprot.2007.261&lt;/electronic-resource-num&gt;&lt;remote-database-provider&gt;NLM&lt;/remote-database-provider&gt;&lt;language&gt;eng&lt;/language&gt;&lt;/record&gt;&lt;/Cite&gt;&lt;/EndNote&gt;</w:instrText>
      </w:r>
      <w:r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[5]</w:t>
      </w:r>
      <w:r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t xml:space="preserve">. Briefly, C18 </w:t>
      </w:r>
      <w:proofErr w:type="spellStart"/>
      <w:r w:rsidRPr="0004351B">
        <w:rPr>
          <w:rFonts w:ascii="Times New Roman" w:hAnsi="Times New Roman" w:cs="Times New Roman"/>
          <w:color w:val="000000" w:themeColor="text1"/>
          <w:szCs w:val="20"/>
        </w:rPr>
        <w:t>Empore</w:t>
      </w:r>
      <w:proofErr w:type="spellEnd"/>
      <w:r w:rsidRPr="0004351B">
        <w:rPr>
          <w:rFonts w:ascii="Times New Roman" w:hAnsi="Times New Roman" w:cs="Times New Roman"/>
          <w:color w:val="000000" w:themeColor="text1"/>
          <w:szCs w:val="20"/>
        </w:rPr>
        <w:t xml:space="preserve"> disk membranes (3M, Bracknell, UK) were packed into the bottom of 200 µL yellow pipette tips, followed by POROS 20 R2 reversed-phase media (Applied Biosystems, Foster City, CA, USA) which was dissolved in 1 mL MeOH. 100 µL of the mixture was loaded separately into the tip for two rounds of filtration with MeOH. Packed microcolumns were washed three times, with 100 µL of MeOH and 100% acetonitrile (ACN) consecutively and then equilibrated three times with 100 µL 0.1% TFA. Samples were loaded, and columns washed with 100 µL 0.1% TFA, and then the peptides were subsequently eluted with 100 µL of a series of elution ACN buffers in 0.1% formic acid. All eluates were dried in Speed-Vac and stored at -80</w:t>
      </w:r>
      <w:r w:rsidRPr="0004351B">
        <w:rPr>
          <w:rFonts w:ascii="Times New Roman" w:eastAsia="Microsoft JhengHei" w:hAnsi="Times New Roman" w:cs="Times New Roman"/>
          <w:color w:val="000000" w:themeColor="text1"/>
          <w:szCs w:val="20"/>
        </w:rPr>
        <w:t>°C until LC</w:t>
      </w:r>
      <w:r w:rsidRPr="0004351B">
        <w:rPr>
          <w:rFonts w:ascii="Cambria Math" w:eastAsia="Microsoft JhengHei" w:hAnsi="Cambria Math" w:cs="Cambria Math"/>
          <w:color w:val="000000" w:themeColor="text1"/>
          <w:szCs w:val="20"/>
        </w:rPr>
        <w:t>‐</w:t>
      </w:r>
      <w:r w:rsidRPr="0004351B">
        <w:rPr>
          <w:rFonts w:ascii="Times New Roman" w:eastAsia="Microsoft JhengHei" w:hAnsi="Times New Roman" w:cs="Times New Roman"/>
          <w:color w:val="000000" w:themeColor="text1"/>
          <w:szCs w:val="20"/>
        </w:rPr>
        <w:t>MS/MS analysis</w:t>
      </w:r>
      <w:r w:rsidRPr="0004351B">
        <w:rPr>
          <w:rFonts w:ascii="Times New Roman" w:hAnsi="Times New Roman" w:cs="Times New Roman"/>
          <w:color w:val="000000" w:themeColor="text1"/>
          <w:szCs w:val="20"/>
        </w:rPr>
        <w:t xml:space="preserve">.  </w:t>
      </w:r>
    </w:p>
    <w:p w14:paraId="43831B0E" w14:textId="77A5D455" w:rsidR="009A4FAE" w:rsidRPr="0004351B" w:rsidRDefault="009A4FAE"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color w:val="000000" w:themeColor="text1"/>
          <w:szCs w:val="20"/>
        </w:rPr>
        <w:t xml:space="preserve">Desalted pooled peptides were fractionated using the stage-tip based high-pH peptide fractionation method </w:t>
      </w:r>
      <w:r w:rsidR="00B7460E"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&lt;EndNote&gt;&lt;Cite&gt;&lt;Author&gt;Han&lt;/Author&gt;&lt;Year&gt;2014&lt;/Year&gt;&lt;RecNum&gt;21&lt;/RecNum&gt;&lt;DisplayText&gt;[6]&lt;/DisplayText&gt;&lt;record&gt;&lt;rec-number&gt;21&lt;/rec-number&gt;&lt;foreign-keys&gt;&lt;key app="EN" db-id="e20vzwpvqzezz1e9zrn5zxpud95t509tazz2" timestamp="1564385941"&gt;21&lt;/key&gt;&lt;/foreign-keys&gt;&lt;ref-type name="Journal Article"&gt;17&lt;/ref-type&gt;&lt;contributors&gt;&lt;authors&gt;&lt;author&gt;Han, D.&lt;/author&gt;&lt;author&gt;Jin, J.&lt;/author&gt;&lt;author&gt;Woo, J.&lt;/author&gt;&lt;author&gt;Min, H.&lt;/author&gt;&lt;author&gt;Kim, Y.&lt;/author&gt;&lt;/authors&gt;&lt;/contributors&gt;&lt;titles&gt;&lt;title&gt;Proteomic analysis of mouse astrocytes and their secretome by a combination of FASP and StageTip-based, high pH, reversed-phase fractionation&lt;/title&gt;&lt;secondary-title&gt;Proteomics&lt;/secondary-title&gt;&lt;/titles&gt;&lt;periodical&gt;&lt;full-title&gt;Proteomics&lt;/full-title&gt;&lt;/periodical&gt;&lt;pages&gt;1604-1609&lt;/pages&gt;&lt;volume&gt;14&lt;/volume&gt;&lt;number&gt;13-14&lt;/number&gt;&lt;dates&gt;&lt;year&gt;2014&lt;/year&gt;&lt;pub-dates&gt;&lt;date&gt;Jul&lt;/date&gt;&lt;/pub-dates&gt;&lt;/dates&gt;&lt;isbn&gt;1615-9853&lt;/isbn&gt;&lt;accession-num&gt;WOS:000339553900004&lt;/accession-num&gt;&lt;urls&gt;&lt;related-urls&gt;&lt;url&gt;&amp;lt;Go to ISI&amp;gt;://WOS:000339553900004&lt;/url&gt;&lt;/related-urls&gt;&lt;/urls&gt;&lt;electronic-resource-num&gt;10.1002/pmic.201300495&lt;/electronic-resource-num&gt;&lt;/record&gt;&lt;/Cite&gt;&lt;/EndNote&gt;</w:instrText>
      </w:r>
      <w:r w:rsidR="00B7460E"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[6]</w:t>
      </w:r>
      <w:r w:rsidR="00B7460E" w:rsidRPr="0004351B">
        <w:rPr>
          <w:rFonts w:ascii="Times New Roman" w:hAnsi="Times New Roman" w:cs="Times New Roman"/>
          <w:color w:val="000000" w:themeColor="text1"/>
          <w:szCs w:val="20"/>
        </w:rPr>
        <w:fldChar w:fldCharType="end"/>
      </w:r>
      <w:r w:rsidR="00B7460E" w:rsidRPr="0004351B">
        <w:rPr>
          <w:rFonts w:ascii="Times New Roman" w:hAnsi="Times New Roman" w:cs="Times New Roman"/>
          <w:color w:val="000000" w:themeColor="text1"/>
          <w:szCs w:val="20"/>
        </w:rPr>
        <w:t>.</w:t>
      </w:r>
      <w:r w:rsidRPr="0004351B">
        <w:rPr>
          <w:rFonts w:ascii="Times New Roman" w:hAnsi="Times New Roman" w:cs="Times New Roman"/>
          <w:color w:val="000000" w:themeColor="text1"/>
          <w:szCs w:val="20"/>
        </w:rPr>
        <w:t xml:space="preserve"> Briefly, the lyophilized peptides were dissolved in 200 </w:t>
      </w:r>
      <w:proofErr w:type="spellStart"/>
      <w:r w:rsidRPr="0004351B">
        <w:rPr>
          <w:rFonts w:ascii="Times New Roman" w:hAnsi="Times New Roman" w:cs="Times New Roman"/>
          <w:color w:val="000000" w:themeColor="text1"/>
          <w:szCs w:val="20"/>
        </w:rPr>
        <w:t>μL</w:t>
      </w:r>
      <w:proofErr w:type="spellEnd"/>
      <w:r w:rsidRPr="0004351B">
        <w:rPr>
          <w:rFonts w:ascii="Times New Roman" w:hAnsi="Times New Roman" w:cs="Times New Roman"/>
          <w:color w:val="000000" w:themeColor="text1"/>
          <w:szCs w:val="20"/>
        </w:rPr>
        <w:t xml:space="preserve"> of loading buffer (15 mM ammonium hydroxide solution, pH 10, and 2% acetonitrile) then separated on a pipette based C18 microcolumn. The microcolumn was rinsed three times, with 100 </w:t>
      </w:r>
      <w:proofErr w:type="spellStart"/>
      <w:r w:rsidRPr="0004351B">
        <w:rPr>
          <w:rFonts w:ascii="Times New Roman" w:hAnsi="Times New Roman" w:cs="Times New Roman"/>
          <w:color w:val="000000" w:themeColor="text1"/>
          <w:szCs w:val="20"/>
        </w:rPr>
        <w:t>μL</w:t>
      </w:r>
      <w:proofErr w:type="spellEnd"/>
      <w:r w:rsidRPr="0004351B">
        <w:rPr>
          <w:rFonts w:ascii="Times New Roman" w:hAnsi="Times New Roman" w:cs="Times New Roman"/>
          <w:color w:val="000000" w:themeColor="text1"/>
          <w:szCs w:val="20"/>
        </w:rPr>
        <w:t xml:space="preserve"> 100% methanol and then three times with 100 </w:t>
      </w:r>
      <w:proofErr w:type="spellStart"/>
      <w:r w:rsidRPr="0004351B">
        <w:rPr>
          <w:rFonts w:ascii="Times New Roman" w:hAnsi="Times New Roman" w:cs="Times New Roman"/>
          <w:color w:val="000000" w:themeColor="text1"/>
          <w:szCs w:val="20"/>
        </w:rPr>
        <w:t>μL</w:t>
      </w:r>
      <w:proofErr w:type="spellEnd"/>
      <w:r w:rsidRPr="0004351B">
        <w:rPr>
          <w:rFonts w:ascii="Times New Roman" w:hAnsi="Times New Roman" w:cs="Times New Roman"/>
          <w:color w:val="000000" w:themeColor="text1"/>
          <w:szCs w:val="20"/>
        </w:rPr>
        <w:t xml:space="preserve"> 100% acetonitrile (ACN). The </w:t>
      </w:r>
      <w:r w:rsidR="00D67FB7" w:rsidRPr="0004351B">
        <w:rPr>
          <w:rFonts w:ascii="Times New Roman" w:hAnsi="Times New Roman" w:cs="Times New Roman"/>
          <w:color w:val="000000" w:themeColor="text1"/>
          <w:szCs w:val="20"/>
        </w:rPr>
        <w:t>c</w:t>
      </w:r>
      <w:r w:rsidRPr="0004351B">
        <w:rPr>
          <w:rFonts w:ascii="Times New Roman" w:hAnsi="Times New Roman" w:cs="Times New Roman"/>
          <w:color w:val="000000" w:themeColor="text1"/>
          <w:szCs w:val="20"/>
        </w:rPr>
        <w:t xml:space="preserve">olumn was then conditioned with 100 </w:t>
      </w:r>
      <w:proofErr w:type="spellStart"/>
      <w:r w:rsidRPr="0004351B">
        <w:rPr>
          <w:rFonts w:ascii="Times New Roman" w:hAnsi="Times New Roman" w:cs="Times New Roman"/>
          <w:color w:val="000000" w:themeColor="text1"/>
          <w:szCs w:val="20"/>
        </w:rPr>
        <w:t>μL</w:t>
      </w:r>
      <w:proofErr w:type="spellEnd"/>
      <w:r w:rsidRPr="0004351B">
        <w:rPr>
          <w:rFonts w:ascii="Times New Roman" w:hAnsi="Times New Roman" w:cs="Times New Roman"/>
          <w:color w:val="000000" w:themeColor="text1"/>
          <w:szCs w:val="20"/>
        </w:rPr>
        <w:t xml:space="preserve"> of loading buffer using a syringe. Peptides were loaded onto the column at a pH 10. An ACN gradient of 2, 5, 7.5, 10, 12.5, 15, 17.5, 20, 22.5, 25, 27.5, 30, 32.5, 35, 40, 50, 60, 70, 80, and 100% was used to elute 20 fractions, which were collected into six tubes discontinuously to distribute eluents of varying hydrophobicity. Six fractions were lyophilized in a speed-vacuum centrifuge and stored at − 80 °C.</w:t>
      </w:r>
    </w:p>
    <w:p w14:paraId="02B00322" w14:textId="65496663" w:rsidR="009A4FAE" w:rsidRPr="0004351B" w:rsidRDefault="009A4FAE"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color w:val="000000" w:themeColor="text1"/>
          <w:szCs w:val="20"/>
        </w:rPr>
        <w:t xml:space="preserve">LC-MS/MS analysis was performed using a Q </w:t>
      </w:r>
      <w:proofErr w:type="spellStart"/>
      <w:r w:rsidRPr="0004351B">
        <w:rPr>
          <w:rFonts w:ascii="Times New Roman" w:hAnsi="Times New Roman" w:cs="Times New Roman"/>
          <w:color w:val="000000" w:themeColor="text1"/>
          <w:szCs w:val="20"/>
        </w:rPr>
        <w:t>Exactive</w:t>
      </w:r>
      <w:proofErr w:type="spellEnd"/>
      <w:r w:rsidRPr="0004351B">
        <w:rPr>
          <w:rFonts w:ascii="Times New Roman" w:hAnsi="Times New Roman" w:cs="Times New Roman"/>
          <w:color w:val="000000" w:themeColor="text1"/>
          <w:szCs w:val="20"/>
        </w:rPr>
        <w:t xml:space="preserve"> Plus Hybrid Quadrupole-Orbitrap mass spectrometer (Thermo Fisher Scientific Inc.), coupled to an Ultimate 3000 RSLC system (</w:t>
      </w:r>
      <w:proofErr w:type="spellStart"/>
      <w:r w:rsidRPr="0004351B">
        <w:rPr>
          <w:rFonts w:ascii="Times New Roman" w:hAnsi="Times New Roman" w:cs="Times New Roman"/>
          <w:color w:val="000000" w:themeColor="text1"/>
          <w:szCs w:val="20"/>
        </w:rPr>
        <w:t>Dionex</w:t>
      </w:r>
      <w:proofErr w:type="spellEnd"/>
      <w:r w:rsidRPr="0004351B">
        <w:rPr>
          <w:rFonts w:ascii="Times New Roman" w:hAnsi="Times New Roman" w:cs="Times New Roman"/>
          <w:color w:val="000000" w:themeColor="text1"/>
          <w:szCs w:val="20"/>
        </w:rPr>
        <w:t xml:space="preserve">, Sunnyvale, CA, USA) via a </w:t>
      </w:r>
      <w:proofErr w:type="spellStart"/>
      <w:r w:rsidRPr="0004351B">
        <w:rPr>
          <w:rFonts w:ascii="Times New Roman" w:hAnsi="Times New Roman" w:cs="Times New Roman"/>
          <w:color w:val="000000" w:themeColor="text1"/>
          <w:szCs w:val="20"/>
        </w:rPr>
        <w:t>nanoelectrospray</w:t>
      </w:r>
      <w:proofErr w:type="spellEnd"/>
      <w:r w:rsidRPr="0004351B">
        <w:rPr>
          <w:rFonts w:ascii="Times New Roman" w:hAnsi="Times New Roman" w:cs="Times New Roman"/>
          <w:color w:val="000000" w:themeColor="text1"/>
          <w:szCs w:val="20"/>
        </w:rPr>
        <w:t xml:space="preserve"> source, as previously described </w:t>
      </w:r>
      <w:r w:rsidRPr="0004351B">
        <w:rPr>
          <w:rFonts w:ascii="Times New Roman" w:hAnsi="Times New Roman" w:cs="Times New Roman"/>
          <w:color w:val="000000" w:themeColor="text1"/>
          <w:szCs w:val="20"/>
        </w:rPr>
        <w:fldChar w:fldCharType="begin">
          <w:fldData xml:space="preserve">PEVuZE5vdGU+PENpdGU+PEF1dGhvcj5IYW48L0F1dGhvcj48WWVhcj4yMDE0PC9ZZWFyPjxSZWNO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</w:fldData>
        </w:fldChar>
      </w:r>
      <w:r w:rsidR="0004351B" w:rsidRPr="0004351B">
        <w:rPr>
          <w:rFonts w:ascii="Times New Roman" w:hAnsi="Times New Roman" w:cs="Times New Roman"/>
          <w:color w:val="000000" w:themeColor="text1"/>
          <w:szCs w:val="20"/>
        </w:rPr>
        <w:instrText xml:space="preserve"> ADDIN EN.CITE </w:instrText>
      </w:r>
      <w:r w:rsidR="0004351B" w:rsidRPr="0004351B">
        <w:rPr>
          <w:rFonts w:ascii="Times New Roman" w:hAnsi="Times New Roman" w:cs="Times New Roman"/>
          <w:color w:val="000000" w:themeColor="text1"/>
          <w:szCs w:val="20"/>
        </w:rPr>
        <w:fldChar w:fldCharType="begin">
          <w:fldData xml:space="preserve">PEVuZE5vdGU+PENpdGU+PEF1dGhvcj5IYW48L0F1dGhvcj48WWVhcj4yMDE0PC9ZZWFyPjxSZWNO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</w:fldData>
        </w:fldChar>
      </w:r>
      <w:r w:rsidR="0004351B" w:rsidRPr="0004351B">
        <w:rPr>
          <w:rFonts w:ascii="Times New Roman" w:hAnsi="Times New Roman" w:cs="Times New Roman"/>
          <w:color w:val="000000" w:themeColor="text1"/>
          <w:szCs w:val="20"/>
        </w:rPr>
        <w:instrText xml:space="preserve"> ADDIN EN.CITE.DATA </w:instrText>
      </w:r>
      <w:r w:rsidR="0004351B" w:rsidRPr="0004351B">
        <w:rPr>
          <w:rFonts w:ascii="Times New Roman" w:hAnsi="Times New Roman" w:cs="Times New Roman"/>
          <w:color w:val="000000" w:themeColor="text1"/>
          <w:szCs w:val="20"/>
        </w:rPr>
      </w:r>
      <w:r w:rsidR="0004351B"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r>
      <w:r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[6, 7]</w:t>
      </w:r>
      <w:r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t xml:space="preserve">.  Peptide samples were separated on a two-column system, consisting of a trap column and an analytic column (75 </w:t>
      </w:r>
      <w:proofErr w:type="spellStart"/>
      <w:r w:rsidRPr="0004351B">
        <w:rPr>
          <w:rFonts w:ascii="Times New Roman" w:hAnsi="Times New Roman" w:cs="Times New Roman"/>
          <w:color w:val="000000" w:themeColor="text1"/>
          <w:szCs w:val="20"/>
        </w:rPr>
        <w:t>μm</w:t>
      </w:r>
      <w:proofErr w:type="spellEnd"/>
      <w:r w:rsidRPr="0004351B">
        <w:rPr>
          <w:rFonts w:ascii="Times New Roman" w:hAnsi="Times New Roman" w:cs="Times New Roman"/>
          <w:color w:val="000000" w:themeColor="text1"/>
          <w:szCs w:val="20"/>
        </w:rPr>
        <w:t xml:space="preserve"> × 50 cm) with a 120 min gradient from 7% to 32% acetonitrile at 300 </w:t>
      </w:r>
      <w:proofErr w:type="spellStart"/>
      <w:r w:rsidRPr="0004351B">
        <w:rPr>
          <w:rFonts w:ascii="Times New Roman" w:hAnsi="Times New Roman" w:cs="Times New Roman"/>
          <w:color w:val="000000" w:themeColor="text1"/>
          <w:szCs w:val="20"/>
        </w:rPr>
        <w:t>nl</w:t>
      </w:r>
      <w:proofErr w:type="spellEnd"/>
      <w:r w:rsidRPr="0004351B">
        <w:rPr>
          <w:rFonts w:ascii="Times New Roman" w:hAnsi="Times New Roman" w:cs="Times New Roman"/>
          <w:color w:val="000000" w:themeColor="text1"/>
          <w:szCs w:val="20"/>
        </w:rPr>
        <w:t xml:space="preserve">/min and analyzed by mass spectrometry. Survey scans (350 to 1650 m/z) were acquired with a resolution of 70,000 at m/z 200. MS/MS spectra were acquired at an HCD-normalized collision energy of 30 with a resolution of 17,500, at m/z 200. </w:t>
      </w:r>
      <w:r w:rsidR="00D67FB7" w:rsidRPr="0004351B">
        <w:rPr>
          <w:rFonts w:ascii="Times New Roman" w:hAnsi="Times New Roman" w:cs="Times New Roman"/>
          <w:color w:val="000000" w:themeColor="text1"/>
          <w:szCs w:val="20"/>
        </w:rPr>
        <w:t>The m</w:t>
      </w:r>
      <w:r w:rsidRPr="0004351B">
        <w:rPr>
          <w:rFonts w:ascii="Times New Roman" w:hAnsi="Times New Roman" w:cs="Times New Roman"/>
          <w:color w:val="000000" w:themeColor="text1"/>
          <w:szCs w:val="20"/>
        </w:rPr>
        <w:t xml:space="preserve">aximum ion injection times for the full scan and MS/MS scan were 20 and 100 </w:t>
      </w:r>
      <w:proofErr w:type="spellStart"/>
      <w:r w:rsidRPr="0004351B">
        <w:rPr>
          <w:rFonts w:ascii="Times New Roman" w:hAnsi="Times New Roman" w:cs="Times New Roman"/>
          <w:color w:val="000000" w:themeColor="text1"/>
          <w:szCs w:val="20"/>
        </w:rPr>
        <w:t>ms</w:t>
      </w:r>
      <w:proofErr w:type="spellEnd"/>
      <w:r w:rsidRPr="0004351B">
        <w:rPr>
          <w:rFonts w:ascii="Times New Roman" w:hAnsi="Times New Roman" w:cs="Times New Roman"/>
          <w:color w:val="000000" w:themeColor="text1"/>
          <w:szCs w:val="20"/>
        </w:rPr>
        <w:t>, respectively.</w:t>
      </w:r>
    </w:p>
    <w:p w14:paraId="5E90DA4F" w14:textId="1266FC75" w:rsidR="009A4FAE" w:rsidRPr="0004351B" w:rsidRDefault="009A4FAE" w:rsidP="0004351B">
      <w:pPr>
        <w:pStyle w:val="NoSpacing"/>
        <w:spacing w:line="480" w:lineRule="auto"/>
        <w:rPr>
          <w:rFonts w:ascii="Times New Roman" w:hAnsi="Times New Roman" w:cs="Times New Roman"/>
          <w:color w:val="000000" w:themeColor="text1"/>
          <w:szCs w:val="20"/>
        </w:rPr>
      </w:pPr>
      <w:r w:rsidRPr="0004351B">
        <w:rPr>
          <w:rFonts w:ascii="Times New Roman" w:hAnsi="Times New Roman" w:cs="Times New Roman"/>
          <w:color w:val="000000" w:themeColor="text1"/>
          <w:szCs w:val="20"/>
        </w:rPr>
        <w:t xml:space="preserve">Mass spectra were processed using a </w:t>
      </w:r>
      <w:proofErr w:type="spellStart"/>
      <w:r w:rsidRPr="0004351B">
        <w:rPr>
          <w:rFonts w:ascii="Times New Roman" w:hAnsi="Times New Roman" w:cs="Times New Roman"/>
          <w:color w:val="000000" w:themeColor="text1"/>
          <w:szCs w:val="20"/>
        </w:rPr>
        <w:t>MaxQuant</w:t>
      </w:r>
      <w:proofErr w:type="spellEnd"/>
      <w:r w:rsidRPr="0004351B">
        <w:rPr>
          <w:rFonts w:ascii="Times New Roman" w:hAnsi="Times New Roman" w:cs="Times New Roman"/>
          <w:color w:val="000000" w:themeColor="text1"/>
          <w:szCs w:val="20"/>
        </w:rPr>
        <w:t xml:space="preserve"> version 1.5.3.1 </w:t>
      </w:r>
      <w:r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&lt;EndNote&gt;&lt;Cite&gt;&lt;Author&gt;Tyanova&lt;/Author&gt;&lt;Year&gt;2016&lt;/Year&gt;&lt;RecNum&gt;140&lt;/RecNum&gt;&lt;DisplayText&gt;[8]&lt;/DisplayText&gt;&lt;record&gt;&lt;rec-number&gt;140&lt;/rec-number&gt;&lt;foreign-keys&gt;&lt;key app="EN" db-id="rt5apazwgzz22iesazbpwfzad2drfrav9wvf" timestamp="1539590988"&gt;140&lt;/key&gt;&lt;/foreign-keys&gt;&lt;ref-type name="Journal Article"&gt;17&lt;/ref-type&gt;&lt;contributors&gt;&lt;authors&gt;&lt;author&gt;Tyanova, S.&lt;/author&gt;&lt;author&gt;Temu, T.&lt;/author&gt;&lt;author&gt;Cox, J.&lt;/author&gt;&lt;/authors&gt;&lt;/contributors&gt;&lt;auth-address&gt;Computational Systems Biochemistry, Max-Planck Institute for Biochemistry, Martinsried, Germany.&lt;/auth-address&gt;&lt;titles&gt;&lt;title&gt;The MaxQuant computational platform for mass spectrometry-based shotgun proteomics&lt;/title&gt;&lt;secondary-title&gt;Nat Protoc&lt;/secondary-title&gt;&lt;/titles&gt;&lt;periodical&gt;&lt;full-title&gt;Nat Protoc&lt;/full-title&gt;&lt;/periodical&gt;&lt;pages&gt;2301-2319&lt;/pages&gt;&lt;volume&gt;11&lt;/volume&gt;&lt;number&gt;12&lt;/number&gt;&lt;edition&gt;2016/11/04&lt;/edition&gt;&lt;keywords&gt;&lt;keyword&gt;Mass Spectrometry/ methods&lt;/keyword&gt;&lt;keyword&gt;Protein Processing, Post-Translational&lt;/keyword&gt;&lt;keyword&gt;Proteomics/ methods&lt;/keyword&gt;&lt;keyword&gt;Software&lt;/keyword&gt;&lt;/keywords&gt;&lt;dates&gt;&lt;year&gt;2016&lt;/year&gt;&lt;pub-dates&gt;&lt;date&gt;Dec&lt;/date&gt;&lt;/pub-dates&gt;&lt;/dates&gt;&lt;isbn&gt;1750-2799 (Electronic)&amp;#xD;1750-2799 (Linking)&lt;/isbn&gt;&lt;accession-num&gt;27809316&lt;/accession-num&gt;&lt;urls&gt;&lt;/urls&gt;&lt;electronic-resource-num&gt;10.1038/nprot.2016.136&lt;/electronic-resource-num&gt;&lt;remote-database-provider&gt;NLM&lt;/remote-database-provider&gt;&lt;language&gt;eng&lt;/language&gt;&lt;/record&gt;&lt;/Cite&gt;&lt;/EndNote&gt;</w:instrText>
      </w:r>
      <w:r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[8]</w:t>
      </w:r>
      <w:r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t xml:space="preserve">. MS/MS spectra were searched by utilizing the Human </w:t>
      </w:r>
      <w:proofErr w:type="spellStart"/>
      <w:r w:rsidRPr="0004351B">
        <w:rPr>
          <w:rFonts w:ascii="Times New Roman" w:hAnsi="Times New Roman" w:cs="Times New Roman"/>
          <w:color w:val="000000" w:themeColor="text1"/>
          <w:szCs w:val="20"/>
        </w:rPr>
        <w:t>UniProt</w:t>
      </w:r>
      <w:proofErr w:type="spellEnd"/>
      <w:r w:rsidRPr="0004351B">
        <w:rPr>
          <w:rFonts w:ascii="Times New Roman" w:hAnsi="Times New Roman" w:cs="Times New Roman"/>
          <w:color w:val="000000" w:themeColor="text1"/>
          <w:szCs w:val="20"/>
        </w:rPr>
        <w:t xml:space="preserve"> protein sequence database (December 2014, 88,657 entries) using the Andromeda search engine with a 6-ppm precursor ion tolerance for total protein level analysis </w:t>
      </w:r>
      <w:r w:rsidRPr="0004351B">
        <w:rPr>
          <w:rFonts w:ascii="Times New Roman" w:hAnsi="Times New Roman" w:cs="Times New Roman"/>
          <w:color w:val="000000" w:themeColor="text1"/>
          <w:szCs w:val="20"/>
        </w:rPr>
        <w:fldChar w:fldCharType="begin"/>
      </w:r>
      <w:r w:rsidR="0004351B" w:rsidRPr="0004351B">
        <w:rPr>
          <w:rFonts w:ascii="Times New Roman" w:hAnsi="Times New Roman" w:cs="Times New Roman"/>
          <w:color w:val="000000" w:themeColor="text1"/>
          <w:szCs w:val="20"/>
        </w:rPr>
        <w:instrText xml:space="preserve"> ADDIN EN.CITE &lt;EndNote&gt;&lt;Cite&gt;&lt;Author&gt;Cox&lt;/Author&gt;&lt;Year&gt;2011&lt;/Year&gt;&lt;RecNum&gt;141&lt;/RecNum&gt;&lt;DisplayText&gt;[9]&lt;/DisplayText&gt;&lt;record&gt;&lt;rec-number&gt;141&lt;/rec-number&gt;&lt;foreign-keys&gt;&lt;key app="EN" db-id="rt5apazwgzz22iesazbpwfzad2drfrav9wvf" timestamp="1539591245"&gt;141&lt;/key&gt;&lt;/foreign-keys&gt;&lt;ref-type name="Journal Article"&gt;17&lt;/ref-type&gt;&lt;contributors&gt;&lt;authors&gt;&lt;author&gt;Cox, J.&lt;/author&gt;&lt;author&gt;Neuhauser, N.&lt;/author&gt;&lt;author&gt;Michalski, A.&lt;/author&gt;&lt;author&gt;Scheltema, R. A.&lt;/author&gt;&lt;author&gt;Olsen, J. V.&lt;/author&gt;&lt;author&gt;Mann, M.&lt;/author&gt;&lt;/authors&gt;&lt;/contributors&gt;&lt;auth-address&gt;Department of Proteomics and Signal Transduction, Max-Planck-Institute of Biochemistry, Am Klopferspitz 18, 82152 Martinsried, Germany. cox@biochem.mpg.de&lt;/auth-address&gt;&lt;titles&gt;&lt;title&gt;Andromeda: a peptide search engine integrated into the MaxQuant environment&lt;/title&gt;&lt;secondary-title&gt;J Proteome Res&lt;/secondary-title&gt;&lt;/titles&gt;&lt;periodical&gt;&lt;full-title&gt;J Proteome Res&lt;/full-title&gt;&lt;/periodical&gt;&lt;pages&gt;1794-805&lt;/pages&gt;&lt;volume&gt;10&lt;/volume&gt;&lt;number&gt;4&lt;/number&gt;&lt;edition&gt;2011/01/25&lt;/edition&gt;&lt;keywords&gt;&lt;keyword&gt;Algorithms&lt;/keyword&gt;&lt;keyword&gt;Amino Acid Sequence&lt;/keyword&gt;&lt;keyword&gt;Computational Biology/instrumentation/methods&lt;/keyword&gt;&lt;keyword&gt;Databases, Protein&lt;/keyword&gt;&lt;keyword&gt;HeLa Cells&lt;/keyword&gt;&lt;keyword&gt;Humans&lt;/keyword&gt;&lt;keyword&gt;Mass Spectrometry/ instrumentation/methods&lt;/keyword&gt;&lt;keyword&gt;Molecular Sequence Data&lt;/keyword&gt;&lt;keyword&gt;Peptides/ analysis&lt;/keyword&gt;&lt;keyword&gt;Protein Processing, Post-Translational&lt;/keyword&gt;&lt;keyword&gt;Proteomics/ instrumentation/methods&lt;/keyword&gt;&lt;keyword&gt;Search Engine&lt;/keyword&gt;&lt;keyword&gt;Sensitivity and Specificity&lt;/keyword&gt;&lt;keyword&gt;Software&lt;/keyword&gt;&lt;/keywords&gt;&lt;dates&gt;&lt;year&gt;2011&lt;/year&gt;&lt;pub-dates&gt;&lt;date&gt;Apr 1&lt;/date&gt;&lt;/pub-dates&gt;&lt;/dates&gt;&lt;isbn&gt;1535-3907 (Electronic)&amp;#xD;1535-3893 (Linking)&lt;/isbn&gt;&lt;accession-num&gt;21254760&lt;/accession-num&gt;&lt;urls&gt;&lt;/urls&gt;&lt;electronic-resource-num&gt;10.1021/pr101065j&lt;/electronic-resource-num&gt;&lt;remote-database-provider&gt;NLM&lt;/remote-database-provider&gt;&lt;language&gt;eng&lt;/language&gt;&lt;/record&gt;&lt;/Cite&gt;&lt;/EndNote&gt;</w:instrText>
      </w:r>
      <w:r w:rsidRPr="0004351B">
        <w:rPr>
          <w:rFonts w:ascii="Times New Roman" w:hAnsi="Times New Roman" w:cs="Times New Roman"/>
          <w:color w:val="000000" w:themeColor="text1"/>
          <w:szCs w:val="20"/>
        </w:rPr>
        <w:fldChar w:fldCharType="separate"/>
      </w:r>
      <w:r w:rsidR="0004351B" w:rsidRPr="0004351B">
        <w:rPr>
          <w:rFonts w:ascii="Times New Roman" w:hAnsi="Times New Roman" w:cs="Times New Roman"/>
          <w:noProof/>
          <w:color w:val="000000" w:themeColor="text1"/>
          <w:szCs w:val="20"/>
        </w:rPr>
        <w:t>[9]</w:t>
      </w:r>
      <w:r w:rsidRPr="0004351B">
        <w:rPr>
          <w:rFonts w:ascii="Times New Roman" w:hAnsi="Times New Roman" w:cs="Times New Roman"/>
          <w:color w:val="000000" w:themeColor="text1"/>
          <w:szCs w:val="20"/>
        </w:rPr>
        <w:fldChar w:fldCharType="end"/>
      </w:r>
      <w:r w:rsidRPr="0004351B">
        <w:rPr>
          <w:rFonts w:ascii="Times New Roman" w:hAnsi="Times New Roman" w:cs="Times New Roman"/>
          <w:color w:val="000000" w:themeColor="text1"/>
          <w:szCs w:val="20"/>
        </w:rPr>
        <w:t xml:space="preserve">. Primary searches were performed using the MS/MS ion tolerance and set to 20 ppm. Cysteine </w:t>
      </w:r>
      <w:proofErr w:type="spellStart"/>
      <w:r w:rsidRPr="0004351B">
        <w:rPr>
          <w:rFonts w:ascii="Times New Roman" w:hAnsi="Times New Roman" w:cs="Times New Roman"/>
          <w:color w:val="000000" w:themeColor="text1"/>
          <w:szCs w:val="20"/>
        </w:rPr>
        <w:t>carbamidomethylation</w:t>
      </w:r>
      <w:proofErr w:type="spellEnd"/>
      <w:r w:rsidRPr="0004351B">
        <w:rPr>
          <w:rFonts w:ascii="Times New Roman" w:hAnsi="Times New Roman" w:cs="Times New Roman"/>
          <w:color w:val="000000" w:themeColor="text1"/>
          <w:szCs w:val="20"/>
        </w:rPr>
        <w:t xml:space="preserve"> N-acetylation of protein and oxidation of methionine </w:t>
      </w:r>
      <w:r w:rsidRPr="0004351B">
        <w:rPr>
          <w:rFonts w:ascii="Times New Roman" w:hAnsi="Times New Roman" w:cs="Times New Roman"/>
          <w:color w:val="000000" w:themeColor="text1"/>
          <w:szCs w:val="20"/>
        </w:rPr>
        <w:lastRenderedPageBreak/>
        <w:t xml:space="preserve">were set as fixed and variable modifications, respectively. Enzyme specificity was set to full tryptic digestion. Peptides with a minimum length of six amino-acids and up to two missed cleavages were considered. The required false discovery rate (FDR) was set to 1% at the peptide, protein, and modification level. We enabled the ‘Match between Runs’ option on the </w:t>
      </w:r>
      <w:proofErr w:type="spellStart"/>
      <w:r w:rsidRPr="0004351B">
        <w:rPr>
          <w:rFonts w:ascii="Times New Roman" w:hAnsi="Times New Roman" w:cs="Times New Roman"/>
          <w:color w:val="000000" w:themeColor="text1"/>
          <w:szCs w:val="20"/>
        </w:rPr>
        <w:t>MaxQuant</w:t>
      </w:r>
      <w:proofErr w:type="spellEnd"/>
      <w:r w:rsidRPr="0004351B">
        <w:rPr>
          <w:rFonts w:ascii="Times New Roman" w:hAnsi="Times New Roman" w:cs="Times New Roman"/>
          <w:color w:val="000000" w:themeColor="text1"/>
          <w:szCs w:val="20"/>
        </w:rPr>
        <w:t xml:space="preserve"> platform to maximize the number of quantification events across samples. </w:t>
      </w:r>
    </w:p>
    <w:p w14:paraId="7613E35C" w14:textId="77777777" w:rsidR="009A4FAE" w:rsidRPr="0004351B" w:rsidRDefault="009A4FAE" w:rsidP="0004351B">
      <w:pPr>
        <w:pStyle w:val="NoSpacing"/>
        <w:spacing w:line="480" w:lineRule="auto"/>
        <w:rPr>
          <w:rFonts w:ascii="Times New Roman" w:hAnsi="Times New Roman" w:cs="Times New Roman"/>
          <w:color w:val="000000" w:themeColor="text1"/>
          <w:szCs w:val="20"/>
        </w:rPr>
      </w:pPr>
    </w:p>
    <w:p w14:paraId="551D9408" w14:textId="77777777" w:rsidR="000C0D92" w:rsidRPr="0004351B" w:rsidRDefault="000C0D92" w:rsidP="0004351B">
      <w:pPr>
        <w:pStyle w:val="NoSpacing"/>
        <w:spacing w:line="480" w:lineRule="auto"/>
        <w:rPr>
          <w:rFonts w:ascii="Times New Roman" w:hAnsi="Times New Roman" w:cs="Times New Roman"/>
          <w:b/>
          <w:szCs w:val="20"/>
        </w:rPr>
      </w:pPr>
      <w:r w:rsidRPr="0004351B">
        <w:rPr>
          <w:rFonts w:ascii="Times New Roman" w:hAnsi="Times New Roman" w:cs="Times New Roman"/>
          <w:b/>
          <w:szCs w:val="20"/>
        </w:rPr>
        <w:br w:type="page"/>
      </w:r>
    </w:p>
    <w:p w14:paraId="22F76064" w14:textId="0DD84E34" w:rsidR="00794640" w:rsidRPr="0004351B" w:rsidRDefault="00114997" w:rsidP="0004351B">
      <w:pPr>
        <w:pStyle w:val="NoSpacing"/>
        <w:spacing w:line="480" w:lineRule="auto"/>
        <w:rPr>
          <w:rFonts w:ascii="Times New Roman" w:hAnsi="Times New Roman" w:cs="Times New Roman"/>
          <w:b/>
          <w:szCs w:val="20"/>
        </w:rPr>
      </w:pPr>
      <w:r w:rsidRPr="0004351B">
        <w:rPr>
          <w:rFonts w:ascii="Times New Roman" w:hAnsi="Times New Roman" w:cs="Times New Roman"/>
          <w:b/>
          <w:szCs w:val="20"/>
        </w:rPr>
        <w:lastRenderedPageBreak/>
        <w:t xml:space="preserve">Supplementary </w:t>
      </w:r>
      <w:r w:rsidR="00794640" w:rsidRPr="0004351B">
        <w:rPr>
          <w:rFonts w:ascii="Times New Roman" w:hAnsi="Times New Roman" w:cs="Times New Roman"/>
          <w:b/>
          <w:szCs w:val="20"/>
        </w:rPr>
        <w:t>References</w:t>
      </w:r>
    </w:p>
    <w:p w14:paraId="3379ED0C" w14:textId="77777777" w:rsidR="0004351B" w:rsidRPr="0004351B" w:rsidRDefault="0041278C" w:rsidP="0004351B">
      <w:pPr>
        <w:pStyle w:val="EndNoteBibliography"/>
        <w:ind w:left="720" w:hanging="720"/>
        <w:jc w:val="both"/>
        <w:rPr>
          <w:sz w:val="20"/>
          <w:szCs w:val="20"/>
        </w:rPr>
      </w:pPr>
      <w:r w:rsidRPr="0004351B">
        <w:rPr>
          <w:noProof w:val="0"/>
          <w:sz w:val="20"/>
          <w:szCs w:val="20"/>
        </w:rPr>
        <w:fldChar w:fldCharType="begin"/>
      </w:r>
      <w:r w:rsidRPr="0004351B">
        <w:rPr>
          <w:noProof w:val="0"/>
          <w:sz w:val="20"/>
          <w:szCs w:val="20"/>
        </w:rPr>
        <w:instrText xml:space="preserve"> ADDIN EN.REFLIST </w:instrText>
      </w:r>
      <w:r w:rsidRPr="0004351B">
        <w:rPr>
          <w:noProof w:val="0"/>
          <w:sz w:val="20"/>
          <w:szCs w:val="20"/>
        </w:rPr>
        <w:fldChar w:fldCharType="separate"/>
      </w:r>
      <w:r w:rsidR="0004351B" w:rsidRPr="0004351B">
        <w:rPr>
          <w:sz w:val="20"/>
          <w:szCs w:val="20"/>
        </w:rPr>
        <w:t>1</w:t>
      </w:r>
      <w:r w:rsidR="0004351B" w:rsidRPr="0004351B">
        <w:rPr>
          <w:sz w:val="20"/>
          <w:szCs w:val="20"/>
        </w:rPr>
        <w:tab/>
        <w:t>von Minckwitz G, Raab G, Caputo A, Schutte M, Hilfrich F, Blohmer JU</w:t>
      </w:r>
      <w:r w:rsidR="0004351B" w:rsidRPr="0004351B">
        <w:rPr>
          <w:i/>
          <w:sz w:val="20"/>
          <w:szCs w:val="20"/>
        </w:rPr>
        <w:t xml:space="preserve"> et al</w:t>
      </w:r>
      <w:r w:rsidR="0004351B" w:rsidRPr="0004351B">
        <w:rPr>
          <w:sz w:val="20"/>
          <w:szCs w:val="20"/>
        </w:rPr>
        <w:t xml:space="preserve">. Doxorubicin with cyclophosphamide followed by docetaxel every 21 days compared with doxorubicin and docetaxel every 14 days as preoperative treatment in operable breast cancer: The GEPARDUO Study of the German Breast Group. </w:t>
      </w:r>
      <w:r w:rsidR="0004351B" w:rsidRPr="0004351B">
        <w:rPr>
          <w:i/>
          <w:sz w:val="20"/>
          <w:szCs w:val="20"/>
        </w:rPr>
        <w:t>Journal of Clinical Oncology</w:t>
      </w:r>
      <w:r w:rsidR="0004351B" w:rsidRPr="0004351B">
        <w:rPr>
          <w:sz w:val="20"/>
          <w:szCs w:val="20"/>
        </w:rPr>
        <w:t xml:space="preserve"> 2005; 23: 2676-2685.</w:t>
      </w:r>
    </w:p>
    <w:p w14:paraId="38BB9755" w14:textId="77777777" w:rsidR="0004351B" w:rsidRPr="0004351B" w:rsidRDefault="0004351B" w:rsidP="0004351B">
      <w:pPr>
        <w:pStyle w:val="EndNoteBibliography"/>
        <w:ind w:left="720" w:hanging="720"/>
        <w:jc w:val="both"/>
        <w:rPr>
          <w:sz w:val="20"/>
          <w:szCs w:val="20"/>
        </w:rPr>
      </w:pPr>
      <w:r w:rsidRPr="0004351B">
        <w:rPr>
          <w:sz w:val="20"/>
          <w:szCs w:val="20"/>
        </w:rPr>
        <w:t>2</w:t>
      </w:r>
      <w:r w:rsidRPr="0004351B">
        <w:rPr>
          <w:sz w:val="20"/>
          <w:szCs w:val="20"/>
        </w:rPr>
        <w:tab/>
        <w:t xml:space="preserve">Edge SB, Compton CC. The American Joint Committee on Cancer: the 7th edition of the AJCC cancer staging manual and the future of TNM. </w:t>
      </w:r>
      <w:r w:rsidRPr="0004351B">
        <w:rPr>
          <w:i/>
          <w:sz w:val="20"/>
          <w:szCs w:val="20"/>
        </w:rPr>
        <w:t>Ann Surg Oncol</w:t>
      </w:r>
      <w:r w:rsidRPr="0004351B">
        <w:rPr>
          <w:sz w:val="20"/>
          <w:szCs w:val="20"/>
        </w:rPr>
        <w:t xml:space="preserve"> 2010; 17: 1471-1474.</w:t>
      </w:r>
    </w:p>
    <w:p w14:paraId="1820C7C1" w14:textId="77777777" w:rsidR="0004351B" w:rsidRPr="0004351B" w:rsidRDefault="0004351B" w:rsidP="0004351B">
      <w:pPr>
        <w:pStyle w:val="EndNoteBibliography"/>
        <w:ind w:left="720" w:hanging="720"/>
        <w:jc w:val="both"/>
        <w:rPr>
          <w:sz w:val="20"/>
          <w:szCs w:val="20"/>
        </w:rPr>
      </w:pPr>
      <w:r w:rsidRPr="0004351B">
        <w:rPr>
          <w:sz w:val="20"/>
          <w:szCs w:val="20"/>
        </w:rPr>
        <w:t>3</w:t>
      </w:r>
      <w:r w:rsidRPr="0004351B">
        <w:rPr>
          <w:sz w:val="20"/>
          <w:szCs w:val="20"/>
        </w:rPr>
        <w:tab/>
        <w:t>von Minckwitz G, Untch M, Blohmer JU, Costa SD, Eidtmann H, Fasching PA</w:t>
      </w:r>
      <w:r w:rsidRPr="0004351B">
        <w:rPr>
          <w:i/>
          <w:sz w:val="20"/>
          <w:szCs w:val="20"/>
        </w:rPr>
        <w:t xml:space="preserve"> et al</w:t>
      </w:r>
      <w:r w:rsidRPr="0004351B">
        <w:rPr>
          <w:sz w:val="20"/>
          <w:szCs w:val="20"/>
        </w:rPr>
        <w:t xml:space="preserve">. Definition and Impact of Pathologic Complete Response on Prognosis After Neoadjuvant Chemotherapy in Various Intrinsic Breast Cancer Subtypes. </w:t>
      </w:r>
      <w:r w:rsidRPr="0004351B">
        <w:rPr>
          <w:i/>
          <w:sz w:val="20"/>
          <w:szCs w:val="20"/>
        </w:rPr>
        <w:t>Journal of Clinical Oncology</w:t>
      </w:r>
      <w:r w:rsidRPr="0004351B">
        <w:rPr>
          <w:sz w:val="20"/>
          <w:szCs w:val="20"/>
        </w:rPr>
        <w:t xml:space="preserve"> 2012; 30: 1796-1804.</w:t>
      </w:r>
    </w:p>
    <w:p w14:paraId="2061C562" w14:textId="77777777" w:rsidR="0004351B" w:rsidRPr="0004351B" w:rsidRDefault="0004351B" w:rsidP="0004351B">
      <w:pPr>
        <w:pStyle w:val="EndNoteBibliography"/>
        <w:ind w:left="720" w:hanging="720"/>
        <w:jc w:val="both"/>
        <w:rPr>
          <w:sz w:val="20"/>
          <w:szCs w:val="20"/>
        </w:rPr>
      </w:pPr>
      <w:r w:rsidRPr="0004351B">
        <w:rPr>
          <w:sz w:val="20"/>
          <w:szCs w:val="20"/>
        </w:rPr>
        <w:t>4</w:t>
      </w:r>
      <w:r w:rsidRPr="0004351B">
        <w:rPr>
          <w:sz w:val="20"/>
          <w:szCs w:val="20"/>
        </w:rPr>
        <w:tab/>
        <w:t xml:space="preserve">Wisniewski JR, Zougman A, Nagaraj N, Mann M. Universal sample preparation method for proteome analysis. </w:t>
      </w:r>
      <w:r w:rsidRPr="0004351B">
        <w:rPr>
          <w:i/>
          <w:sz w:val="20"/>
          <w:szCs w:val="20"/>
        </w:rPr>
        <w:t>Nat Methods</w:t>
      </w:r>
      <w:r w:rsidRPr="0004351B">
        <w:rPr>
          <w:sz w:val="20"/>
          <w:szCs w:val="20"/>
        </w:rPr>
        <w:t xml:space="preserve"> 2009; 6: 359-362.</w:t>
      </w:r>
    </w:p>
    <w:p w14:paraId="7E6500BC" w14:textId="77777777" w:rsidR="0004351B" w:rsidRPr="0004351B" w:rsidRDefault="0004351B" w:rsidP="0004351B">
      <w:pPr>
        <w:pStyle w:val="EndNoteBibliography"/>
        <w:ind w:left="720" w:hanging="720"/>
        <w:jc w:val="both"/>
        <w:rPr>
          <w:sz w:val="20"/>
          <w:szCs w:val="20"/>
        </w:rPr>
      </w:pPr>
      <w:r w:rsidRPr="0004351B">
        <w:rPr>
          <w:sz w:val="20"/>
          <w:szCs w:val="20"/>
        </w:rPr>
        <w:t>5</w:t>
      </w:r>
      <w:r w:rsidRPr="0004351B">
        <w:rPr>
          <w:sz w:val="20"/>
          <w:szCs w:val="20"/>
        </w:rPr>
        <w:tab/>
        <w:t xml:space="preserve">Rappsilber J, Mann M, Ishihama Y. Protocol for micro-purification, enrichment, pre-fractionation and storage of peptides for proteomics using StageTips. </w:t>
      </w:r>
      <w:r w:rsidRPr="0004351B">
        <w:rPr>
          <w:i/>
          <w:sz w:val="20"/>
          <w:szCs w:val="20"/>
        </w:rPr>
        <w:t>Nat Protoc</w:t>
      </w:r>
      <w:r w:rsidRPr="0004351B">
        <w:rPr>
          <w:sz w:val="20"/>
          <w:szCs w:val="20"/>
        </w:rPr>
        <w:t xml:space="preserve"> 2007; 2: 1896-1906.</w:t>
      </w:r>
    </w:p>
    <w:p w14:paraId="001559AC" w14:textId="77777777" w:rsidR="0004351B" w:rsidRPr="0004351B" w:rsidRDefault="0004351B" w:rsidP="0004351B">
      <w:pPr>
        <w:pStyle w:val="EndNoteBibliography"/>
        <w:ind w:left="720" w:hanging="720"/>
        <w:jc w:val="both"/>
        <w:rPr>
          <w:sz w:val="20"/>
          <w:szCs w:val="20"/>
        </w:rPr>
      </w:pPr>
      <w:r w:rsidRPr="0004351B">
        <w:rPr>
          <w:sz w:val="20"/>
          <w:szCs w:val="20"/>
        </w:rPr>
        <w:t>6</w:t>
      </w:r>
      <w:r w:rsidRPr="0004351B">
        <w:rPr>
          <w:sz w:val="20"/>
          <w:szCs w:val="20"/>
        </w:rPr>
        <w:tab/>
        <w:t xml:space="preserve">Han D, Jin J, Woo J, Min H, Kim Y. Proteomic analysis of mouse astrocytes and their secretome by a combination of FASP and StageTip-based, high pH, reversed-phase fractionation. </w:t>
      </w:r>
      <w:r w:rsidRPr="0004351B">
        <w:rPr>
          <w:i/>
          <w:sz w:val="20"/>
          <w:szCs w:val="20"/>
        </w:rPr>
        <w:t>Proteomics</w:t>
      </w:r>
      <w:r w:rsidRPr="0004351B">
        <w:rPr>
          <w:sz w:val="20"/>
          <w:szCs w:val="20"/>
        </w:rPr>
        <w:t xml:space="preserve"> 2014; 14: 1604-1609.</w:t>
      </w:r>
    </w:p>
    <w:p w14:paraId="40ADD42B" w14:textId="77777777" w:rsidR="0004351B" w:rsidRPr="0004351B" w:rsidRDefault="0004351B" w:rsidP="0004351B">
      <w:pPr>
        <w:pStyle w:val="EndNoteBibliography"/>
        <w:ind w:left="720" w:hanging="720"/>
        <w:jc w:val="both"/>
        <w:rPr>
          <w:sz w:val="20"/>
          <w:szCs w:val="20"/>
        </w:rPr>
      </w:pPr>
      <w:r w:rsidRPr="0004351B">
        <w:rPr>
          <w:sz w:val="20"/>
          <w:szCs w:val="20"/>
        </w:rPr>
        <w:t>7</w:t>
      </w:r>
      <w:r w:rsidRPr="0004351B">
        <w:rPr>
          <w:sz w:val="20"/>
          <w:szCs w:val="20"/>
        </w:rPr>
        <w:tab/>
        <w:t xml:space="preserve">Han D, Moon S, Kim Y, Kim J, Jin J, Kim Y. In-depth proteomic analysis of mouse microglia using a combination of FASP and StageTip-based, high pH, reversed-phase fractionation. </w:t>
      </w:r>
      <w:r w:rsidRPr="0004351B">
        <w:rPr>
          <w:i/>
          <w:sz w:val="20"/>
          <w:szCs w:val="20"/>
        </w:rPr>
        <w:t>Proteomics</w:t>
      </w:r>
      <w:r w:rsidRPr="0004351B">
        <w:rPr>
          <w:sz w:val="20"/>
          <w:szCs w:val="20"/>
        </w:rPr>
        <w:t xml:space="preserve"> 2013; 13: 2984-2988.</w:t>
      </w:r>
    </w:p>
    <w:p w14:paraId="1545B406" w14:textId="77777777" w:rsidR="0004351B" w:rsidRPr="0004351B" w:rsidRDefault="0004351B" w:rsidP="0004351B">
      <w:pPr>
        <w:pStyle w:val="EndNoteBibliography"/>
        <w:ind w:left="720" w:hanging="720"/>
        <w:jc w:val="both"/>
        <w:rPr>
          <w:sz w:val="20"/>
          <w:szCs w:val="20"/>
        </w:rPr>
      </w:pPr>
      <w:r w:rsidRPr="0004351B">
        <w:rPr>
          <w:sz w:val="20"/>
          <w:szCs w:val="20"/>
        </w:rPr>
        <w:t>8</w:t>
      </w:r>
      <w:r w:rsidRPr="0004351B">
        <w:rPr>
          <w:sz w:val="20"/>
          <w:szCs w:val="20"/>
        </w:rPr>
        <w:tab/>
        <w:t xml:space="preserve">Tyanova S, Temu T, Cox J. The MaxQuant computational platform for mass spectrometry-based shotgun proteomics. </w:t>
      </w:r>
      <w:r w:rsidRPr="0004351B">
        <w:rPr>
          <w:i/>
          <w:sz w:val="20"/>
          <w:szCs w:val="20"/>
        </w:rPr>
        <w:t>Nat Protoc</w:t>
      </w:r>
      <w:r w:rsidRPr="0004351B">
        <w:rPr>
          <w:sz w:val="20"/>
          <w:szCs w:val="20"/>
        </w:rPr>
        <w:t xml:space="preserve"> 2016; 11: 2301-2319.</w:t>
      </w:r>
    </w:p>
    <w:p w14:paraId="051A4D07" w14:textId="127E2302" w:rsidR="002D2181" w:rsidRPr="0004351B" w:rsidRDefault="0004351B" w:rsidP="002E2B85">
      <w:pPr>
        <w:pStyle w:val="EndNoteBibliography"/>
        <w:ind w:left="720" w:hanging="720"/>
        <w:jc w:val="both"/>
        <w:rPr>
          <w:sz w:val="20"/>
          <w:szCs w:val="20"/>
        </w:rPr>
      </w:pPr>
      <w:r w:rsidRPr="0004351B">
        <w:rPr>
          <w:sz w:val="20"/>
          <w:szCs w:val="20"/>
        </w:rPr>
        <w:t>9</w:t>
      </w:r>
      <w:r w:rsidRPr="0004351B">
        <w:rPr>
          <w:sz w:val="20"/>
          <w:szCs w:val="20"/>
        </w:rPr>
        <w:tab/>
        <w:t xml:space="preserve">Cox J, Neuhauser N, Michalski A, Scheltema RA, Olsen JV, Mann M. Andromeda: a peptide search engine integrated into the MaxQuant environment. </w:t>
      </w:r>
      <w:r w:rsidRPr="0004351B">
        <w:rPr>
          <w:i/>
          <w:sz w:val="20"/>
          <w:szCs w:val="20"/>
        </w:rPr>
        <w:t>J Proteome Res</w:t>
      </w:r>
      <w:r w:rsidRPr="0004351B">
        <w:rPr>
          <w:sz w:val="20"/>
          <w:szCs w:val="20"/>
        </w:rPr>
        <w:t xml:space="preserve"> 2011; 10: 1794-1805.</w:t>
      </w:r>
      <w:r w:rsidR="0041278C" w:rsidRPr="0004351B">
        <w:rPr>
          <w:sz w:val="20"/>
          <w:szCs w:val="20"/>
        </w:rPr>
        <w:fldChar w:fldCharType="end"/>
      </w:r>
    </w:p>
    <w:sectPr w:rsidR="002D2181" w:rsidRPr="0004351B" w:rsidSect="00092598">
      <w:footerReference w:type="default" r:id="rId8"/>
      <w:pgSz w:w="12240" w:h="15840"/>
      <w:pgMar w:top="1701" w:right="1440" w:bottom="1440" w:left="1440"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BE1E8" w14:textId="77777777" w:rsidR="003F743A" w:rsidRDefault="003F743A" w:rsidP="00F36FD2">
      <w:pPr>
        <w:spacing w:after="0" w:line="240" w:lineRule="auto"/>
      </w:pPr>
      <w:r>
        <w:separator/>
      </w:r>
    </w:p>
  </w:endnote>
  <w:endnote w:type="continuationSeparator" w:id="0">
    <w:p w14:paraId="2B7D9DD8" w14:textId="77777777" w:rsidR="003F743A" w:rsidRDefault="003F743A" w:rsidP="00F36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8306911"/>
      <w:docPartObj>
        <w:docPartGallery w:val="Page Numbers (Bottom of Page)"/>
        <w:docPartUnique/>
      </w:docPartObj>
    </w:sdtPr>
    <w:sdtEndPr/>
    <w:sdtContent>
      <w:p w14:paraId="65EDE4B5" w14:textId="2C87BABF" w:rsidR="0099751E" w:rsidRPr="00465FB3" w:rsidRDefault="0099751E">
        <w:pPr>
          <w:pStyle w:val="Footer"/>
          <w:jc w:val="center"/>
        </w:pPr>
        <w:r w:rsidRPr="00465FB3">
          <w:fldChar w:fldCharType="begin"/>
        </w:r>
        <w:r w:rsidRPr="00465FB3">
          <w:instrText xml:space="preserve"> PAGE   \* MERGEFORMAT </w:instrText>
        </w:r>
        <w:r w:rsidRPr="00465FB3">
          <w:fldChar w:fldCharType="separate"/>
        </w:r>
        <w:r w:rsidR="005A5D0B">
          <w:rPr>
            <w:noProof/>
          </w:rPr>
          <w:t>11</w:t>
        </w:r>
        <w:r w:rsidRPr="00465FB3">
          <w:fldChar w:fldCharType="end"/>
        </w:r>
      </w:p>
    </w:sdtContent>
  </w:sdt>
  <w:p w14:paraId="4467964C" w14:textId="38E371BA" w:rsidR="0099751E" w:rsidRPr="00465FB3" w:rsidRDefault="0099751E" w:rsidP="00E0781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0A724" w14:textId="77777777" w:rsidR="003F743A" w:rsidRDefault="003F743A" w:rsidP="00F36FD2">
      <w:pPr>
        <w:spacing w:after="0" w:line="240" w:lineRule="auto"/>
      </w:pPr>
      <w:r>
        <w:separator/>
      </w:r>
    </w:p>
  </w:footnote>
  <w:footnote w:type="continuationSeparator" w:id="0">
    <w:p w14:paraId="5FEE848B" w14:textId="77777777" w:rsidR="003F743A" w:rsidRDefault="003F743A" w:rsidP="00F36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B50A3"/>
    <w:multiLevelType w:val="hybridMultilevel"/>
    <w:tmpl w:val="63A40780"/>
    <w:lvl w:ilvl="0" w:tplc="BC96364C">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47C59"/>
    <w:multiLevelType w:val="hybridMultilevel"/>
    <w:tmpl w:val="25FC7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DF7F08"/>
    <w:multiLevelType w:val="hybridMultilevel"/>
    <w:tmpl w:val="FEE4F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3tzA2MTM2MjY0MzZR0lEKTi0uzszPAykwMqwFAF9qjKItAAAA"/>
    <w:docVar w:name="EN.InstantFormat" w:val="&lt;ENInstantFormat&gt;&lt;Enabled&gt;1&lt;/Enabled&gt;&lt;ScanUnformatted&gt;1&lt;/ScanUnformatted&gt;&lt;ScanChanges&gt;1&lt;/ScanChanges&gt;&lt;Suspended&gt;0&lt;/Suspended&gt;&lt;/ENInstantFormat&gt;"/>
    <w:docVar w:name="EN.Layout" w:val="&lt;ENLayout&gt;&lt;Style&gt;Oncogene (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 w:name="is_review_method" w:val="Incompatible"/>
  </w:docVars>
  <w:rsids>
    <w:rsidRoot w:val="000473F1"/>
    <w:rsid w:val="00002F9B"/>
    <w:rsid w:val="00004748"/>
    <w:rsid w:val="000116A0"/>
    <w:rsid w:val="00011B42"/>
    <w:rsid w:val="00014B58"/>
    <w:rsid w:val="0001585F"/>
    <w:rsid w:val="0001610D"/>
    <w:rsid w:val="00016E25"/>
    <w:rsid w:val="0002164A"/>
    <w:rsid w:val="0002491F"/>
    <w:rsid w:val="00026502"/>
    <w:rsid w:val="00027084"/>
    <w:rsid w:val="00032961"/>
    <w:rsid w:val="00033FE7"/>
    <w:rsid w:val="00035169"/>
    <w:rsid w:val="0004351B"/>
    <w:rsid w:val="00046062"/>
    <w:rsid w:val="000473F1"/>
    <w:rsid w:val="00047535"/>
    <w:rsid w:val="0005002E"/>
    <w:rsid w:val="0005231E"/>
    <w:rsid w:val="00052650"/>
    <w:rsid w:val="00054957"/>
    <w:rsid w:val="00056C0A"/>
    <w:rsid w:val="00057693"/>
    <w:rsid w:val="00060ACE"/>
    <w:rsid w:val="00063365"/>
    <w:rsid w:val="000638F1"/>
    <w:rsid w:val="00067404"/>
    <w:rsid w:val="00071A78"/>
    <w:rsid w:val="00074654"/>
    <w:rsid w:val="000758B7"/>
    <w:rsid w:val="0007643F"/>
    <w:rsid w:val="0007758D"/>
    <w:rsid w:val="00077A47"/>
    <w:rsid w:val="00077B91"/>
    <w:rsid w:val="000841E2"/>
    <w:rsid w:val="0008538D"/>
    <w:rsid w:val="00086694"/>
    <w:rsid w:val="00090AA1"/>
    <w:rsid w:val="00091B1D"/>
    <w:rsid w:val="00092598"/>
    <w:rsid w:val="0009363B"/>
    <w:rsid w:val="0009523D"/>
    <w:rsid w:val="0009600C"/>
    <w:rsid w:val="00097753"/>
    <w:rsid w:val="000A0F74"/>
    <w:rsid w:val="000A14B3"/>
    <w:rsid w:val="000B170D"/>
    <w:rsid w:val="000B3C55"/>
    <w:rsid w:val="000B3EC3"/>
    <w:rsid w:val="000B4E91"/>
    <w:rsid w:val="000B4FBF"/>
    <w:rsid w:val="000B5C3D"/>
    <w:rsid w:val="000C03EA"/>
    <w:rsid w:val="000C0D92"/>
    <w:rsid w:val="000C1D81"/>
    <w:rsid w:val="000C3BA8"/>
    <w:rsid w:val="000C3D26"/>
    <w:rsid w:val="000C6802"/>
    <w:rsid w:val="000C6A5B"/>
    <w:rsid w:val="000C6AEE"/>
    <w:rsid w:val="000C6DDA"/>
    <w:rsid w:val="000C75A1"/>
    <w:rsid w:val="000D005E"/>
    <w:rsid w:val="000D00FC"/>
    <w:rsid w:val="000D618D"/>
    <w:rsid w:val="000E0DAA"/>
    <w:rsid w:val="000E339D"/>
    <w:rsid w:val="000E46E7"/>
    <w:rsid w:val="000E65A6"/>
    <w:rsid w:val="000F286E"/>
    <w:rsid w:val="000F5CFC"/>
    <w:rsid w:val="000F6D9E"/>
    <w:rsid w:val="00101D92"/>
    <w:rsid w:val="00101FD7"/>
    <w:rsid w:val="00104167"/>
    <w:rsid w:val="001054A3"/>
    <w:rsid w:val="00105D13"/>
    <w:rsid w:val="00114453"/>
    <w:rsid w:val="0011486D"/>
    <w:rsid w:val="00114997"/>
    <w:rsid w:val="00117CA0"/>
    <w:rsid w:val="00120DD7"/>
    <w:rsid w:val="00121DBE"/>
    <w:rsid w:val="0012242C"/>
    <w:rsid w:val="00123258"/>
    <w:rsid w:val="0012334D"/>
    <w:rsid w:val="001240B9"/>
    <w:rsid w:val="001311FB"/>
    <w:rsid w:val="00132667"/>
    <w:rsid w:val="001326D1"/>
    <w:rsid w:val="00133099"/>
    <w:rsid w:val="00136575"/>
    <w:rsid w:val="001365D9"/>
    <w:rsid w:val="001373DB"/>
    <w:rsid w:val="001424BC"/>
    <w:rsid w:val="00145D25"/>
    <w:rsid w:val="001530F5"/>
    <w:rsid w:val="00153A11"/>
    <w:rsid w:val="00156E7A"/>
    <w:rsid w:val="001601DC"/>
    <w:rsid w:val="00164120"/>
    <w:rsid w:val="001660DF"/>
    <w:rsid w:val="001667F3"/>
    <w:rsid w:val="00170CF7"/>
    <w:rsid w:val="00171297"/>
    <w:rsid w:val="001733CD"/>
    <w:rsid w:val="001747FA"/>
    <w:rsid w:val="00174AB4"/>
    <w:rsid w:val="00174F8B"/>
    <w:rsid w:val="00177469"/>
    <w:rsid w:val="00177EA1"/>
    <w:rsid w:val="0018015E"/>
    <w:rsid w:val="00184031"/>
    <w:rsid w:val="00186EFA"/>
    <w:rsid w:val="00191AD8"/>
    <w:rsid w:val="0019537C"/>
    <w:rsid w:val="001A0DB0"/>
    <w:rsid w:val="001A6B5F"/>
    <w:rsid w:val="001A7ED8"/>
    <w:rsid w:val="001A7F2E"/>
    <w:rsid w:val="001B15AB"/>
    <w:rsid w:val="001B1AFD"/>
    <w:rsid w:val="001B7205"/>
    <w:rsid w:val="001C130B"/>
    <w:rsid w:val="001C2C32"/>
    <w:rsid w:val="001C5195"/>
    <w:rsid w:val="001C7526"/>
    <w:rsid w:val="001C7D88"/>
    <w:rsid w:val="001D0633"/>
    <w:rsid w:val="001D1ACE"/>
    <w:rsid w:val="001D2786"/>
    <w:rsid w:val="001D364D"/>
    <w:rsid w:val="001E43D7"/>
    <w:rsid w:val="001F2E6B"/>
    <w:rsid w:val="001F6003"/>
    <w:rsid w:val="001F761F"/>
    <w:rsid w:val="001F7C0B"/>
    <w:rsid w:val="002013E1"/>
    <w:rsid w:val="00202BD2"/>
    <w:rsid w:val="00207D5E"/>
    <w:rsid w:val="002107C8"/>
    <w:rsid w:val="00210A31"/>
    <w:rsid w:val="0021205C"/>
    <w:rsid w:val="00212E4F"/>
    <w:rsid w:val="00212E8F"/>
    <w:rsid w:val="00213740"/>
    <w:rsid w:val="002201EB"/>
    <w:rsid w:val="002215C6"/>
    <w:rsid w:val="00221F2C"/>
    <w:rsid w:val="002231B7"/>
    <w:rsid w:val="00234EAF"/>
    <w:rsid w:val="0023528B"/>
    <w:rsid w:val="002353DB"/>
    <w:rsid w:val="002363B8"/>
    <w:rsid w:val="00236C79"/>
    <w:rsid w:val="00237522"/>
    <w:rsid w:val="00240391"/>
    <w:rsid w:val="002428BE"/>
    <w:rsid w:val="002429A8"/>
    <w:rsid w:val="002444C5"/>
    <w:rsid w:val="00245A17"/>
    <w:rsid w:val="002464B2"/>
    <w:rsid w:val="00247F9E"/>
    <w:rsid w:val="00250B53"/>
    <w:rsid w:val="00252FE3"/>
    <w:rsid w:val="00254359"/>
    <w:rsid w:val="00255880"/>
    <w:rsid w:val="00260E50"/>
    <w:rsid w:val="002620EE"/>
    <w:rsid w:val="00262472"/>
    <w:rsid w:val="00266558"/>
    <w:rsid w:val="00266EA4"/>
    <w:rsid w:val="0027020F"/>
    <w:rsid w:val="00271E85"/>
    <w:rsid w:val="00275F3F"/>
    <w:rsid w:val="002807D4"/>
    <w:rsid w:val="00281188"/>
    <w:rsid w:val="0028261B"/>
    <w:rsid w:val="0028465C"/>
    <w:rsid w:val="00286A2E"/>
    <w:rsid w:val="0029163C"/>
    <w:rsid w:val="0029264B"/>
    <w:rsid w:val="00292D4A"/>
    <w:rsid w:val="002933FB"/>
    <w:rsid w:val="002935F4"/>
    <w:rsid w:val="00294250"/>
    <w:rsid w:val="0029489C"/>
    <w:rsid w:val="00295090"/>
    <w:rsid w:val="002963A0"/>
    <w:rsid w:val="002971E0"/>
    <w:rsid w:val="002A06DE"/>
    <w:rsid w:val="002A3568"/>
    <w:rsid w:val="002A3E08"/>
    <w:rsid w:val="002A4376"/>
    <w:rsid w:val="002A4800"/>
    <w:rsid w:val="002A6C61"/>
    <w:rsid w:val="002A791F"/>
    <w:rsid w:val="002A7D98"/>
    <w:rsid w:val="002B3CBE"/>
    <w:rsid w:val="002B4F0C"/>
    <w:rsid w:val="002C0EB1"/>
    <w:rsid w:val="002C11B9"/>
    <w:rsid w:val="002C30D9"/>
    <w:rsid w:val="002C3890"/>
    <w:rsid w:val="002C40B3"/>
    <w:rsid w:val="002C6BB6"/>
    <w:rsid w:val="002C71F9"/>
    <w:rsid w:val="002D0F12"/>
    <w:rsid w:val="002D2181"/>
    <w:rsid w:val="002D2572"/>
    <w:rsid w:val="002D2E88"/>
    <w:rsid w:val="002D696E"/>
    <w:rsid w:val="002D6B94"/>
    <w:rsid w:val="002E2B85"/>
    <w:rsid w:val="002E2D36"/>
    <w:rsid w:val="002E77B3"/>
    <w:rsid w:val="002F07F6"/>
    <w:rsid w:val="002F1A04"/>
    <w:rsid w:val="002F2A7D"/>
    <w:rsid w:val="002F3070"/>
    <w:rsid w:val="002F3FF1"/>
    <w:rsid w:val="002F4C80"/>
    <w:rsid w:val="002F5914"/>
    <w:rsid w:val="002F732C"/>
    <w:rsid w:val="003003FD"/>
    <w:rsid w:val="00301099"/>
    <w:rsid w:val="0030173B"/>
    <w:rsid w:val="003040FF"/>
    <w:rsid w:val="003044D5"/>
    <w:rsid w:val="003105F6"/>
    <w:rsid w:val="003111C0"/>
    <w:rsid w:val="00315D64"/>
    <w:rsid w:val="003205E0"/>
    <w:rsid w:val="003212AD"/>
    <w:rsid w:val="00321B4E"/>
    <w:rsid w:val="0032202A"/>
    <w:rsid w:val="003228C8"/>
    <w:rsid w:val="00322FA9"/>
    <w:rsid w:val="00324098"/>
    <w:rsid w:val="0032425F"/>
    <w:rsid w:val="0032566B"/>
    <w:rsid w:val="003262D6"/>
    <w:rsid w:val="00326A80"/>
    <w:rsid w:val="0033039D"/>
    <w:rsid w:val="00330AD2"/>
    <w:rsid w:val="00331C20"/>
    <w:rsid w:val="00332B71"/>
    <w:rsid w:val="00336424"/>
    <w:rsid w:val="00336937"/>
    <w:rsid w:val="00345626"/>
    <w:rsid w:val="00347184"/>
    <w:rsid w:val="00350BEF"/>
    <w:rsid w:val="00351B45"/>
    <w:rsid w:val="00351F36"/>
    <w:rsid w:val="00354ADB"/>
    <w:rsid w:val="00355E3F"/>
    <w:rsid w:val="00356F7C"/>
    <w:rsid w:val="00365FE6"/>
    <w:rsid w:val="00366EDB"/>
    <w:rsid w:val="00366EEB"/>
    <w:rsid w:val="00376716"/>
    <w:rsid w:val="00376EE1"/>
    <w:rsid w:val="00377474"/>
    <w:rsid w:val="00381300"/>
    <w:rsid w:val="00382CA4"/>
    <w:rsid w:val="003833DC"/>
    <w:rsid w:val="0038355F"/>
    <w:rsid w:val="003836B6"/>
    <w:rsid w:val="003860F9"/>
    <w:rsid w:val="00387E13"/>
    <w:rsid w:val="003910E4"/>
    <w:rsid w:val="003914D8"/>
    <w:rsid w:val="00392E4B"/>
    <w:rsid w:val="00392F2F"/>
    <w:rsid w:val="00393BCC"/>
    <w:rsid w:val="00393F3C"/>
    <w:rsid w:val="003949EA"/>
    <w:rsid w:val="00397463"/>
    <w:rsid w:val="00397522"/>
    <w:rsid w:val="003A0759"/>
    <w:rsid w:val="003A25B7"/>
    <w:rsid w:val="003A3B5A"/>
    <w:rsid w:val="003A48DD"/>
    <w:rsid w:val="003A6591"/>
    <w:rsid w:val="003A70B5"/>
    <w:rsid w:val="003B14CE"/>
    <w:rsid w:val="003B1746"/>
    <w:rsid w:val="003B2305"/>
    <w:rsid w:val="003B4EEB"/>
    <w:rsid w:val="003C0405"/>
    <w:rsid w:val="003C2FD8"/>
    <w:rsid w:val="003C587A"/>
    <w:rsid w:val="003C5E6E"/>
    <w:rsid w:val="003D038A"/>
    <w:rsid w:val="003D7DD6"/>
    <w:rsid w:val="003E2B2D"/>
    <w:rsid w:val="003E2D2D"/>
    <w:rsid w:val="003E2F27"/>
    <w:rsid w:val="003E5D57"/>
    <w:rsid w:val="003F2641"/>
    <w:rsid w:val="003F4BF5"/>
    <w:rsid w:val="003F5CDE"/>
    <w:rsid w:val="003F743A"/>
    <w:rsid w:val="00401DD0"/>
    <w:rsid w:val="00402AA0"/>
    <w:rsid w:val="00402F1B"/>
    <w:rsid w:val="00404A47"/>
    <w:rsid w:val="004057A1"/>
    <w:rsid w:val="00405A39"/>
    <w:rsid w:val="00406F98"/>
    <w:rsid w:val="004104FB"/>
    <w:rsid w:val="00412292"/>
    <w:rsid w:val="004124FC"/>
    <w:rsid w:val="0041278C"/>
    <w:rsid w:val="004137CC"/>
    <w:rsid w:val="0041529C"/>
    <w:rsid w:val="004172F9"/>
    <w:rsid w:val="004207F9"/>
    <w:rsid w:val="00421CA2"/>
    <w:rsid w:val="00425D44"/>
    <w:rsid w:val="00426F31"/>
    <w:rsid w:val="00431FFC"/>
    <w:rsid w:val="00436ABF"/>
    <w:rsid w:val="00436CA8"/>
    <w:rsid w:val="00436CF8"/>
    <w:rsid w:val="00437294"/>
    <w:rsid w:val="004411CF"/>
    <w:rsid w:val="0044121E"/>
    <w:rsid w:val="00443F07"/>
    <w:rsid w:val="0044517E"/>
    <w:rsid w:val="0044665F"/>
    <w:rsid w:val="00451302"/>
    <w:rsid w:val="00453CFB"/>
    <w:rsid w:val="004540DE"/>
    <w:rsid w:val="0045499D"/>
    <w:rsid w:val="00456EEF"/>
    <w:rsid w:val="00456FA9"/>
    <w:rsid w:val="00460929"/>
    <w:rsid w:val="00460B2A"/>
    <w:rsid w:val="004618CD"/>
    <w:rsid w:val="004630E4"/>
    <w:rsid w:val="00465B57"/>
    <w:rsid w:val="00465FB3"/>
    <w:rsid w:val="0047228A"/>
    <w:rsid w:val="00475557"/>
    <w:rsid w:val="004756B9"/>
    <w:rsid w:val="00475944"/>
    <w:rsid w:val="00475D1C"/>
    <w:rsid w:val="0047686E"/>
    <w:rsid w:val="0047781C"/>
    <w:rsid w:val="004802B4"/>
    <w:rsid w:val="00480AE5"/>
    <w:rsid w:val="004855B6"/>
    <w:rsid w:val="00486571"/>
    <w:rsid w:val="00486D6D"/>
    <w:rsid w:val="0048710F"/>
    <w:rsid w:val="00490914"/>
    <w:rsid w:val="004930C1"/>
    <w:rsid w:val="0049328A"/>
    <w:rsid w:val="0049433B"/>
    <w:rsid w:val="00494F0F"/>
    <w:rsid w:val="00497D00"/>
    <w:rsid w:val="004A1CA3"/>
    <w:rsid w:val="004A4B17"/>
    <w:rsid w:val="004A4E02"/>
    <w:rsid w:val="004A57F5"/>
    <w:rsid w:val="004B18E4"/>
    <w:rsid w:val="004B28AD"/>
    <w:rsid w:val="004B2BA3"/>
    <w:rsid w:val="004B68E4"/>
    <w:rsid w:val="004B7936"/>
    <w:rsid w:val="004B7D53"/>
    <w:rsid w:val="004C24A9"/>
    <w:rsid w:val="004C3ED5"/>
    <w:rsid w:val="004C5E33"/>
    <w:rsid w:val="004C6EEA"/>
    <w:rsid w:val="004D03AB"/>
    <w:rsid w:val="004D477E"/>
    <w:rsid w:val="004D5A11"/>
    <w:rsid w:val="004E05FA"/>
    <w:rsid w:val="004E2640"/>
    <w:rsid w:val="004E329D"/>
    <w:rsid w:val="004E358B"/>
    <w:rsid w:val="004E39DF"/>
    <w:rsid w:val="004E429F"/>
    <w:rsid w:val="004E4917"/>
    <w:rsid w:val="004E5027"/>
    <w:rsid w:val="004E7033"/>
    <w:rsid w:val="004E7DE3"/>
    <w:rsid w:val="004F1CB4"/>
    <w:rsid w:val="004F2541"/>
    <w:rsid w:val="004F350C"/>
    <w:rsid w:val="004F3B25"/>
    <w:rsid w:val="004F3E12"/>
    <w:rsid w:val="004F4308"/>
    <w:rsid w:val="004F4D00"/>
    <w:rsid w:val="004F5F1A"/>
    <w:rsid w:val="004F7326"/>
    <w:rsid w:val="004F74F0"/>
    <w:rsid w:val="00501C50"/>
    <w:rsid w:val="00501E09"/>
    <w:rsid w:val="00505877"/>
    <w:rsid w:val="005066FF"/>
    <w:rsid w:val="00506C7B"/>
    <w:rsid w:val="00507A12"/>
    <w:rsid w:val="00510645"/>
    <w:rsid w:val="00510DFF"/>
    <w:rsid w:val="00516F6E"/>
    <w:rsid w:val="005209F6"/>
    <w:rsid w:val="00520DCC"/>
    <w:rsid w:val="005232EC"/>
    <w:rsid w:val="005250F1"/>
    <w:rsid w:val="00527163"/>
    <w:rsid w:val="00527F1A"/>
    <w:rsid w:val="00531457"/>
    <w:rsid w:val="00534AAC"/>
    <w:rsid w:val="00535AE3"/>
    <w:rsid w:val="005367F4"/>
    <w:rsid w:val="005446C7"/>
    <w:rsid w:val="00545E4A"/>
    <w:rsid w:val="00546993"/>
    <w:rsid w:val="00552A4E"/>
    <w:rsid w:val="00552EF3"/>
    <w:rsid w:val="00554345"/>
    <w:rsid w:val="00554AEB"/>
    <w:rsid w:val="005558C4"/>
    <w:rsid w:val="00557778"/>
    <w:rsid w:val="00560223"/>
    <w:rsid w:val="00561771"/>
    <w:rsid w:val="0056251D"/>
    <w:rsid w:val="005665E5"/>
    <w:rsid w:val="00570792"/>
    <w:rsid w:val="005709DE"/>
    <w:rsid w:val="0057182D"/>
    <w:rsid w:val="00571B13"/>
    <w:rsid w:val="00572153"/>
    <w:rsid w:val="00576321"/>
    <w:rsid w:val="00577493"/>
    <w:rsid w:val="005810F7"/>
    <w:rsid w:val="005815CA"/>
    <w:rsid w:val="00581A7F"/>
    <w:rsid w:val="00582213"/>
    <w:rsid w:val="00582E4F"/>
    <w:rsid w:val="00583E0B"/>
    <w:rsid w:val="00584265"/>
    <w:rsid w:val="0058480E"/>
    <w:rsid w:val="00585A26"/>
    <w:rsid w:val="00585BEB"/>
    <w:rsid w:val="00587D09"/>
    <w:rsid w:val="00590041"/>
    <w:rsid w:val="005929AF"/>
    <w:rsid w:val="00592CB3"/>
    <w:rsid w:val="00593622"/>
    <w:rsid w:val="00596828"/>
    <w:rsid w:val="005A20FF"/>
    <w:rsid w:val="005A277E"/>
    <w:rsid w:val="005A2D7A"/>
    <w:rsid w:val="005A3CA4"/>
    <w:rsid w:val="005A4619"/>
    <w:rsid w:val="005A5D0B"/>
    <w:rsid w:val="005A7B1E"/>
    <w:rsid w:val="005B0DDD"/>
    <w:rsid w:val="005B3BC4"/>
    <w:rsid w:val="005B4978"/>
    <w:rsid w:val="005B5096"/>
    <w:rsid w:val="005B6E29"/>
    <w:rsid w:val="005C1C99"/>
    <w:rsid w:val="005C1D8B"/>
    <w:rsid w:val="005C3B5A"/>
    <w:rsid w:val="005C4AF1"/>
    <w:rsid w:val="005C593E"/>
    <w:rsid w:val="005D18FD"/>
    <w:rsid w:val="005D3C0E"/>
    <w:rsid w:val="005D41F3"/>
    <w:rsid w:val="005D47F7"/>
    <w:rsid w:val="005D7F17"/>
    <w:rsid w:val="005E09A4"/>
    <w:rsid w:val="005E2E6C"/>
    <w:rsid w:val="005E3714"/>
    <w:rsid w:val="005E46C6"/>
    <w:rsid w:val="005E57D7"/>
    <w:rsid w:val="005E670F"/>
    <w:rsid w:val="005E71D7"/>
    <w:rsid w:val="005F012E"/>
    <w:rsid w:val="005F0FE7"/>
    <w:rsid w:val="005F2F68"/>
    <w:rsid w:val="005F3C1A"/>
    <w:rsid w:val="005F4021"/>
    <w:rsid w:val="005F425B"/>
    <w:rsid w:val="005F6575"/>
    <w:rsid w:val="005F7CE3"/>
    <w:rsid w:val="00600BE7"/>
    <w:rsid w:val="006022C0"/>
    <w:rsid w:val="00602C29"/>
    <w:rsid w:val="00603263"/>
    <w:rsid w:val="00603900"/>
    <w:rsid w:val="00605E2F"/>
    <w:rsid w:val="00610313"/>
    <w:rsid w:val="0061177F"/>
    <w:rsid w:val="00612AA3"/>
    <w:rsid w:val="0061700B"/>
    <w:rsid w:val="006174BA"/>
    <w:rsid w:val="00621596"/>
    <w:rsid w:val="00621BB6"/>
    <w:rsid w:val="006228DF"/>
    <w:rsid w:val="006239FD"/>
    <w:rsid w:val="00626940"/>
    <w:rsid w:val="00630CBA"/>
    <w:rsid w:val="006312B5"/>
    <w:rsid w:val="006328D4"/>
    <w:rsid w:val="006329B7"/>
    <w:rsid w:val="00633C23"/>
    <w:rsid w:val="00637708"/>
    <w:rsid w:val="00637FEA"/>
    <w:rsid w:val="00640750"/>
    <w:rsid w:val="00641252"/>
    <w:rsid w:val="0064241D"/>
    <w:rsid w:val="006454C3"/>
    <w:rsid w:val="00646F9B"/>
    <w:rsid w:val="006479C8"/>
    <w:rsid w:val="00651071"/>
    <w:rsid w:val="006528DE"/>
    <w:rsid w:val="00661A67"/>
    <w:rsid w:val="0066317E"/>
    <w:rsid w:val="006661E6"/>
    <w:rsid w:val="00666CE4"/>
    <w:rsid w:val="00666E23"/>
    <w:rsid w:val="006718BD"/>
    <w:rsid w:val="0067221C"/>
    <w:rsid w:val="00672379"/>
    <w:rsid w:val="00672A3B"/>
    <w:rsid w:val="00673A61"/>
    <w:rsid w:val="00675218"/>
    <w:rsid w:val="006767BE"/>
    <w:rsid w:val="00681B41"/>
    <w:rsid w:val="00682168"/>
    <w:rsid w:val="006838E6"/>
    <w:rsid w:val="0068426A"/>
    <w:rsid w:val="00686571"/>
    <w:rsid w:val="00690D4F"/>
    <w:rsid w:val="00691F23"/>
    <w:rsid w:val="006920A9"/>
    <w:rsid w:val="006922F3"/>
    <w:rsid w:val="00694A81"/>
    <w:rsid w:val="00695CEC"/>
    <w:rsid w:val="006A15D3"/>
    <w:rsid w:val="006A1995"/>
    <w:rsid w:val="006A5D21"/>
    <w:rsid w:val="006A76A6"/>
    <w:rsid w:val="006B0A3D"/>
    <w:rsid w:val="006B19CE"/>
    <w:rsid w:val="006B7D14"/>
    <w:rsid w:val="006C718E"/>
    <w:rsid w:val="006D0ECE"/>
    <w:rsid w:val="006D2809"/>
    <w:rsid w:val="006D380B"/>
    <w:rsid w:val="006D50A7"/>
    <w:rsid w:val="006D6D87"/>
    <w:rsid w:val="006D7CC4"/>
    <w:rsid w:val="006E02AB"/>
    <w:rsid w:val="006E0790"/>
    <w:rsid w:val="006E0AA5"/>
    <w:rsid w:val="006E2EC1"/>
    <w:rsid w:val="006E5BF3"/>
    <w:rsid w:val="006E7EC5"/>
    <w:rsid w:val="006F055F"/>
    <w:rsid w:val="006F65C8"/>
    <w:rsid w:val="006F65FF"/>
    <w:rsid w:val="006F7A64"/>
    <w:rsid w:val="0070098B"/>
    <w:rsid w:val="00703C11"/>
    <w:rsid w:val="00704DB0"/>
    <w:rsid w:val="0070597F"/>
    <w:rsid w:val="00707F09"/>
    <w:rsid w:val="00710102"/>
    <w:rsid w:val="0071555C"/>
    <w:rsid w:val="00715AFB"/>
    <w:rsid w:val="00720064"/>
    <w:rsid w:val="00720F98"/>
    <w:rsid w:val="0072126D"/>
    <w:rsid w:val="0072462D"/>
    <w:rsid w:val="007253A3"/>
    <w:rsid w:val="0072613E"/>
    <w:rsid w:val="007275A8"/>
    <w:rsid w:val="00727869"/>
    <w:rsid w:val="00727D21"/>
    <w:rsid w:val="007340A9"/>
    <w:rsid w:val="00734AAF"/>
    <w:rsid w:val="007364BF"/>
    <w:rsid w:val="00742B34"/>
    <w:rsid w:val="00742B35"/>
    <w:rsid w:val="007432D4"/>
    <w:rsid w:val="0074579A"/>
    <w:rsid w:val="00745A94"/>
    <w:rsid w:val="00751A58"/>
    <w:rsid w:val="00753750"/>
    <w:rsid w:val="00755FA0"/>
    <w:rsid w:val="00756DCA"/>
    <w:rsid w:val="0075778B"/>
    <w:rsid w:val="007603BF"/>
    <w:rsid w:val="0076430B"/>
    <w:rsid w:val="0076486F"/>
    <w:rsid w:val="00767228"/>
    <w:rsid w:val="0077133C"/>
    <w:rsid w:val="00773681"/>
    <w:rsid w:val="007741E2"/>
    <w:rsid w:val="00775CA4"/>
    <w:rsid w:val="0078178E"/>
    <w:rsid w:val="0078465A"/>
    <w:rsid w:val="00785476"/>
    <w:rsid w:val="00787D40"/>
    <w:rsid w:val="00787E03"/>
    <w:rsid w:val="007915EC"/>
    <w:rsid w:val="00792098"/>
    <w:rsid w:val="0079363F"/>
    <w:rsid w:val="00794101"/>
    <w:rsid w:val="00794640"/>
    <w:rsid w:val="00795F88"/>
    <w:rsid w:val="00796483"/>
    <w:rsid w:val="00797AE3"/>
    <w:rsid w:val="007A15E6"/>
    <w:rsid w:val="007A1E80"/>
    <w:rsid w:val="007A566F"/>
    <w:rsid w:val="007A69D7"/>
    <w:rsid w:val="007A772D"/>
    <w:rsid w:val="007B0F59"/>
    <w:rsid w:val="007B3D37"/>
    <w:rsid w:val="007D0BFF"/>
    <w:rsid w:val="007D1A95"/>
    <w:rsid w:val="007D5850"/>
    <w:rsid w:val="007D7DA6"/>
    <w:rsid w:val="007E11F4"/>
    <w:rsid w:val="007E21B2"/>
    <w:rsid w:val="007E21DD"/>
    <w:rsid w:val="007E31C9"/>
    <w:rsid w:val="007E5BDA"/>
    <w:rsid w:val="007E6038"/>
    <w:rsid w:val="007E6864"/>
    <w:rsid w:val="007F01DD"/>
    <w:rsid w:val="007F1203"/>
    <w:rsid w:val="007F26B8"/>
    <w:rsid w:val="007F2CAF"/>
    <w:rsid w:val="007F46F2"/>
    <w:rsid w:val="007F5D22"/>
    <w:rsid w:val="007F6529"/>
    <w:rsid w:val="00800905"/>
    <w:rsid w:val="00800B06"/>
    <w:rsid w:val="00802DBF"/>
    <w:rsid w:val="0080400E"/>
    <w:rsid w:val="00806AE5"/>
    <w:rsid w:val="0080711A"/>
    <w:rsid w:val="00814324"/>
    <w:rsid w:val="00814F1A"/>
    <w:rsid w:val="00815DD8"/>
    <w:rsid w:val="008200DD"/>
    <w:rsid w:val="00820808"/>
    <w:rsid w:val="00820CD8"/>
    <w:rsid w:val="0082482B"/>
    <w:rsid w:val="00827809"/>
    <w:rsid w:val="0083080B"/>
    <w:rsid w:val="008321FC"/>
    <w:rsid w:val="0083288B"/>
    <w:rsid w:val="00832D77"/>
    <w:rsid w:val="00833A6A"/>
    <w:rsid w:val="00833D3F"/>
    <w:rsid w:val="0083732C"/>
    <w:rsid w:val="008378BB"/>
    <w:rsid w:val="00840474"/>
    <w:rsid w:val="00840B35"/>
    <w:rsid w:val="00841254"/>
    <w:rsid w:val="00841490"/>
    <w:rsid w:val="00841B2A"/>
    <w:rsid w:val="00845C50"/>
    <w:rsid w:val="0084720B"/>
    <w:rsid w:val="00847E41"/>
    <w:rsid w:val="00854BF9"/>
    <w:rsid w:val="00855723"/>
    <w:rsid w:val="008619C2"/>
    <w:rsid w:val="0086327D"/>
    <w:rsid w:val="0086675E"/>
    <w:rsid w:val="008679E0"/>
    <w:rsid w:val="0087018A"/>
    <w:rsid w:val="008740A2"/>
    <w:rsid w:val="00874200"/>
    <w:rsid w:val="0087462A"/>
    <w:rsid w:val="00875998"/>
    <w:rsid w:val="00876A05"/>
    <w:rsid w:val="008776EB"/>
    <w:rsid w:val="00877B77"/>
    <w:rsid w:val="00882E10"/>
    <w:rsid w:val="008876BA"/>
    <w:rsid w:val="008915F3"/>
    <w:rsid w:val="008937B5"/>
    <w:rsid w:val="0089455A"/>
    <w:rsid w:val="00896224"/>
    <w:rsid w:val="008A0221"/>
    <w:rsid w:val="008A0509"/>
    <w:rsid w:val="008A2637"/>
    <w:rsid w:val="008A36E6"/>
    <w:rsid w:val="008A4498"/>
    <w:rsid w:val="008A51B5"/>
    <w:rsid w:val="008A7207"/>
    <w:rsid w:val="008B222D"/>
    <w:rsid w:val="008B3216"/>
    <w:rsid w:val="008B47BA"/>
    <w:rsid w:val="008B4837"/>
    <w:rsid w:val="008B54D4"/>
    <w:rsid w:val="008B5FF6"/>
    <w:rsid w:val="008B74F8"/>
    <w:rsid w:val="008B7C63"/>
    <w:rsid w:val="008C320E"/>
    <w:rsid w:val="008C407C"/>
    <w:rsid w:val="008C5B99"/>
    <w:rsid w:val="008C5E30"/>
    <w:rsid w:val="008D0C2C"/>
    <w:rsid w:val="008D14F0"/>
    <w:rsid w:val="008D23A7"/>
    <w:rsid w:val="008D3EFA"/>
    <w:rsid w:val="008D40DF"/>
    <w:rsid w:val="008D40E8"/>
    <w:rsid w:val="008E1F91"/>
    <w:rsid w:val="008E249C"/>
    <w:rsid w:val="008E33D1"/>
    <w:rsid w:val="008E34A5"/>
    <w:rsid w:val="008E34BD"/>
    <w:rsid w:val="008E47E2"/>
    <w:rsid w:val="008E5E26"/>
    <w:rsid w:val="008E668C"/>
    <w:rsid w:val="008E6AF5"/>
    <w:rsid w:val="008F08FC"/>
    <w:rsid w:val="008F0D42"/>
    <w:rsid w:val="008F1909"/>
    <w:rsid w:val="008F1F67"/>
    <w:rsid w:val="008F3D63"/>
    <w:rsid w:val="008F45AA"/>
    <w:rsid w:val="008F53FC"/>
    <w:rsid w:val="008F67CA"/>
    <w:rsid w:val="009000BE"/>
    <w:rsid w:val="00900103"/>
    <w:rsid w:val="009008E3"/>
    <w:rsid w:val="00902E08"/>
    <w:rsid w:val="0090334F"/>
    <w:rsid w:val="009037C8"/>
    <w:rsid w:val="009043B0"/>
    <w:rsid w:val="00904EBF"/>
    <w:rsid w:val="0090634C"/>
    <w:rsid w:val="00907CC5"/>
    <w:rsid w:val="009104FA"/>
    <w:rsid w:val="00914285"/>
    <w:rsid w:val="00914F20"/>
    <w:rsid w:val="00920089"/>
    <w:rsid w:val="00921229"/>
    <w:rsid w:val="009227A8"/>
    <w:rsid w:val="00922A7C"/>
    <w:rsid w:val="009234A6"/>
    <w:rsid w:val="00923A63"/>
    <w:rsid w:val="00933B74"/>
    <w:rsid w:val="0093545E"/>
    <w:rsid w:val="00937655"/>
    <w:rsid w:val="00940800"/>
    <w:rsid w:val="00940A39"/>
    <w:rsid w:val="00940BDC"/>
    <w:rsid w:val="00940DB5"/>
    <w:rsid w:val="00940FF3"/>
    <w:rsid w:val="0094219F"/>
    <w:rsid w:val="00942D21"/>
    <w:rsid w:val="00943028"/>
    <w:rsid w:val="00943B3B"/>
    <w:rsid w:val="00945233"/>
    <w:rsid w:val="0094667D"/>
    <w:rsid w:val="00946E6E"/>
    <w:rsid w:val="0094701F"/>
    <w:rsid w:val="00947B6F"/>
    <w:rsid w:val="00954DA8"/>
    <w:rsid w:val="00955840"/>
    <w:rsid w:val="0096080A"/>
    <w:rsid w:val="00962F36"/>
    <w:rsid w:val="009645B7"/>
    <w:rsid w:val="00965D85"/>
    <w:rsid w:val="0096759E"/>
    <w:rsid w:val="009701DA"/>
    <w:rsid w:val="009705FE"/>
    <w:rsid w:val="00970BC5"/>
    <w:rsid w:val="00971959"/>
    <w:rsid w:val="009758DF"/>
    <w:rsid w:val="009766B4"/>
    <w:rsid w:val="009773E2"/>
    <w:rsid w:val="009778A1"/>
    <w:rsid w:val="00980CAF"/>
    <w:rsid w:val="009835A1"/>
    <w:rsid w:val="0098429A"/>
    <w:rsid w:val="009859B8"/>
    <w:rsid w:val="00987E11"/>
    <w:rsid w:val="00991474"/>
    <w:rsid w:val="00992A13"/>
    <w:rsid w:val="00994009"/>
    <w:rsid w:val="0099644A"/>
    <w:rsid w:val="00996BAD"/>
    <w:rsid w:val="0099734A"/>
    <w:rsid w:val="0099751E"/>
    <w:rsid w:val="009A167A"/>
    <w:rsid w:val="009A17A8"/>
    <w:rsid w:val="009A1A1D"/>
    <w:rsid w:val="009A2F8C"/>
    <w:rsid w:val="009A4187"/>
    <w:rsid w:val="009A49FB"/>
    <w:rsid w:val="009A4FAE"/>
    <w:rsid w:val="009A5286"/>
    <w:rsid w:val="009A5710"/>
    <w:rsid w:val="009B246E"/>
    <w:rsid w:val="009B3A35"/>
    <w:rsid w:val="009B49BB"/>
    <w:rsid w:val="009B5BB6"/>
    <w:rsid w:val="009B5F5E"/>
    <w:rsid w:val="009B6946"/>
    <w:rsid w:val="009B6999"/>
    <w:rsid w:val="009B76B3"/>
    <w:rsid w:val="009C08F5"/>
    <w:rsid w:val="009C1315"/>
    <w:rsid w:val="009C3B09"/>
    <w:rsid w:val="009C3E8D"/>
    <w:rsid w:val="009C3EE0"/>
    <w:rsid w:val="009C4C71"/>
    <w:rsid w:val="009C693F"/>
    <w:rsid w:val="009D197F"/>
    <w:rsid w:val="009D4538"/>
    <w:rsid w:val="009D4A32"/>
    <w:rsid w:val="009D4DA9"/>
    <w:rsid w:val="009E27E9"/>
    <w:rsid w:val="009E662E"/>
    <w:rsid w:val="009F25F8"/>
    <w:rsid w:val="009F4248"/>
    <w:rsid w:val="009F46B0"/>
    <w:rsid w:val="009F4CB6"/>
    <w:rsid w:val="009F782B"/>
    <w:rsid w:val="009F78A7"/>
    <w:rsid w:val="00A066E3"/>
    <w:rsid w:val="00A06DA6"/>
    <w:rsid w:val="00A07B90"/>
    <w:rsid w:val="00A1077A"/>
    <w:rsid w:val="00A1156A"/>
    <w:rsid w:val="00A1332C"/>
    <w:rsid w:val="00A16871"/>
    <w:rsid w:val="00A2146D"/>
    <w:rsid w:val="00A23198"/>
    <w:rsid w:val="00A265CA"/>
    <w:rsid w:val="00A30264"/>
    <w:rsid w:val="00A30A86"/>
    <w:rsid w:val="00A3647F"/>
    <w:rsid w:val="00A406D8"/>
    <w:rsid w:val="00A41C05"/>
    <w:rsid w:val="00A455FB"/>
    <w:rsid w:val="00A4583D"/>
    <w:rsid w:val="00A45A18"/>
    <w:rsid w:val="00A46084"/>
    <w:rsid w:val="00A50D53"/>
    <w:rsid w:val="00A510E2"/>
    <w:rsid w:val="00A51C50"/>
    <w:rsid w:val="00A52315"/>
    <w:rsid w:val="00A526F9"/>
    <w:rsid w:val="00A52E38"/>
    <w:rsid w:val="00A535EC"/>
    <w:rsid w:val="00A56764"/>
    <w:rsid w:val="00A61DCF"/>
    <w:rsid w:val="00A62C4B"/>
    <w:rsid w:val="00A63DD1"/>
    <w:rsid w:val="00A67D70"/>
    <w:rsid w:val="00A7138D"/>
    <w:rsid w:val="00A75BE5"/>
    <w:rsid w:val="00A77F2B"/>
    <w:rsid w:val="00A80158"/>
    <w:rsid w:val="00A806DC"/>
    <w:rsid w:val="00A80D21"/>
    <w:rsid w:val="00A81425"/>
    <w:rsid w:val="00A81455"/>
    <w:rsid w:val="00A91DBF"/>
    <w:rsid w:val="00A91E1C"/>
    <w:rsid w:val="00A9210E"/>
    <w:rsid w:val="00A95AB7"/>
    <w:rsid w:val="00A96081"/>
    <w:rsid w:val="00A9762B"/>
    <w:rsid w:val="00AA0559"/>
    <w:rsid w:val="00AA2E49"/>
    <w:rsid w:val="00AB3A34"/>
    <w:rsid w:val="00AB5054"/>
    <w:rsid w:val="00AB6BF3"/>
    <w:rsid w:val="00AC0689"/>
    <w:rsid w:val="00AC1A34"/>
    <w:rsid w:val="00AC3771"/>
    <w:rsid w:val="00AC3A43"/>
    <w:rsid w:val="00AC75DA"/>
    <w:rsid w:val="00AC7FB2"/>
    <w:rsid w:val="00AD0143"/>
    <w:rsid w:val="00AD07F5"/>
    <w:rsid w:val="00AD0855"/>
    <w:rsid w:val="00AD11F3"/>
    <w:rsid w:val="00AD391F"/>
    <w:rsid w:val="00AD5507"/>
    <w:rsid w:val="00AD55E1"/>
    <w:rsid w:val="00AD60B7"/>
    <w:rsid w:val="00AD6A50"/>
    <w:rsid w:val="00AD7CEB"/>
    <w:rsid w:val="00AE128D"/>
    <w:rsid w:val="00AE1655"/>
    <w:rsid w:val="00AE1BE2"/>
    <w:rsid w:val="00AE5779"/>
    <w:rsid w:val="00AE5B1C"/>
    <w:rsid w:val="00AE72B5"/>
    <w:rsid w:val="00AF056B"/>
    <w:rsid w:val="00AF1060"/>
    <w:rsid w:val="00AF536F"/>
    <w:rsid w:val="00B00E42"/>
    <w:rsid w:val="00B02E23"/>
    <w:rsid w:val="00B04BEA"/>
    <w:rsid w:val="00B05528"/>
    <w:rsid w:val="00B05F31"/>
    <w:rsid w:val="00B06FF9"/>
    <w:rsid w:val="00B10CA9"/>
    <w:rsid w:val="00B11CE6"/>
    <w:rsid w:val="00B12FEE"/>
    <w:rsid w:val="00B14184"/>
    <w:rsid w:val="00B15DED"/>
    <w:rsid w:val="00B1776C"/>
    <w:rsid w:val="00B20504"/>
    <w:rsid w:val="00B21545"/>
    <w:rsid w:val="00B21D7E"/>
    <w:rsid w:val="00B23AC0"/>
    <w:rsid w:val="00B2406D"/>
    <w:rsid w:val="00B245FF"/>
    <w:rsid w:val="00B2528D"/>
    <w:rsid w:val="00B262B9"/>
    <w:rsid w:val="00B2684C"/>
    <w:rsid w:val="00B26A5D"/>
    <w:rsid w:val="00B304F4"/>
    <w:rsid w:val="00B34B15"/>
    <w:rsid w:val="00B34B4E"/>
    <w:rsid w:val="00B43134"/>
    <w:rsid w:val="00B44CBA"/>
    <w:rsid w:val="00B451FD"/>
    <w:rsid w:val="00B461D4"/>
    <w:rsid w:val="00B46420"/>
    <w:rsid w:val="00B466B7"/>
    <w:rsid w:val="00B46F0A"/>
    <w:rsid w:val="00B47BAE"/>
    <w:rsid w:val="00B54631"/>
    <w:rsid w:val="00B62D1E"/>
    <w:rsid w:val="00B6384D"/>
    <w:rsid w:val="00B64AAF"/>
    <w:rsid w:val="00B66ED3"/>
    <w:rsid w:val="00B66F71"/>
    <w:rsid w:val="00B7198C"/>
    <w:rsid w:val="00B744CB"/>
    <w:rsid w:val="00B7460E"/>
    <w:rsid w:val="00B747C9"/>
    <w:rsid w:val="00B75046"/>
    <w:rsid w:val="00B75332"/>
    <w:rsid w:val="00B75B69"/>
    <w:rsid w:val="00B76BC9"/>
    <w:rsid w:val="00B82223"/>
    <w:rsid w:val="00B8429C"/>
    <w:rsid w:val="00B92280"/>
    <w:rsid w:val="00B93269"/>
    <w:rsid w:val="00B9461A"/>
    <w:rsid w:val="00B96C09"/>
    <w:rsid w:val="00B971C9"/>
    <w:rsid w:val="00BA0AA7"/>
    <w:rsid w:val="00BA4BEB"/>
    <w:rsid w:val="00BB3BFC"/>
    <w:rsid w:val="00BC05FF"/>
    <w:rsid w:val="00BC13DF"/>
    <w:rsid w:val="00BC3123"/>
    <w:rsid w:val="00BC4C22"/>
    <w:rsid w:val="00BC6FDE"/>
    <w:rsid w:val="00BD0463"/>
    <w:rsid w:val="00BD2BF1"/>
    <w:rsid w:val="00BD3C91"/>
    <w:rsid w:val="00BD4A2D"/>
    <w:rsid w:val="00BD65CC"/>
    <w:rsid w:val="00BE0902"/>
    <w:rsid w:val="00BE0CF5"/>
    <w:rsid w:val="00BE1387"/>
    <w:rsid w:val="00BE37B3"/>
    <w:rsid w:val="00BE6A6A"/>
    <w:rsid w:val="00BE76D0"/>
    <w:rsid w:val="00BF0DAA"/>
    <w:rsid w:val="00BF1488"/>
    <w:rsid w:val="00BF21F2"/>
    <w:rsid w:val="00BF3FA7"/>
    <w:rsid w:val="00BF4ED7"/>
    <w:rsid w:val="00BF5B7A"/>
    <w:rsid w:val="00BF7C24"/>
    <w:rsid w:val="00C03DAA"/>
    <w:rsid w:val="00C118B1"/>
    <w:rsid w:val="00C118D6"/>
    <w:rsid w:val="00C1354F"/>
    <w:rsid w:val="00C15021"/>
    <w:rsid w:val="00C20A32"/>
    <w:rsid w:val="00C20E32"/>
    <w:rsid w:val="00C2616B"/>
    <w:rsid w:val="00C266F0"/>
    <w:rsid w:val="00C314E6"/>
    <w:rsid w:val="00C333BF"/>
    <w:rsid w:val="00C37A17"/>
    <w:rsid w:val="00C40C74"/>
    <w:rsid w:val="00C42045"/>
    <w:rsid w:val="00C4276B"/>
    <w:rsid w:val="00C45639"/>
    <w:rsid w:val="00C474A8"/>
    <w:rsid w:val="00C52411"/>
    <w:rsid w:val="00C54CBC"/>
    <w:rsid w:val="00C54DFF"/>
    <w:rsid w:val="00C55E5B"/>
    <w:rsid w:val="00C5602B"/>
    <w:rsid w:val="00C60B09"/>
    <w:rsid w:val="00C6142C"/>
    <w:rsid w:val="00C615BE"/>
    <w:rsid w:val="00C666AB"/>
    <w:rsid w:val="00C66F4C"/>
    <w:rsid w:val="00C70E67"/>
    <w:rsid w:val="00C719EC"/>
    <w:rsid w:val="00C74277"/>
    <w:rsid w:val="00C74553"/>
    <w:rsid w:val="00C75FF6"/>
    <w:rsid w:val="00C80114"/>
    <w:rsid w:val="00C812CD"/>
    <w:rsid w:val="00C82499"/>
    <w:rsid w:val="00C83286"/>
    <w:rsid w:val="00C83E12"/>
    <w:rsid w:val="00C84F0A"/>
    <w:rsid w:val="00C85280"/>
    <w:rsid w:val="00C9066A"/>
    <w:rsid w:val="00C908D5"/>
    <w:rsid w:val="00C92B99"/>
    <w:rsid w:val="00C95587"/>
    <w:rsid w:val="00C95CFA"/>
    <w:rsid w:val="00CA240E"/>
    <w:rsid w:val="00CA29D0"/>
    <w:rsid w:val="00CA3D32"/>
    <w:rsid w:val="00CB131C"/>
    <w:rsid w:val="00CB22BC"/>
    <w:rsid w:val="00CB57D5"/>
    <w:rsid w:val="00CB5976"/>
    <w:rsid w:val="00CB59B5"/>
    <w:rsid w:val="00CB6A97"/>
    <w:rsid w:val="00CB77B5"/>
    <w:rsid w:val="00CC0DB9"/>
    <w:rsid w:val="00CC579C"/>
    <w:rsid w:val="00CC58C0"/>
    <w:rsid w:val="00CC7508"/>
    <w:rsid w:val="00CD2207"/>
    <w:rsid w:val="00CD426F"/>
    <w:rsid w:val="00CD73F1"/>
    <w:rsid w:val="00CD7A8C"/>
    <w:rsid w:val="00CD7F5F"/>
    <w:rsid w:val="00CE2019"/>
    <w:rsid w:val="00CE35F2"/>
    <w:rsid w:val="00CE36E1"/>
    <w:rsid w:val="00CE44EE"/>
    <w:rsid w:val="00CE7906"/>
    <w:rsid w:val="00CF00DE"/>
    <w:rsid w:val="00CF106A"/>
    <w:rsid w:val="00CF3E90"/>
    <w:rsid w:val="00CF3EB6"/>
    <w:rsid w:val="00CF65DD"/>
    <w:rsid w:val="00CF7559"/>
    <w:rsid w:val="00D03465"/>
    <w:rsid w:val="00D03496"/>
    <w:rsid w:val="00D041B5"/>
    <w:rsid w:val="00D053F8"/>
    <w:rsid w:val="00D05C81"/>
    <w:rsid w:val="00D06011"/>
    <w:rsid w:val="00D103F6"/>
    <w:rsid w:val="00D11F1F"/>
    <w:rsid w:val="00D13C74"/>
    <w:rsid w:val="00D141C7"/>
    <w:rsid w:val="00D159A8"/>
    <w:rsid w:val="00D15D8C"/>
    <w:rsid w:val="00D168B3"/>
    <w:rsid w:val="00D21269"/>
    <w:rsid w:val="00D21D80"/>
    <w:rsid w:val="00D24846"/>
    <w:rsid w:val="00D25CE8"/>
    <w:rsid w:val="00D2742C"/>
    <w:rsid w:val="00D315C6"/>
    <w:rsid w:val="00D31957"/>
    <w:rsid w:val="00D32072"/>
    <w:rsid w:val="00D32558"/>
    <w:rsid w:val="00D348BF"/>
    <w:rsid w:val="00D3642D"/>
    <w:rsid w:val="00D37548"/>
    <w:rsid w:val="00D408FE"/>
    <w:rsid w:val="00D41216"/>
    <w:rsid w:val="00D436B3"/>
    <w:rsid w:val="00D46158"/>
    <w:rsid w:val="00D5056F"/>
    <w:rsid w:val="00D53595"/>
    <w:rsid w:val="00D535CC"/>
    <w:rsid w:val="00D54D71"/>
    <w:rsid w:val="00D60109"/>
    <w:rsid w:val="00D6045A"/>
    <w:rsid w:val="00D6074F"/>
    <w:rsid w:val="00D656D9"/>
    <w:rsid w:val="00D657A5"/>
    <w:rsid w:val="00D67FB7"/>
    <w:rsid w:val="00D714FC"/>
    <w:rsid w:val="00D71608"/>
    <w:rsid w:val="00D73114"/>
    <w:rsid w:val="00D83E9E"/>
    <w:rsid w:val="00D83FF9"/>
    <w:rsid w:val="00D85847"/>
    <w:rsid w:val="00D86067"/>
    <w:rsid w:val="00D86CC9"/>
    <w:rsid w:val="00D86EE3"/>
    <w:rsid w:val="00D9046A"/>
    <w:rsid w:val="00D905A9"/>
    <w:rsid w:val="00D90BAD"/>
    <w:rsid w:val="00D96C57"/>
    <w:rsid w:val="00D96ECD"/>
    <w:rsid w:val="00DA0C0E"/>
    <w:rsid w:val="00DA1649"/>
    <w:rsid w:val="00DA1850"/>
    <w:rsid w:val="00DA293E"/>
    <w:rsid w:val="00DA602C"/>
    <w:rsid w:val="00DB0E71"/>
    <w:rsid w:val="00DB258E"/>
    <w:rsid w:val="00DB62C4"/>
    <w:rsid w:val="00DB7FE5"/>
    <w:rsid w:val="00DC184A"/>
    <w:rsid w:val="00DC2FC5"/>
    <w:rsid w:val="00DC44CF"/>
    <w:rsid w:val="00DC47BB"/>
    <w:rsid w:val="00DC5E1A"/>
    <w:rsid w:val="00DD06CE"/>
    <w:rsid w:val="00DD43A2"/>
    <w:rsid w:val="00DD4AFC"/>
    <w:rsid w:val="00DD4FD7"/>
    <w:rsid w:val="00DE0026"/>
    <w:rsid w:val="00DE3412"/>
    <w:rsid w:val="00DE6CF9"/>
    <w:rsid w:val="00DF6A60"/>
    <w:rsid w:val="00DF79A2"/>
    <w:rsid w:val="00E033C4"/>
    <w:rsid w:val="00E06639"/>
    <w:rsid w:val="00E07810"/>
    <w:rsid w:val="00E12B25"/>
    <w:rsid w:val="00E16978"/>
    <w:rsid w:val="00E200AF"/>
    <w:rsid w:val="00E264EF"/>
    <w:rsid w:val="00E276FA"/>
    <w:rsid w:val="00E30EF2"/>
    <w:rsid w:val="00E3320A"/>
    <w:rsid w:val="00E33480"/>
    <w:rsid w:val="00E3710B"/>
    <w:rsid w:val="00E3743A"/>
    <w:rsid w:val="00E43C73"/>
    <w:rsid w:val="00E450EC"/>
    <w:rsid w:val="00E4630B"/>
    <w:rsid w:val="00E4636B"/>
    <w:rsid w:val="00E46D44"/>
    <w:rsid w:val="00E5208B"/>
    <w:rsid w:val="00E520A7"/>
    <w:rsid w:val="00E532D5"/>
    <w:rsid w:val="00E53515"/>
    <w:rsid w:val="00E5359E"/>
    <w:rsid w:val="00E535BE"/>
    <w:rsid w:val="00E536C7"/>
    <w:rsid w:val="00E54690"/>
    <w:rsid w:val="00E55256"/>
    <w:rsid w:val="00E557E0"/>
    <w:rsid w:val="00E60201"/>
    <w:rsid w:val="00E60669"/>
    <w:rsid w:val="00E62D9A"/>
    <w:rsid w:val="00E63E48"/>
    <w:rsid w:val="00E66EA4"/>
    <w:rsid w:val="00E673EE"/>
    <w:rsid w:val="00E6778D"/>
    <w:rsid w:val="00E70A27"/>
    <w:rsid w:val="00E730CE"/>
    <w:rsid w:val="00E80960"/>
    <w:rsid w:val="00E80B0D"/>
    <w:rsid w:val="00E81617"/>
    <w:rsid w:val="00E82D31"/>
    <w:rsid w:val="00E83554"/>
    <w:rsid w:val="00E83AAF"/>
    <w:rsid w:val="00E848BA"/>
    <w:rsid w:val="00E85A10"/>
    <w:rsid w:val="00E8771C"/>
    <w:rsid w:val="00E905D6"/>
    <w:rsid w:val="00E90C7A"/>
    <w:rsid w:val="00E917FE"/>
    <w:rsid w:val="00E9320C"/>
    <w:rsid w:val="00E93C78"/>
    <w:rsid w:val="00E9461F"/>
    <w:rsid w:val="00E973FE"/>
    <w:rsid w:val="00EA2A6C"/>
    <w:rsid w:val="00EA4B2F"/>
    <w:rsid w:val="00EA607A"/>
    <w:rsid w:val="00EA6091"/>
    <w:rsid w:val="00EB07CA"/>
    <w:rsid w:val="00EB0C53"/>
    <w:rsid w:val="00EB1086"/>
    <w:rsid w:val="00EB202C"/>
    <w:rsid w:val="00EB306B"/>
    <w:rsid w:val="00EB32B6"/>
    <w:rsid w:val="00EB3806"/>
    <w:rsid w:val="00EB5BAB"/>
    <w:rsid w:val="00EB6049"/>
    <w:rsid w:val="00EB61A5"/>
    <w:rsid w:val="00EC4BF1"/>
    <w:rsid w:val="00EC4E78"/>
    <w:rsid w:val="00ED02EC"/>
    <w:rsid w:val="00ED2B5E"/>
    <w:rsid w:val="00ED356F"/>
    <w:rsid w:val="00ED45AB"/>
    <w:rsid w:val="00ED4931"/>
    <w:rsid w:val="00ED71A5"/>
    <w:rsid w:val="00EE4E79"/>
    <w:rsid w:val="00EE6387"/>
    <w:rsid w:val="00EF0859"/>
    <w:rsid w:val="00EF529C"/>
    <w:rsid w:val="00EF697E"/>
    <w:rsid w:val="00EF705D"/>
    <w:rsid w:val="00EF7702"/>
    <w:rsid w:val="00F02E5D"/>
    <w:rsid w:val="00F0405E"/>
    <w:rsid w:val="00F05332"/>
    <w:rsid w:val="00F109D3"/>
    <w:rsid w:val="00F12025"/>
    <w:rsid w:val="00F15250"/>
    <w:rsid w:val="00F217A5"/>
    <w:rsid w:val="00F24912"/>
    <w:rsid w:val="00F25A49"/>
    <w:rsid w:val="00F266CA"/>
    <w:rsid w:val="00F26D21"/>
    <w:rsid w:val="00F27683"/>
    <w:rsid w:val="00F3160D"/>
    <w:rsid w:val="00F322B8"/>
    <w:rsid w:val="00F34437"/>
    <w:rsid w:val="00F34DAE"/>
    <w:rsid w:val="00F354A9"/>
    <w:rsid w:val="00F3591F"/>
    <w:rsid w:val="00F36A96"/>
    <w:rsid w:val="00F36FD2"/>
    <w:rsid w:val="00F3756D"/>
    <w:rsid w:val="00F37ECD"/>
    <w:rsid w:val="00F4084A"/>
    <w:rsid w:val="00F422CC"/>
    <w:rsid w:val="00F47C9F"/>
    <w:rsid w:val="00F503B5"/>
    <w:rsid w:val="00F51519"/>
    <w:rsid w:val="00F519D3"/>
    <w:rsid w:val="00F52531"/>
    <w:rsid w:val="00F5628C"/>
    <w:rsid w:val="00F578D0"/>
    <w:rsid w:val="00F57A41"/>
    <w:rsid w:val="00F57BDF"/>
    <w:rsid w:val="00F6098F"/>
    <w:rsid w:val="00F60D8D"/>
    <w:rsid w:val="00F6154D"/>
    <w:rsid w:val="00F63418"/>
    <w:rsid w:val="00F64182"/>
    <w:rsid w:val="00F678CA"/>
    <w:rsid w:val="00F7181B"/>
    <w:rsid w:val="00F72326"/>
    <w:rsid w:val="00F73196"/>
    <w:rsid w:val="00F74847"/>
    <w:rsid w:val="00F74EFF"/>
    <w:rsid w:val="00F77077"/>
    <w:rsid w:val="00F7715B"/>
    <w:rsid w:val="00F7757C"/>
    <w:rsid w:val="00F77F37"/>
    <w:rsid w:val="00F82DFC"/>
    <w:rsid w:val="00F8415E"/>
    <w:rsid w:val="00F9125D"/>
    <w:rsid w:val="00F91741"/>
    <w:rsid w:val="00F91775"/>
    <w:rsid w:val="00F93962"/>
    <w:rsid w:val="00F94008"/>
    <w:rsid w:val="00F94F82"/>
    <w:rsid w:val="00F96604"/>
    <w:rsid w:val="00FA1026"/>
    <w:rsid w:val="00FA171B"/>
    <w:rsid w:val="00FA3B59"/>
    <w:rsid w:val="00FA5CFC"/>
    <w:rsid w:val="00FA72E6"/>
    <w:rsid w:val="00FA7A91"/>
    <w:rsid w:val="00FB197E"/>
    <w:rsid w:val="00FB2241"/>
    <w:rsid w:val="00FB3B85"/>
    <w:rsid w:val="00FB3DB9"/>
    <w:rsid w:val="00FB6E10"/>
    <w:rsid w:val="00FB7CE9"/>
    <w:rsid w:val="00FC1EA1"/>
    <w:rsid w:val="00FC2FC6"/>
    <w:rsid w:val="00FC772E"/>
    <w:rsid w:val="00FC783A"/>
    <w:rsid w:val="00FD06F7"/>
    <w:rsid w:val="00FD1EBE"/>
    <w:rsid w:val="00FD67C8"/>
    <w:rsid w:val="00FD7882"/>
    <w:rsid w:val="00FE032D"/>
    <w:rsid w:val="00FE457D"/>
    <w:rsid w:val="00FE5963"/>
    <w:rsid w:val="00FE6F57"/>
    <w:rsid w:val="00FE7514"/>
    <w:rsid w:val="00FF0EA0"/>
    <w:rsid w:val="00FF1ACB"/>
    <w:rsid w:val="00FF34EA"/>
    <w:rsid w:val="00FF3F74"/>
    <w:rsid w:val="00FF785C"/>
    <w:rsid w:val="00FF78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555BC"/>
  <w15:chartTrackingRefBased/>
  <w15:docId w15:val="{C1E8BECA-42FB-47BE-AE24-349D61DDE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473F1"/>
    <w:pPr>
      <w:widowControl w:val="0"/>
      <w:wordWrap w:val="0"/>
      <w:autoSpaceDE w:val="0"/>
      <w:autoSpaceDN w:val="0"/>
      <w:spacing w:after="0" w:line="240" w:lineRule="auto"/>
      <w:jc w:val="both"/>
    </w:pPr>
    <w:rPr>
      <w:kern w:val="2"/>
      <w:sz w:val="20"/>
    </w:rPr>
  </w:style>
  <w:style w:type="character" w:customStyle="1" w:styleId="NoSpacingChar">
    <w:name w:val="No Spacing Char"/>
    <w:basedOn w:val="DefaultParagraphFont"/>
    <w:link w:val="NoSpacing"/>
    <w:uiPriority w:val="1"/>
    <w:rsid w:val="000473F1"/>
    <w:rPr>
      <w:kern w:val="2"/>
      <w:sz w:val="20"/>
    </w:rPr>
  </w:style>
  <w:style w:type="paragraph" w:customStyle="1" w:styleId="EndNoteBibliographyTitle">
    <w:name w:val="EndNote Bibliography Title"/>
    <w:basedOn w:val="Normal"/>
    <w:link w:val="EndNoteBibliographyTitleChar"/>
    <w:rsid w:val="0041278C"/>
    <w:pPr>
      <w:spacing w:after="0"/>
      <w:jc w:val="center"/>
    </w:pPr>
    <w:rPr>
      <w:rFonts w:ascii="Times New Roman" w:hAnsi="Times New Roman" w:cs="Times New Roman"/>
      <w:noProof/>
      <w:sz w:val="24"/>
    </w:rPr>
  </w:style>
  <w:style w:type="character" w:customStyle="1" w:styleId="EndNoteBibliographyTitleChar">
    <w:name w:val="EndNote Bibliography Title Char"/>
    <w:basedOn w:val="NoSpacingChar"/>
    <w:link w:val="EndNoteBibliographyTitle"/>
    <w:rsid w:val="0041278C"/>
    <w:rPr>
      <w:rFonts w:ascii="Times New Roman" w:hAnsi="Times New Roman" w:cs="Times New Roman"/>
      <w:noProof/>
      <w:kern w:val="2"/>
      <w:sz w:val="24"/>
    </w:rPr>
  </w:style>
  <w:style w:type="paragraph" w:customStyle="1" w:styleId="EndNoteBibliography">
    <w:name w:val="EndNote Bibliography"/>
    <w:basedOn w:val="Normal"/>
    <w:link w:val="EndNoteBibliographyChar"/>
    <w:rsid w:val="0041278C"/>
    <w:pPr>
      <w:spacing w:line="480" w:lineRule="auto"/>
    </w:pPr>
    <w:rPr>
      <w:rFonts w:ascii="Times New Roman" w:hAnsi="Times New Roman" w:cs="Times New Roman"/>
      <w:noProof/>
      <w:sz w:val="24"/>
    </w:rPr>
  </w:style>
  <w:style w:type="character" w:customStyle="1" w:styleId="EndNoteBibliographyChar">
    <w:name w:val="EndNote Bibliography Char"/>
    <w:basedOn w:val="NoSpacingChar"/>
    <w:link w:val="EndNoteBibliography"/>
    <w:rsid w:val="0041278C"/>
    <w:rPr>
      <w:rFonts w:ascii="Times New Roman" w:hAnsi="Times New Roman" w:cs="Times New Roman"/>
      <w:noProof/>
      <w:kern w:val="2"/>
      <w:sz w:val="24"/>
    </w:rPr>
  </w:style>
  <w:style w:type="paragraph" w:styleId="Header">
    <w:name w:val="header"/>
    <w:basedOn w:val="Normal"/>
    <w:link w:val="HeaderChar"/>
    <w:uiPriority w:val="99"/>
    <w:unhideWhenUsed/>
    <w:rsid w:val="00F36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FD2"/>
  </w:style>
  <w:style w:type="paragraph" w:styleId="Footer">
    <w:name w:val="footer"/>
    <w:basedOn w:val="Normal"/>
    <w:link w:val="FooterChar"/>
    <w:uiPriority w:val="99"/>
    <w:unhideWhenUsed/>
    <w:rsid w:val="00F36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FD2"/>
  </w:style>
  <w:style w:type="character" w:styleId="Hyperlink">
    <w:name w:val="Hyperlink"/>
    <w:basedOn w:val="DefaultParagraphFont"/>
    <w:uiPriority w:val="99"/>
    <w:unhideWhenUsed/>
    <w:rsid w:val="00F36FD2"/>
    <w:rPr>
      <w:color w:val="0563C1" w:themeColor="hyperlink"/>
      <w:u w:val="single"/>
    </w:rPr>
  </w:style>
  <w:style w:type="character" w:styleId="FollowedHyperlink">
    <w:name w:val="FollowedHyperlink"/>
    <w:basedOn w:val="DefaultParagraphFont"/>
    <w:uiPriority w:val="99"/>
    <w:semiHidden/>
    <w:unhideWhenUsed/>
    <w:rsid w:val="00DD4FD7"/>
    <w:rPr>
      <w:color w:val="954F72" w:themeColor="followedHyperlink"/>
      <w:u w:val="single"/>
    </w:rPr>
  </w:style>
  <w:style w:type="character" w:styleId="CommentReference">
    <w:name w:val="annotation reference"/>
    <w:basedOn w:val="DefaultParagraphFont"/>
    <w:uiPriority w:val="99"/>
    <w:semiHidden/>
    <w:unhideWhenUsed/>
    <w:rsid w:val="008F45AA"/>
    <w:rPr>
      <w:sz w:val="16"/>
      <w:szCs w:val="16"/>
    </w:rPr>
  </w:style>
  <w:style w:type="paragraph" w:styleId="CommentText">
    <w:name w:val="annotation text"/>
    <w:basedOn w:val="Normal"/>
    <w:link w:val="CommentTextChar"/>
    <w:uiPriority w:val="99"/>
    <w:unhideWhenUsed/>
    <w:rsid w:val="008F45AA"/>
    <w:pPr>
      <w:spacing w:line="240" w:lineRule="auto"/>
    </w:pPr>
    <w:rPr>
      <w:sz w:val="20"/>
      <w:szCs w:val="20"/>
    </w:rPr>
  </w:style>
  <w:style w:type="character" w:customStyle="1" w:styleId="CommentTextChar">
    <w:name w:val="Comment Text Char"/>
    <w:basedOn w:val="DefaultParagraphFont"/>
    <w:link w:val="CommentText"/>
    <w:uiPriority w:val="99"/>
    <w:rsid w:val="008F45AA"/>
    <w:rPr>
      <w:sz w:val="20"/>
      <w:szCs w:val="20"/>
    </w:rPr>
  </w:style>
  <w:style w:type="paragraph" w:styleId="CommentSubject">
    <w:name w:val="annotation subject"/>
    <w:basedOn w:val="CommentText"/>
    <w:next w:val="CommentText"/>
    <w:link w:val="CommentSubjectChar"/>
    <w:uiPriority w:val="99"/>
    <w:semiHidden/>
    <w:unhideWhenUsed/>
    <w:rsid w:val="008F45AA"/>
    <w:rPr>
      <w:b/>
      <w:bCs/>
    </w:rPr>
  </w:style>
  <w:style w:type="character" w:customStyle="1" w:styleId="CommentSubjectChar">
    <w:name w:val="Comment Subject Char"/>
    <w:basedOn w:val="CommentTextChar"/>
    <w:link w:val="CommentSubject"/>
    <w:uiPriority w:val="99"/>
    <w:semiHidden/>
    <w:rsid w:val="008F45AA"/>
    <w:rPr>
      <w:b/>
      <w:bCs/>
      <w:sz w:val="20"/>
      <w:szCs w:val="20"/>
    </w:rPr>
  </w:style>
  <w:style w:type="paragraph" w:styleId="BalloonText">
    <w:name w:val="Balloon Text"/>
    <w:basedOn w:val="Normal"/>
    <w:link w:val="BalloonTextChar"/>
    <w:uiPriority w:val="99"/>
    <w:semiHidden/>
    <w:unhideWhenUsed/>
    <w:rsid w:val="008F45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5AA"/>
    <w:rPr>
      <w:rFonts w:ascii="Segoe UI" w:hAnsi="Segoe UI" w:cs="Segoe UI"/>
      <w:sz w:val="18"/>
      <w:szCs w:val="18"/>
    </w:rPr>
  </w:style>
  <w:style w:type="character" w:styleId="LineNumber">
    <w:name w:val="line number"/>
    <w:basedOn w:val="DefaultParagraphFont"/>
    <w:uiPriority w:val="99"/>
    <w:semiHidden/>
    <w:unhideWhenUsed/>
    <w:rsid w:val="006D2809"/>
  </w:style>
  <w:style w:type="character" w:styleId="Emphasis">
    <w:name w:val="Emphasis"/>
    <w:basedOn w:val="DefaultParagraphFont"/>
    <w:uiPriority w:val="20"/>
    <w:qFormat/>
    <w:rsid w:val="004F7326"/>
    <w:rPr>
      <w:i/>
      <w:iCs/>
    </w:rPr>
  </w:style>
  <w:style w:type="paragraph" w:styleId="NormalWeb">
    <w:name w:val="Normal (Web)"/>
    <w:basedOn w:val="Normal"/>
    <w:uiPriority w:val="99"/>
    <w:semiHidden/>
    <w:unhideWhenUsed/>
    <w:rsid w:val="00101D9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101D92"/>
    <w:rPr>
      <w:b/>
      <w:bCs/>
    </w:rPr>
  </w:style>
  <w:style w:type="paragraph" w:styleId="Revision">
    <w:name w:val="Revision"/>
    <w:hidden/>
    <w:uiPriority w:val="99"/>
    <w:semiHidden/>
    <w:rsid w:val="00546993"/>
    <w:pPr>
      <w:spacing w:after="0" w:line="240" w:lineRule="auto"/>
    </w:pPr>
  </w:style>
  <w:style w:type="character" w:customStyle="1" w:styleId="UnresolvedMention1">
    <w:name w:val="Unresolved Mention1"/>
    <w:basedOn w:val="DefaultParagraphFont"/>
    <w:uiPriority w:val="99"/>
    <w:semiHidden/>
    <w:unhideWhenUsed/>
    <w:rsid w:val="008C5E30"/>
    <w:rPr>
      <w:color w:val="605E5C"/>
      <w:shd w:val="clear" w:color="auto" w:fill="E1DFDD"/>
    </w:rPr>
  </w:style>
  <w:style w:type="character" w:styleId="UnresolvedMention">
    <w:name w:val="Unresolved Mention"/>
    <w:basedOn w:val="DefaultParagraphFont"/>
    <w:uiPriority w:val="99"/>
    <w:semiHidden/>
    <w:unhideWhenUsed/>
    <w:rsid w:val="00525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51928">
      <w:bodyDiv w:val="1"/>
      <w:marLeft w:val="0"/>
      <w:marRight w:val="0"/>
      <w:marTop w:val="0"/>
      <w:marBottom w:val="0"/>
      <w:divBdr>
        <w:top w:val="none" w:sz="0" w:space="0" w:color="auto"/>
        <w:left w:val="none" w:sz="0" w:space="0" w:color="auto"/>
        <w:bottom w:val="none" w:sz="0" w:space="0" w:color="auto"/>
        <w:right w:val="none" w:sz="0" w:space="0" w:color="auto"/>
      </w:divBdr>
    </w:div>
    <w:div w:id="228536091">
      <w:bodyDiv w:val="1"/>
      <w:marLeft w:val="0"/>
      <w:marRight w:val="0"/>
      <w:marTop w:val="0"/>
      <w:marBottom w:val="0"/>
      <w:divBdr>
        <w:top w:val="none" w:sz="0" w:space="0" w:color="auto"/>
        <w:left w:val="none" w:sz="0" w:space="0" w:color="auto"/>
        <w:bottom w:val="none" w:sz="0" w:space="0" w:color="auto"/>
        <w:right w:val="none" w:sz="0" w:space="0" w:color="auto"/>
      </w:divBdr>
    </w:div>
    <w:div w:id="305359359">
      <w:bodyDiv w:val="1"/>
      <w:marLeft w:val="0"/>
      <w:marRight w:val="0"/>
      <w:marTop w:val="0"/>
      <w:marBottom w:val="0"/>
      <w:divBdr>
        <w:top w:val="none" w:sz="0" w:space="0" w:color="auto"/>
        <w:left w:val="none" w:sz="0" w:space="0" w:color="auto"/>
        <w:bottom w:val="none" w:sz="0" w:space="0" w:color="auto"/>
        <w:right w:val="none" w:sz="0" w:space="0" w:color="auto"/>
      </w:divBdr>
    </w:div>
    <w:div w:id="347678665">
      <w:bodyDiv w:val="1"/>
      <w:marLeft w:val="0"/>
      <w:marRight w:val="0"/>
      <w:marTop w:val="0"/>
      <w:marBottom w:val="0"/>
      <w:divBdr>
        <w:top w:val="none" w:sz="0" w:space="0" w:color="auto"/>
        <w:left w:val="none" w:sz="0" w:space="0" w:color="auto"/>
        <w:bottom w:val="none" w:sz="0" w:space="0" w:color="auto"/>
        <w:right w:val="none" w:sz="0" w:space="0" w:color="auto"/>
      </w:divBdr>
    </w:div>
    <w:div w:id="398484149">
      <w:bodyDiv w:val="1"/>
      <w:marLeft w:val="0"/>
      <w:marRight w:val="0"/>
      <w:marTop w:val="0"/>
      <w:marBottom w:val="0"/>
      <w:divBdr>
        <w:top w:val="none" w:sz="0" w:space="0" w:color="auto"/>
        <w:left w:val="none" w:sz="0" w:space="0" w:color="auto"/>
        <w:bottom w:val="none" w:sz="0" w:space="0" w:color="auto"/>
        <w:right w:val="none" w:sz="0" w:space="0" w:color="auto"/>
      </w:divBdr>
    </w:div>
    <w:div w:id="422411624">
      <w:bodyDiv w:val="1"/>
      <w:marLeft w:val="0"/>
      <w:marRight w:val="0"/>
      <w:marTop w:val="0"/>
      <w:marBottom w:val="0"/>
      <w:divBdr>
        <w:top w:val="none" w:sz="0" w:space="0" w:color="auto"/>
        <w:left w:val="none" w:sz="0" w:space="0" w:color="auto"/>
        <w:bottom w:val="none" w:sz="0" w:space="0" w:color="auto"/>
        <w:right w:val="none" w:sz="0" w:space="0" w:color="auto"/>
      </w:divBdr>
    </w:div>
    <w:div w:id="451483099">
      <w:bodyDiv w:val="1"/>
      <w:marLeft w:val="0"/>
      <w:marRight w:val="0"/>
      <w:marTop w:val="0"/>
      <w:marBottom w:val="0"/>
      <w:divBdr>
        <w:top w:val="none" w:sz="0" w:space="0" w:color="auto"/>
        <w:left w:val="none" w:sz="0" w:space="0" w:color="auto"/>
        <w:bottom w:val="none" w:sz="0" w:space="0" w:color="auto"/>
        <w:right w:val="none" w:sz="0" w:space="0" w:color="auto"/>
      </w:divBdr>
    </w:div>
    <w:div w:id="608123640">
      <w:bodyDiv w:val="1"/>
      <w:marLeft w:val="0"/>
      <w:marRight w:val="0"/>
      <w:marTop w:val="0"/>
      <w:marBottom w:val="0"/>
      <w:divBdr>
        <w:top w:val="none" w:sz="0" w:space="0" w:color="auto"/>
        <w:left w:val="none" w:sz="0" w:space="0" w:color="auto"/>
        <w:bottom w:val="none" w:sz="0" w:space="0" w:color="auto"/>
        <w:right w:val="none" w:sz="0" w:space="0" w:color="auto"/>
      </w:divBdr>
    </w:div>
    <w:div w:id="618418321">
      <w:bodyDiv w:val="1"/>
      <w:marLeft w:val="0"/>
      <w:marRight w:val="0"/>
      <w:marTop w:val="0"/>
      <w:marBottom w:val="0"/>
      <w:divBdr>
        <w:top w:val="none" w:sz="0" w:space="0" w:color="auto"/>
        <w:left w:val="none" w:sz="0" w:space="0" w:color="auto"/>
        <w:bottom w:val="none" w:sz="0" w:space="0" w:color="auto"/>
        <w:right w:val="none" w:sz="0" w:space="0" w:color="auto"/>
      </w:divBdr>
    </w:div>
    <w:div w:id="672688669">
      <w:bodyDiv w:val="1"/>
      <w:marLeft w:val="0"/>
      <w:marRight w:val="0"/>
      <w:marTop w:val="0"/>
      <w:marBottom w:val="0"/>
      <w:divBdr>
        <w:top w:val="none" w:sz="0" w:space="0" w:color="auto"/>
        <w:left w:val="none" w:sz="0" w:space="0" w:color="auto"/>
        <w:bottom w:val="none" w:sz="0" w:space="0" w:color="auto"/>
        <w:right w:val="none" w:sz="0" w:space="0" w:color="auto"/>
      </w:divBdr>
    </w:div>
    <w:div w:id="837311763">
      <w:bodyDiv w:val="1"/>
      <w:marLeft w:val="0"/>
      <w:marRight w:val="0"/>
      <w:marTop w:val="0"/>
      <w:marBottom w:val="0"/>
      <w:divBdr>
        <w:top w:val="none" w:sz="0" w:space="0" w:color="auto"/>
        <w:left w:val="none" w:sz="0" w:space="0" w:color="auto"/>
        <w:bottom w:val="none" w:sz="0" w:space="0" w:color="auto"/>
        <w:right w:val="none" w:sz="0" w:space="0" w:color="auto"/>
      </w:divBdr>
    </w:div>
    <w:div w:id="841967524">
      <w:bodyDiv w:val="1"/>
      <w:marLeft w:val="0"/>
      <w:marRight w:val="0"/>
      <w:marTop w:val="0"/>
      <w:marBottom w:val="0"/>
      <w:divBdr>
        <w:top w:val="none" w:sz="0" w:space="0" w:color="auto"/>
        <w:left w:val="none" w:sz="0" w:space="0" w:color="auto"/>
        <w:bottom w:val="none" w:sz="0" w:space="0" w:color="auto"/>
        <w:right w:val="none" w:sz="0" w:space="0" w:color="auto"/>
      </w:divBdr>
      <w:divsChild>
        <w:div w:id="485391483">
          <w:marLeft w:val="0"/>
          <w:marRight w:val="0"/>
          <w:marTop w:val="0"/>
          <w:marBottom w:val="0"/>
          <w:divBdr>
            <w:top w:val="none" w:sz="0" w:space="0" w:color="auto"/>
            <w:left w:val="none" w:sz="0" w:space="0" w:color="auto"/>
            <w:bottom w:val="none" w:sz="0" w:space="0" w:color="auto"/>
            <w:right w:val="none" w:sz="0" w:space="0" w:color="auto"/>
          </w:divBdr>
          <w:divsChild>
            <w:div w:id="305358796">
              <w:marLeft w:val="0"/>
              <w:marRight w:val="0"/>
              <w:marTop w:val="0"/>
              <w:marBottom w:val="0"/>
              <w:divBdr>
                <w:top w:val="none" w:sz="0" w:space="0" w:color="auto"/>
                <w:left w:val="none" w:sz="0" w:space="0" w:color="auto"/>
                <w:bottom w:val="none" w:sz="0" w:space="0" w:color="auto"/>
                <w:right w:val="none" w:sz="0" w:space="0" w:color="auto"/>
              </w:divBdr>
              <w:divsChild>
                <w:div w:id="26488155">
                  <w:marLeft w:val="0"/>
                  <w:marRight w:val="0"/>
                  <w:marTop w:val="0"/>
                  <w:marBottom w:val="0"/>
                  <w:divBdr>
                    <w:top w:val="none" w:sz="0" w:space="0" w:color="auto"/>
                    <w:left w:val="none" w:sz="0" w:space="0" w:color="auto"/>
                    <w:bottom w:val="none" w:sz="0" w:space="0" w:color="auto"/>
                    <w:right w:val="none" w:sz="0" w:space="0" w:color="auto"/>
                  </w:divBdr>
                  <w:divsChild>
                    <w:div w:id="891502733">
                      <w:marLeft w:val="0"/>
                      <w:marRight w:val="0"/>
                      <w:marTop w:val="0"/>
                      <w:marBottom w:val="0"/>
                      <w:divBdr>
                        <w:top w:val="none" w:sz="0" w:space="0" w:color="auto"/>
                        <w:left w:val="none" w:sz="0" w:space="0" w:color="auto"/>
                        <w:bottom w:val="none" w:sz="0" w:space="0" w:color="auto"/>
                        <w:right w:val="none" w:sz="0" w:space="0" w:color="auto"/>
                      </w:divBdr>
                      <w:divsChild>
                        <w:div w:id="932200133">
                          <w:marLeft w:val="0"/>
                          <w:marRight w:val="0"/>
                          <w:marTop w:val="0"/>
                          <w:marBottom w:val="0"/>
                          <w:divBdr>
                            <w:top w:val="none" w:sz="0" w:space="0" w:color="auto"/>
                            <w:left w:val="none" w:sz="0" w:space="0" w:color="auto"/>
                            <w:bottom w:val="none" w:sz="0" w:space="0" w:color="auto"/>
                            <w:right w:val="none" w:sz="0" w:space="0" w:color="auto"/>
                          </w:divBdr>
                          <w:divsChild>
                            <w:div w:id="2105303161">
                              <w:marLeft w:val="0"/>
                              <w:marRight w:val="0"/>
                              <w:marTop w:val="0"/>
                              <w:marBottom w:val="0"/>
                              <w:divBdr>
                                <w:top w:val="none" w:sz="0" w:space="0" w:color="auto"/>
                                <w:left w:val="none" w:sz="0" w:space="0" w:color="auto"/>
                                <w:bottom w:val="none" w:sz="0" w:space="0" w:color="auto"/>
                                <w:right w:val="none" w:sz="0" w:space="0" w:color="auto"/>
                              </w:divBdr>
                              <w:divsChild>
                                <w:div w:id="1042365140">
                                  <w:marLeft w:val="0"/>
                                  <w:marRight w:val="0"/>
                                  <w:marTop w:val="0"/>
                                  <w:marBottom w:val="0"/>
                                  <w:divBdr>
                                    <w:top w:val="none" w:sz="0" w:space="0" w:color="auto"/>
                                    <w:left w:val="none" w:sz="0" w:space="0" w:color="auto"/>
                                    <w:bottom w:val="none" w:sz="0" w:space="0" w:color="auto"/>
                                    <w:right w:val="none" w:sz="0" w:space="0" w:color="auto"/>
                                  </w:divBdr>
                                  <w:divsChild>
                                    <w:div w:id="587157548">
                                      <w:marLeft w:val="0"/>
                                      <w:marRight w:val="0"/>
                                      <w:marTop w:val="0"/>
                                      <w:marBottom w:val="0"/>
                                      <w:divBdr>
                                        <w:top w:val="none" w:sz="0" w:space="0" w:color="auto"/>
                                        <w:left w:val="none" w:sz="0" w:space="0" w:color="auto"/>
                                        <w:bottom w:val="none" w:sz="0" w:space="0" w:color="auto"/>
                                        <w:right w:val="none" w:sz="0" w:space="0" w:color="auto"/>
                                      </w:divBdr>
                                      <w:divsChild>
                                        <w:div w:id="21154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142620">
      <w:bodyDiv w:val="1"/>
      <w:marLeft w:val="0"/>
      <w:marRight w:val="0"/>
      <w:marTop w:val="0"/>
      <w:marBottom w:val="0"/>
      <w:divBdr>
        <w:top w:val="none" w:sz="0" w:space="0" w:color="auto"/>
        <w:left w:val="none" w:sz="0" w:space="0" w:color="auto"/>
        <w:bottom w:val="none" w:sz="0" w:space="0" w:color="auto"/>
        <w:right w:val="none" w:sz="0" w:space="0" w:color="auto"/>
      </w:divBdr>
    </w:div>
    <w:div w:id="941180166">
      <w:bodyDiv w:val="1"/>
      <w:marLeft w:val="0"/>
      <w:marRight w:val="0"/>
      <w:marTop w:val="0"/>
      <w:marBottom w:val="0"/>
      <w:divBdr>
        <w:top w:val="none" w:sz="0" w:space="0" w:color="auto"/>
        <w:left w:val="none" w:sz="0" w:space="0" w:color="auto"/>
        <w:bottom w:val="none" w:sz="0" w:space="0" w:color="auto"/>
        <w:right w:val="none" w:sz="0" w:space="0" w:color="auto"/>
      </w:divBdr>
    </w:div>
    <w:div w:id="985744331">
      <w:bodyDiv w:val="1"/>
      <w:marLeft w:val="0"/>
      <w:marRight w:val="0"/>
      <w:marTop w:val="0"/>
      <w:marBottom w:val="0"/>
      <w:divBdr>
        <w:top w:val="none" w:sz="0" w:space="0" w:color="auto"/>
        <w:left w:val="none" w:sz="0" w:space="0" w:color="auto"/>
        <w:bottom w:val="none" w:sz="0" w:space="0" w:color="auto"/>
        <w:right w:val="none" w:sz="0" w:space="0" w:color="auto"/>
      </w:divBdr>
      <w:divsChild>
        <w:div w:id="2080208679">
          <w:marLeft w:val="0"/>
          <w:marRight w:val="0"/>
          <w:marTop w:val="0"/>
          <w:marBottom w:val="0"/>
          <w:divBdr>
            <w:top w:val="none" w:sz="0" w:space="0" w:color="auto"/>
            <w:left w:val="none" w:sz="0" w:space="0" w:color="auto"/>
            <w:bottom w:val="none" w:sz="0" w:space="0" w:color="auto"/>
            <w:right w:val="none" w:sz="0" w:space="0" w:color="auto"/>
          </w:divBdr>
        </w:div>
        <w:div w:id="1160076627">
          <w:marLeft w:val="0"/>
          <w:marRight w:val="0"/>
          <w:marTop w:val="0"/>
          <w:marBottom w:val="0"/>
          <w:divBdr>
            <w:top w:val="none" w:sz="0" w:space="0" w:color="auto"/>
            <w:left w:val="none" w:sz="0" w:space="0" w:color="auto"/>
            <w:bottom w:val="none" w:sz="0" w:space="0" w:color="auto"/>
            <w:right w:val="none" w:sz="0" w:space="0" w:color="auto"/>
          </w:divBdr>
        </w:div>
        <w:div w:id="1280451940">
          <w:marLeft w:val="0"/>
          <w:marRight w:val="0"/>
          <w:marTop w:val="0"/>
          <w:marBottom w:val="0"/>
          <w:divBdr>
            <w:top w:val="none" w:sz="0" w:space="0" w:color="auto"/>
            <w:left w:val="none" w:sz="0" w:space="0" w:color="auto"/>
            <w:bottom w:val="none" w:sz="0" w:space="0" w:color="auto"/>
            <w:right w:val="none" w:sz="0" w:space="0" w:color="auto"/>
          </w:divBdr>
        </w:div>
        <w:div w:id="77485350">
          <w:marLeft w:val="0"/>
          <w:marRight w:val="0"/>
          <w:marTop w:val="0"/>
          <w:marBottom w:val="0"/>
          <w:divBdr>
            <w:top w:val="none" w:sz="0" w:space="0" w:color="auto"/>
            <w:left w:val="none" w:sz="0" w:space="0" w:color="auto"/>
            <w:bottom w:val="none" w:sz="0" w:space="0" w:color="auto"/>
            <w:right w:val="none" w:sz="0" w:space="0" w:color="auto"/>
          </w:divBdr>
        </w:div>
        <w:div w:id="936710790">
          <w:marLeft w:val="0"/>
          <w:marRight w:val="0"/>
          <w:marTop w:val="0"/>
          <w:marBottom w:val="0"/>
          <w:divBdr>
            <w:top w:val="none" w:sz="0" w:space="0" w:color="auto"/>
            <w:left w:val="none" w:sz="0" w:space="0" w:color="auto"/>
            <w:bottom w:val="none" w:sz="0" w:space="0" w:color="auto"/>
            <w:right w:val="none" w:sz="0" w:space="0" w:color="auto"/>
          </w:divBdr>
        </w:div>
      </w:divsChild>
    </w:div>
    <w:div w:id="1190871802">
      <w:bodyDiv w:val="1"/>
      <w:marLeft w:val="0"/>
      <w:marRight w:val="0"/>
      <w:marTop w:val="0"/>
      <w:marBottom w:val="0"/>
      <w:divBdr>
        <w:top w:val="none" w:sz="0" w:space="0" w:color="auto"/>
        <w:left w:val="none" w:sz="0" w:space="0" w:color="auto"/>
        <w:bottom w:val="none" w:sz="0" w:space="0" w:color="auto"/>
        <w:right w:val="none" w:sz="0" w:space="0" w:color="auto"/>
      </w:divBdr>
    </w:div>
    <w:div w:id="1329671698">
      <w:bodyDiv w:val="1"/>
      <w:marLeft w:val="0"/>
      <w:marRight w:val="0"/>
      <w:marTop w:val="0"/>
      <w:marBottom w:val="0"/>
      <w:divBdr>
        <w:top w:val="none" w:sz="0" w:space="0" w:color="auto"/>
        <w:left w:val="none" w:sz="0" w:space="0" w:color="auto"/>
        <w:bottom w:val="none" w:sz="0" w:space="0" w:color="auto"/>
        <w:right w:val="none" w:sz="0" w:space="0" w:color="auto"/>
      </w:divBdr>
    </w:div>
    <w:div w:id="1348022731">
      <w:bodyDiv w:val="1"/>
      <w:marLeft w:val="0"/>
      <w:marRight w:val="0"/>
      <w:marTop w:val="0"/>
      <w:marBottom w:val="0"/>
      <w:divBdr>
        <w:top w:val="none" w:sz="0" w:space="0" w:color="auto"/>
        <w:left w:val="none" w:sz="0" w:space="0" w:color="auto"/>
        <w:bottom w:val="none" w:sz="0" w:space="0" w:color="auto"/>
        <w:right w:val="none" w:sz="0" w:space="0" w:color="auto"/>
      </w:divBdr>
    </w:div>
    <w:div w:id="1717240207">
      <w:bodyDiv w:val="1"/>
      <w:marLeft w:val="0"/>
      <w:marRight w:val="0"/>
      <w:marTop w:val="0"/>
      <w:marBottom w:val="0"/>
      <w:divBdr>
        <w:top w:val="none" w:sz="0" w:space="0" w:color="auto"/>
        <w:left w:val="none" w:sz="0" w:space="0" w:color="auto"/>
        <w:bottom w:val="none" w:sz="0" w:space="0" w:color="auto"/>
        <w:right w:val="none" w:sz="0" w:space="0" w:color="auto"/>
      </w:divBdr>
    </w:div>
    <w:div w:id="1748264529">
      <w:bodyDiv w:val="1"/>
      <w:marLeft w:val="0"/>
      <w:marRight w:val="0"/>
      <w:marTop w:val="0"/>
      <w:marBottom w:val="0"/>
      <w:divBdr>
        <w:top w:val="none" w:sz="0" w:space="0" w:color="auto"/>
        <w:left w:val="none" w:sz="0" w:space="0" w:color="auto"/>
        <w:bottom w:val="none" w:sz="0" w:space="0" w:color="auto"/>
        <w:right w:val="none" w:sz="0" w:space="0" w:color="auto"/>
      </w:divBdr>
    </w:div>
    <w:div w:id="1777948168">
      <w:bodyDiv w:val="1"/>
      <w:marLeft w:val="0"/>
      <w:marRight w:val="0"/>
      <w:marTop w:val="0"/>
      <w:marBottom w:val="0"/>
      <w:divBdr>
        <w:top w:val="none" w:sz="0" w:space="0" w:color="auto"/>
        <w:left w:val="none" w:sz="0" w:space="0" w:color="auto"/>
        <w:bottom w:val="none" w:sz="0" w:space="0" w:color="auto"/>
        <w:right w:val="none" w:sz="0" w:space="0" w:color="auto"/>
      </w:divBdr>
    </w:div>
    <w:div w:id="1851140534">
      <w:bodyDiv w:val="1"/>
      <w:marLeft w:val="0"/>
      <w:marRight w:val="0"/>
      <w:marTop w:val="0"/>
      <w:marBottom w:val="0"/>
      <w:divBdr>
        <w:top w:val="none" w:sz="0" w:space="0" w:color="auto"/>
        <w:left w:val="none" w:sz="0" w:space="0" w:color="auto"/>
        <w:bottom w:val="none" w:sz="0" w:space="0" w:color="auto"/>
        <w:right w:val="none" w:sz="0" w:space="0" w:color="auto"/>
      </w:divBdr>
    </w:div>
    <w:div w:id="1868060474">
      <w:bodyDiv w:val="1"/>
      <w:marLeft w:val="0"/>
      <w:marRight w:val="0"/>
      <w:marTop w:val="0"/>
      <w:marBottom w:val="0"/>
      <w:divBdr>
        <w:top w:val="none" w:sz="0" w:space="0" w:color="auto"/>
        <w:left w:val="none" w:sz="0" w:space="0" w:color="auto"/>
        <w:bottom w:val="none" w:sz="0" w:space="0" w:color="auto"/>
        <w:right w:val="none" w:sz="0" w:space="0" w:color="auto"/>
      </w:divBdr>
    </w:div>
    <w:div w:id="1956017588">
      <w:bodyDiv w:val="1"/>
      <w:marLeft w:val="0"/>
      <w:marRight w:val="0"/>
      <w:marTop w:val="0"/>
      <w:marBottom w:val="0"/>
      <w:divBdr>
        <w:top w:val="none" w:sz="0" w:space="0" w:color="auto"/>
        <w:left w:val="none" w:sz="0" w:space="0" w:color="auto"/>
        <w:bottom w:val="none" w:sz="0" w:space="0" w:color="auto"/>
        <w:right w:val="none" w:sz="0" w:space="0" w:color="auto"/>
      </w:divBdr>
    </w:div>
    <w:div w:id="209335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B3C28-C84D-457D-87D8-8AA3FAE0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3120</Words>
  <Characters>17789</Characters>
  <Application>Microsoft Office Word</Application>
  <DocSecurity>0</DocSecurity>
  <Lines>148</Lines>
  <Paragraphs>41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한석 유</cp:lastModifiedBy>
  <cp:revision>2</cp:revision>
  <cp:lastPrinted>2019-07-02T02:27:00Z</cp:lastPrinted>
  <dcterms:created xsi:type="dcterms:W3CDTF">2020-10-12T02:46:00Z</dcterms:created>
  <dcterms:modified xsi:type="dcterms:W3CDTF">2020-10-12T02:46:00Z</dcterms:modified>
</cp:coreProperties>
</file>