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907" w:rsidRDefault="00971B40" w:rsidP="00971B40">
      <w:pPr>
        <w:pStyle w:val="NoSpacing"/>
        <w:rPr>
          <w:rFonts w:ascii="Arial" w:hAnsi="Arial" w:cs="Arial"/>
          <w:sz w:val="20"/>
          <w:szCs w:val="20"/>
        </w:rPr>
      </w:pPr>
      <w:r w:rsidRPr="00605F15">
        <w:rPr>
          <w:rFonts w:ascii="Arial" w:hAnsi="Arial" w:cs="Arial"/>
          <w:b/>
          <w:sz w:val="20"/>
          <w:szCs w:val="20"/>
        </w:rPr>
        <w:t>Figure S</w:t>
      </w:r>
      <w:r>
        <w:rPr>
          <w:rFonts w:ascii="Arial" w:hAnsi="Arial" w:cs="Arial"/>
          <w:b/>
          <w:sz w:val="20"/>
          <w:szCs w:val="20"/>
        </w:rPr>
        <w:t>4</w:t>
      </w:r>
      <w:r w:rsidRPr="00710C5E">
        <w:rPr>
          <w:rFonts w:ascii="Arial" w:hAnsi="Arial" w:cs="Arial"/>
          <w:b/>
          <w:sz w:val="20"/>
          <w:szCs w:val="20"/>
        </w:rPr>
        <w:t>.</w:t>
      </w:r>
      <w:r w:rsidRPr="00710C5E">
        <w:rPr>
          <w:rFonts w:ascii="Arial" w:hAnsi="Arial" w:cs="Arial"/>
          <w:sz w:val="20"/>
          <w:szCs w:val="20"/>
        </w:rPr>
        <w:t xml:space="preserve"> Distributions of grade and Ki67 by IHC subtype in patients diagnosed 2011-2015.</w:t>
      </w:r>
    </w:p>
    <w:p w:rsidR="00971B40" w:rsidRPr="00971B40" w:rsidRDefault="00971B40" w:rsidP="00971B40">
      <w:pPr>
        <w:pStyle w:val="NoSpacing"/>
        <w:rPr>
          <w:rFonts w:ascii="Arial" w:hAnsi="Arial" w:cs="Arial"/>
          <w:sz w:val="20"/>
          <w:szCs w:val="20"/>
        </w:rPr>
      </w:pPr>
    </w:p>
    <w:p w:rsidR="00971B40" w:rsidRDefault="00971B40" w:rsidP="00971B40">
      <w:pPr>
        <w:pStyle w:val="NoSpacing"/>
      </w:pPr>
      <w:r w:rsidRPr="00971B40">
        <w:rPr>
          <w:noProof/>
          <w:lang w:val="en-US"/>
        </w:rPr>
        <w:drawing>
          <wp:inline distT="0" distB="0" distL="0" distR="0">
            <wp:extent cx="5972810" cy="7466013"/>
            <wp:effectExtent l="0" t="0" r="889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46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B40" w:rsidRDefault="00971B40" w:rsidP="00971B40">
      <w:pPr>
        <w:pStyle w:val="NoSpacing"/>
        <w:rPr>
          <w:rFonts w:ascii="Arial" w:hAnsi="Arial" w:cs="Arial"/>
          <w:sz w:val="20"/>
          <w:szCs w:val="20"/>
        </w:rPr>
      </w:pPr>
      <w:r w:rsidRPr="00710C5E">
        <w:rPr>
          <w:rFonts w:ascii="Arial" w:hAnsi="Arial" w:cs="Arial"/>
          <w:sz w:val="20"/>
          <w:szCs w:val="20"/>
        </w:rPr>
        <w:t>Based on data 2011-2015 (all panels</w:t>
      </w:r>
      <w:r>
        <w:rPr>
          <w:rFonts w:ascii="Arial" w:hAnsi="Arial" w:cs="Arial"/>
          <w:sz w:val="20"/>
          <w:szCs w:val="20"/>
        </w:rPr>
        <w:t>)</w:t>
      </w:r>
      <w:r w:rsidRPr="00710C5E">
        <w:rPr>
          <w:rFonts w:ascii="Arial" w:hAnsi="Arial" w:cs="Arial"/>
          <w:sz w:val="20"/>
          <w:szCs w:val="20"/>
        </w:rPr>
        <w:t xml:space="preserve">.  </w:t>
      </w:r>
    </w:p>
    <w:p w:rsidR="00971B40" w:rsidRDefault="00971B40" w:rsidP="00971B40">
      <w:pPr>
        <w:pStyle w:val="NoSpacing"/>
        <w:rPr>
          <w:rFonts w:ascii="Arial" w:hAnsi="Arial" w:cs="Arial"/>
          <w:sz w:val="20"/>
          <w:szCs w:val="20"/>
        </w:rPr>
      </w:pPr>
      <w:r w:rsidRPr="00710C5E">
        <w:rPr>
          <w:rFonts w:ascii="Arial" w:hAnsi="Arial" w:cs="Arial"/>
          <w:sz w:val="20"/>
          <w:szCs w:val="20"/>
        </w:rPr>
        <w:t>Not available (N/A) if &lt;</w:t>
      </w:r>
      <w:r>
        <w:rPr>
          <w:rFonts w:ascii="Arial" w:hAnsi="Arial" w:cs="Arial"/>
          <w:sz w:val="20"/>
          <w:szCs w:val="20"/>
        </w:rPr>
        <w:t>10</w:t>
      </w:r>
      <w:r w:rsidRPr="00710C5E">
        <w:rPr>
          <w:rFonts w:ascii="Arial" w:hAnsi="Arial" w:cs="Arial"/>
          <w:sz w:val="20"/>
          <w:szCs w:val="20"/>
        </w:rPr>
        <w:t xml:space="preserve"> observations.</w:t>
      </w:r>
    </w:p>
    <w:p w:rsidR="00971B40" w:rsidRDefault="00971B40" w:rsidP="00971B40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P-values from Pearson Chi Square test of similar distributions across IHC subtypes (within each panel).</w:t>
      </w:r>
    </w:p>
    <w:p w:rsidR="00200F33" w:rsidRPr="00820A04" w:rsidRDefault="00200F33" w:rsidP="00200F33">
      <w:pPr>
        <w:pStyle w:val="NoSpacing"/>
        <w:rPr>
          <w:rFonts w:ascii="Arial" w:hAnsi="Arial" w:cs="Arial"/>
          <w:b/>
          <w:sz w:val="20"/>
          <w:szCs w:val="20"/>
        </w:rPr>
      </w:pPr>
      <w:r w:rsidRPr="00820A04">
        <w:rPr>
          <w:rFonts w:ascii="Arial" w:hAnsi="Arial" w:cs="Arial"/>
          <w:b/>
          <w:sz w:val="20"/>
          <w:szCs w:val="20"/>
        </w:rPr>
        <w:lastRenderedPageBreak/>
        <w:t>COMMENT ON RESULTS:</w:t>
      </w:r>
    </w:p>
    <w:p w:rsidR="00200F33" w:rsidRPr="00820A04" w:rsidRDefault="00200F33" w:rsidP="00200F33">
      <w:pPr>
        <w:pStyle w:val="NoSpacing"/>
        <w:rPr>
          <w:rFonts w:ascii="Arial" w:hAnsi="Arial" w:cs="Arial"/>
          <w:sz w:val="20"/>
          <w:szCs w:val="20"/>
        </w:rPr>
      </w:pPr>
    </w:p>
    <w:p w:rsidR="00200F33" w:rsidRPr="00820A04" w:rsidRDefault="00200F33" w:rsidP="00200F33">
      <w:pPr>
        <w:pStyle w:val="NoSpacing"/>
        <w:rPr>
          <w:rFonts w:ascii="Arial" w:hAnsi="Arial" w:cs="Arial"/>
          <w:sz w:val="20"/>
          <w:szCs w:val="20"/>
        </w:rPr>
      </w:pPr>
      <w:r w:rsidRPr="00820A04">
        <w:rPr>
          <w:rFonts w:ascii="Arial" w:hAnsi="Arial" w:cs="Arial"/>
          <w:sz w:val="20"/>
          <w:szCs w:val="20"/>
        </w:rPr>
        <w:t>ER+HER2</w:t>
      </w:r>
      <w:r w:rsidRPr="00820A04">
        <w:rPr>
          <w:rFonts w:ascii="Arial" w:hAnsi="Arial" w:cs="Arial"/>
          <w:sz w:val="20"/>
          <w:szCs w:val="20"/>
          <w:lang w:val="nb-NO"/>
        </w:rPr>
        <w:t>– tumours were mostly grade I and II, and of varying Ki67, while HER2 positive and TNBC were mainly grade III (75% and 84%, respectively) and high Ki67 expression (Figure 1). ER+HER2+ tumours were in between.</w:t>
      </w:r>
      <w:r w:rsidRPr="00820A04">
        <w:rPr>
          <w:rFonts w:ascii="Arial" w:hAnsi="Arial" w:cs="Arial"/>
          <w:sz w:val="20"/>
          <w:szCs w:val="20"/>
        </w:rPr>
        <w:t xml:space="preserve"> </w:t>
      </w:r>
      <w:r w:rsidRPr="00820A04">
        <w:rPr>
          <w:rFonts w:ascii="Arial" w:hAnsi="Arial" w:cs="Arial"/>
          <w:sz w:val="20"/>
          <w:szCs w:val="20"/>
          <w:lang w:val="en-US"/>
        </w:rPr>
        <w:t>More than 96% of grade I tumours were ER+HER2–, and PR– was associated with higher grade and Ki67 compared to PR+ among ER</w:t>
      </w:r>
      <w:r w:rsidR="002A124D">
        <w:rPr>
          <w:rFonts w:ascii="Arial" w:hAnsi="Arial" w:cs="Arial"/>
          <w:sz w:val="20"/>
          <w:szCs w:val="20"/>
          <w:lang w:val="en-US"/>
        </w:rPr>
        <w:t xml:space="preserve">+ tumours (p&lt;0.01, Supplementary </w:t>
      </w:r>
      <w:bookmarkStart w:id="0" w:name="_GoBack"/>
      <w:bookmarkEnd w:id="0"/>
      <w:r w:rsidRPr="00820A04">
        <w:rPr>
          <w:rFonts w:ascii="Arial" w:hAnsi="Arial" w:cs="Arial"/>
          <w:sz w:val="20"/>
          <w:szCs w:val="20"/>
          <w:lang w:val="en-US"/>
        </w:rPr>
        <w:t xml:space="preserve">Table 1). </w:t>
      </w:r>
    </w:p>
    <w:p w:rsidR="00200F33" w:rsidRPr="00820A04" w:rsidRDefault="00200F33" w:rsidP="00200F33">
      <w:pPr>
        <w:pStyle w:val="NoSpacing"/>
        <w:rPr>
          <w:rFonts w:ascii="Arial" w:hAnsi="Arial" w:cs="Arial"/>
          <w:sz w:val="20"/>
          <w:szCs w:val="20"/>
          <w:lang w:val="en-US"/>
        </w:rPr>
      </w:pPr>
      <w:r w:rsidRPr="00820A04">
        <w:rPr>
          <w:rFonts w:ascii="Arial" w:hAnsi="Arial" w:cs="Arial"/>
          <w:sz w:val="20"/>
          <w:szCs w:val="20"/>
          <w:lang w:val="en-US"/>
        </w:rPr>
        <w:t>Stratifying on grade, Ki67 did not provide discriminatory information for ER+HER2– subtypes of grade II, while among ER+HER2+ subtypes medium and high Ki67 was significantly more common and similar to ER– tumours. Although rare, ER+PR–HER2+ tumours of grade I had significantly higher Ki67 expression levels (p&lt;0.001) compared to ER+PR+HER2+ of grade I. Among grade III tumours, high Ki67 was present among all subtypes, but somewhat less among ER+ tumours.</w:t>
      </w:r>
    </w:p>
    <w:p w:rsidR="00200F33" w:rsidRDefault="00200F33" w:rsidP="00200F33">
      <w:pPr>
        <w:rPr>
          <w:rFonts w:ascii="Arial" w:hAnsi="Arial" w:cs="Arial"/>
          <w:b/>
          <w:sz w:val="20"/>
          <w:szCs w:val="20"/>
        </w:rPr>
      </w:pPr>
    </w:p>
    <w:p w:rsidR="00200F33" w:rsidRPr="00971B40" w:rsidRDefault="00200F33" w:rsidP="00971B40">
      <w:pPr>
        <w:pStyle w:val="NoSpacing"/>
        <w:rPr>
          <w:rFonts w:ascii="Arial" w:hAnsi="Arial" w:cs="Arial"/>
          <w:sz w:val="20"/>
          <w:szCs w:val="20"/>
          <w:lang w:val="en-US"/>
        </w:rPr>
      </w:pPr>
    </w:p>
    <w:sectPr w:rsidR="00200F33" w:rsidRPr="00971B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B40"/>
    <w:rsid w:val="00200F33"/>
    <w:rsid w:val="002A124D"/>
    <w:rsid w:val="00486907"/>
    <w:rsid w:val="0097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2081E"/>
  <w15:chartTrackingRefBased/>
  <w15:docId w15:val="{B54200BE-14E2-4879-84D3-C719F639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1B40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170</Words>
  <Characters>972</Characters>
  <Application>Microsoft Office Word</Application>
  <DocSecurity>0</DocSecurity>
  <Lines>8</Lines>
  <Paragraphs>2</Paragraphs>
  <ScaleCrop>false</ScaleCrop>
  <Company>MEB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3</cp:revision>
  <dcterms:created xsi:type="dcterms:W3CDTF">2020-03-18T13:09:00Z</dcterms:created>
  <dcterms:modified xsi:type="dcterms:W3CDTF">2020-03-18T13:19:00Z</dcterms:modified>
</cp:coreProperties>
</file>