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DFE" w:rsidRDefault="00F80DFE" w:rsidP="00F80DFE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Figure S7</w:t>
      </w:r>
      <w:r w:rsidRPr="001918BE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Distributions of </w:t>
      </w:r>
      <w:proofErr w:type="spellStart"/>
      <w:r>
        <w:rPr>
          <w:rFonts w:ascii="Arial" w:hAnsi="Arial" w:cs="Arial"/>
          <w:sz w:val="20"/>
          <w:szCs w:val="20"/>
        </w:rPr>
        <w:t>pT</w:t>
      </w:r>
      <w:r w:rsidRPr="001918BE">
        <w:rPr>
          <w:rFonts w:ascii="Arial" w:hAnsi="Arial" w:cs="Arial"/>
          <w:sz w:val="20"/>
          <w:szCs w:val="20"/>
        </w:rPr>
        <w:t>N</w:t>
      </w:r>
      <w:proofErr w:type="spellEnd"/>
      <w:r>
        <w:rPr>
          <w:rFonts w:ascii="Arial" w:hAnsi="Arial" w:cs="Arial"/>
          <w:sz w:val="20"/>
          <w:szCs w:val="20"/>
        </w:rPr>
        <w:t xml:space="preserve"> status by IHC subtype</w:t>
      </w:r>
      <w:r w:rsidRPr="001918BE">
        <w:rPr>
          <w:rFonts w:ascii="Arial" w:hAnsi="Arial" w:cs="Arial"/>
          <w:sz w:val="20"/>
          <w:szCs w:val="20"/>
        </w:rPr>
        <w:t xml:space="preserve"> and grade. </w:t>
      </w:r>
      <w:r w:rsidRPr="001B3970">
        <w:rPr>
          <w:rFonts w:ascii="Arial" w:hAnsi="Arial" w:cs="Arial"/>
          <w:sz w:val="20"/>
          <w:szCs w:val="20"/>
        </w:rPr>
        <w:t>Restricted to M0.</w:t>
      </w:r>
    </w:p>
    <w:p w:rsidR="00F80DFE" w:rsidRDefault="00F80DFE" w:rsidP="00F80DFE">
      <w:pPr>
        <w:pStyle w:val="NoSpacing"/>
        <w:rPr>
          <w:rFonts w:ascii="Arial" w:hAnsi="Arial" w:cs="Arial"/>
          <w:sz w:val="20"/>
          <w:szCs w:val="20"/>
        </w:rPr>
      </w:pPr>
      <w:r w:rsidRPr="001918BE">
        <w:rPr>
          <w:rFonts w:ascii="Arial" w:hAnsi="Arial" w:cs="Arial"/>
          <w:sz w:val="20"/>
          <w:szCs w:val="20"/>
        </w:rPr>
        <w:t xml:space="preserve"> </w:t>
      </w:r>
    </w:p>
    <w:p w:rsidR="0023560B" w:rsidRPr="001918BE" w:rsidRDefault="0023560B" w:rsidP="00F80DFE">
      <w:pPr>
        <w:pStyle w:val="NoSpacing"/>
        <w:rPr>
          <w:rFonts w:ascii="Arial" w:hAnsi="Arial" w:cs="Arial"/>
          <w:sz w:val="20"/>
          <w:szCs w:val="20"/>
        </w:rPr>
      </w:pPr>
      <w:r w:rsidRPr="0023560B"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>
            <wp:extent cx="5972810" cy="7466013"/>
            <wp:effectExtent l="0" t="0" r="889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46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DB" w:rsidRDefault="005A6CDB" w:rsidP="005A6CDB">
      <w:pPr>
        <w:pStyle w:val="NoSpacing"/>
        <w:rPr>
          <w:rFonts w:ascii="Arial" w:hAnsi="Arial" w:cs="Arial"/>
          <w:sz w:val="20"/>
          <w:szCs w:val="20"/>
        </w:rPr>
      </w:pPr>
      <w:r w:rsidRPr="00705D0A">
        <w:rPr>
          <w:rFonts w:ascii="Arial" w:hAnsi="Arial" w:cs="Arial"/>
          <w:sz w:val="20"/>
          <w:szCs w:val="20"/>
        </w:rPr>
        <w:t xml:space="preserve">P-values from </w:t>
      </w:r>
      <w:r>
        <w:rPr>
          <w:rFonts w:ascii="Arial" w:hAnsi="Arial" w:cs="Arial"/>
          <w:sz w:val="20"/>
          <w:szCs w:val="20"/>
        </w:rPr>
        <w:t xml:space="preserve">Pearson Chi Square </w:t>
      </w:r>
      <w:r w:rsidRPr="00705D0A">
        <w:rPr>
          <w:rFonts w:ascii="Arial" w:hAnsi="Arial" w:cs="Arial"/>
          <w:sz w:val="20"/>
          <w:szCs w:val="20"/>
        </w:rPr>
        <w:t>test of similar distributions across IHC subtypes (</w:t>
      </w:r>
      <w:r>
        <w:rPr>
          <w:rFonts w:ascii="Arial" w:hAnsi="Arial" w:cs="Arial"/>
          <w:sz w:val="20"/>
          <w:szCs w:val="20"/>
        </w:rPr>
        <w:t>with</w:t>
      </w:r>
      <w:r w:rsidRPr="00705D0A">
        <w:rPr>
          <w:rFonts w:ascii="Arial" w:hAnsi="Arial" w:cs="Arial"/>
          <w:sz w:val="20"/>
          <w:szCs w:val="20"/>
        </w:rPr>
        <w:t>in each panel).</w:t>
      </w:r>
    </w:p>
    <w:p w:rsidR="005A6CDB" w:rsidRDefault="005A6CDB" w:rsidP="005A6CDB">
      <w:pPr>
        <w:pStyle w:val="NoSpacing"/>
        <w:rPr>
          <w:rFonts w:ascii="Arial" w:hAnsi="Arial" w:cs="Arial"/>
          <w:sz w:val="20"/>
          <w:szCs w:val="20"/>
        </w:rPr>
      </w:pPr>
    </w:p>
    <w:p w:rsidR="005A6CDB" w:rsidRPr="001E4ADD" w:rsidRDefault="005A6CDB" w:rsidP="005A6CDB">
      <w:pPr>
        <w:pStyle w:val="NoSpacing"/>
        <w:spacing w:line="480" w:lineRule="auto"/>
        <w:rPr>
          <w:rFonts w:ascii="Arial" w:hAnsi="Arial" w:cs="Arial"/>
          <w:sz w:val="20"/>
          <w:szCs w:val="20"/>
        </w:rPr>
      </w:pPr>
    </w:p>
    <w:p w:rsidR="005A6CDB" w:rsidRPr="001E4ADD" w:rsidRDefault="005A6CDB" w:rsidP="005A6CDB">
      <w:pPr>
        <w:pStyle w:val="NoSpacing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1E4ADD">
        <w:rPr>
          <w:rFonts w:ascii="Arial" w:hAnsi="Arial" w:cs="Arial"/>
          <w:b/>
          <w:sz w:val="20"/>
          <w:szCs w:val="20"/>
        </w:rPr>
        <w:lastRenderedPageBreak/>
        <w:t>COMMENTS ON RESULTS:</w:t>
      </w:r>
    </w:p>
    <w:p w:rsidR="005A6CDB" w:rsidRPr="001E4ADD" w:rsidRDefault="005A6CDB" w:rsidP="005A6CDB">
      <w:pPr>
        <w:pStyle w:val="NoSpacing"/>
        <w:rPr>
          <w:rFonts w:ascii="Arial" w:hAnsi="Arial" w:cs="Arial"/>
          <w:sz w:val="20"/>
          <w:szCs w:val="20"/>
        </w:rPr>
      </w:pPr>
    </w:p>
    <w:p w:rsidR="005A6CDB" w:rsidRPr="001E4ADD" w:rsidRDefault="005A6CDB" w:rsidP="005A6CDB">
      <w:pPr>
        <w:pStyle w:val="NoSpacing"/>
        <w:rPr>
          <w:rFonts w:ascii="Arial" w:hAnsi="Arial" w:cs="Arial"/>
          <w:sz w:val="20"/>
          <w:szCs w:val="20"/>
        </w:rPr>
      </w:pPr>
      <w:r w:rsidRPr="001E4ADD">
        <w:rPr>
          <w:rFonts w:ascii="Arial" w:hAnsi="Arial" w:cs="Arial"/>
          <w:sz w:val="20"/>
          <w:szCs w:val="20"/>
        </w:rPr>
        <w:t>Among patients with non-metastatic disease, 57% of ER+PR+HER2</w:t>
      </w:r>
      <w:proofErr w:type="gramStart"/>
      <w:r w:rsidRPr="001E4ADD">
        <w:rPr>
          <w:rFonts w:ascii="Arial" w:hAnsi="Arial" w:cs="Arial"/>
          <w:sz w:val="20"/>
          <w:szCs w:val="20"/>
        </w:rPr>
        <w:t>–  and</w:t>
      </w:r>
      <w:proofErr w:type="gramEnd"/>
      <w:r w:rsidRPr="001E4ADD">
        <w:rPr>
          <w:rFonts w:ascii="Arial" w:hAnsi="Arial" w:cs="Arial"/>
          <w:sz w:val="20"/>
          <w:szCs w:val="20"/>
        </w:rPr>
        <w:t xml:space="preserve"> 54% of ER+PR–HER2– tumours were smaller than 20 mm and had no nodal spread (pT1pN0) while the proportions ranged from 35% to 45% for the other subtypes. ER+HER2+ and HER2 positive subtypes had the highest proportions of small tumours with nodal spread (pT1-2pN+) (range 37% to 42%), while TNBC had similar proportion of pT1-2pN+ to ER+HER2–.  </w:t>
      </w:r>
    </w:p>
    <w:p w:rsidR="005A6CDB" w:rsidRPr="001E4ADD" w:rsidRDefault="005A6CDB" w:rsidP="005A6CDB">
      <w:pPr>
        <w:pStyle w:val="NoSpacing"/>
        <w:rPr>
          <w:rFonts w:ascii="Arial" w:hAnsi="Arial" w:cs="Arial"/>
          <w:sz w:val="20"/>
          <w:szCs w:val="20"/>
        </w:rPr>
      </w:pPr>
    </w:p>
    <w:p w:rsidR="005A6CDB" w:rsidRPr="001E4ADD" w:rsidRDefault="005A6CDB" w:rsidP="005A6CDB">
      <w:pPr>
        <w:pStyle w:val="NoSpacing"/>
        <w:rPr>
          <w:rFonts w:ascii="Arial" w:hAnsi="Arial" w:cs="Arial"/>
          <w:sz w:val="20"/>
          <w:szCs w:val="20"/>
        </w:rPr>
      </w:pPr>
      <w:r w:rsidRPr="001E4ADD">
        <w:rPr>
          <w:rFonts w:ascii="Arial" w:hAnsi="Arial" w:cs="Arial"/>
          <w:sz w:val="20"/>
          <w:szCs w:val="20"/>
        </w:rPr>
        <w:t xml:space="preserve">Stratifying on grade, the </w:t>
      </w:r>
      <w:proofErr w:type="spellStart"/>
      <w:r w:rsidRPr="001E4ADD">
        <w:rPr>
          <w:rFonts w:ascii="Arial" w:hAnsi="Arial" w:cs="Arial"/>
          <w:sz w:val="20"/>
          <w:szCs w:val="20"/>
        </w:rPr>
        <w:t>pTN</w:t>
      </w:r>
      <w:proofErr w:type="spellEnd"/>
      <w:r w:rsidRPr="001E4ADD">
        <w:rPr>
          <w:rFonts w:ascii="Arial" w:hAnsi="Arial" w:cs="Arial"/>
          <w:sz w:val="20"/>
          <w:szCs w:val="20"/>
        </w:rPr>
        <w:t xml:space="preserve"> distributions were similar among grade I (p=0.747) and grade II (p=0.113) (Figure 2, panel 1 and 2), while among grade III tumours TNBC subtype had smaller tumours with less nodal involvement compared to the other subtypes (p&lt;0.001).</w:t>
      </w:r>
    </w:p>
    <w:p w:rsidR="005A6CDB" w:rsidRPr="005A6CDB" w:rsidRDefault="005A6CDB">
      <w:pPr>
        <w:rPr>
          <w:lang w:val="en-GB"/>
        </w:rPr>
      </w:pPr>
    </w:p>
    <w:sectPr w:rsidR="005A6CDB" w:rsidRPr="005A6CD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DFE"/>
    <w:rsid w:val="0023560B"/>
    <w:rsid w:val="00486907"/>
    <w:rsid w:val="005A6CDB"/>
    <w:rsid w:val="00F8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E9C1"/>
  <w15:chartTrackingRefBased/>
  <w15:docId w15:val="{BA374F31-4C05-4CDA-8C0A-3EF891AB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0DF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3</cp:revision>
  <dcterms:created xsi:type="dcterms:W3CDTF">2020-03-18T13:30:00Z</dcterms:created>
  <dcterms:modified xsi:type="dcterms:W3CDTF">2020-03-18T13:33:00Z</dcterms:modified>
</cp:coreProperties>
</file>