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5EADE" w14:textId="2873C8E5" w:rsidR="00054B7C" w:rsidRDefault="006E5040" w:rsidP="00054B7C">
      <w:pPr>
        <w:keepNext/>
        <w:spacing w:after="160" w:line="259" w:lineRule="auto"/>
      </w:pPr>
      <w:r w:rsidRPr="006E5040">
        <w:drawing>
          <wp:inline distT="0" distB="0" distL="0" distR="0" wp14:anchorId="2DB6AD30" wp14:editId="37075155">
            <wp:extent cx="5760720" cy="6276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74295" w14:textId="77777777" w:rsidR="006E5040" w:rsidRDefault="006E5040" w:rsidP="00054B7C">
      <w:pPr>
        <w:pStyle w:val="Caption"/>
      </w:pPr>
      <w:bookmarkStart w:id="0" w:name="_Ref43240274"/>
    </w:p>
    <w:p w14:paraId="3C00414E" w14:textId="469F0396" w:rsidR="00054B7C" w:rsidRDefault="00054B7C" w:rsidP="00054B7C">
      <w:pPr>
        <w:pStyle w:val="Caption"/>
      </w:pPr>
      <w:r>
        <w:t xml:space="preserve">Supplementary Figure </w:t>
      </w:r>
      <w:bookmarkEnd w:id="0"/>
      <w:r w:rsidR="006E5040">
        <w:rPr>
          <w:noProof/>
        </w:rPr>
        <w:t>2</w:t>
      </w:r>
      <w:r>
        <w:t xml:space="preserve">. </w:t>
      </w:r>
      <w:r w:rsidR="006E5040">
        <w:t>Correlation between t</w:t>
      </w:r>
      <w:r>
        <w:t xml:space="preserve">umor size </w:t>
      </w:r>
      <w:r w:rsidR="006E5040">
        <w:t xml:space="preserve">by </w:t>
      </w:r>
      <w:r>
        <w:t xml:space="preserve">imaging </w:t>
      </w:r>
      <w:r w:rsidR="006E5040">
        <w:t xml:space="preserve">and pathological </w:t>
      </w:r>
      <w:r>
        <w:t>tumor size</w:t>
      </w:r>
      <w:r w:rsidR="00B84B10">
        <w:t xml:space="preserve"> according to breast cancer subtype</w:t>
      </w:r>
      <w:r>
        <w:t xml:space="preserve">. Data are shown for </w:t>
      </w:r>
      <w:r w:rsidR="006E5040" w:rsidRPr="006E5040">
        <w:t xml:space="preserve">tumor size estimations by (A) </w:t>
      </w:r>
      <w:r w:rsidR="006E5040">
        <w:t xml:space="preserve">MRI in all patients with MRI, </w:t>
      </w:r>
      <w:r w:rsidR="006E5040" w:rsidRPr="006E5040">
        <w:t xml:space="preserve">(B) </w:t>
      </w:r>
      <w:r w:rsidR="006E5040">
        <w:t xml:space="preserve">US in all patients with US, </w:t>
      </w:r>
      <w:r w:rsidR="006E5040" w:rsidRPr="006E5040">
        <w:t xml:space="preserve">(C) </w:t>
      </w:r>
      <w:r w:rsidR="006E5040">
        <w:t>MRI and (D) US in patients with both MRI and US</w:t>
      </w:r>
      <w:r>
        <w:t>.</w:t>
      </w:r>
    </w:p>
    <w:p w14:paraId="6720ED38" w14:textId="77777777" w:rsidR="00952533" w:rsidRDefault="00952533"/>
    <w:sectPr w:rsidR="00952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7C"/>
    <w:rsid w:val="00054B7C"/>
    <w:rsid w:val="0021203B"/>
    <w:rsid w:val="00294561"/>
    <w:rsid w:val="005E7197"/>
    <w:rsid w:val="006E5040"/>
    <w:rsid w:val="0076792F"/>
    <w:rsid w:val="00952533"/>
    <w:rsid w:val="00B84B10"/>
    <w:rsid w:val="00D6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8D88"/>
  <w15:chartTrackingRefBased/>
  <w15:docId w15:val="{747533A6-CD52-4C64-B4E4-E97A61EA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B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Heading3"/>
    <w:next w:val="Normal"/>
    <w:uiPriority w:val="35"/>
    <w:unhideWhenUsed/>
    <w:qFormat/>
    <w:rsid w:val="00054B7C"/>
    <w:pPr>
      <w:spacing w:before="0" w:after="120"/>
    </w:pPr>
    <w:rPr>
      <w:rFonts w:ascii="Times New Roman" w:eastAsiaTheme="minorHAnsi" w:hAnsi="Times New Roman" w:cs="Times New Roman"/>
      <w:iCs/>
      <w:color w:val="auto"/>
      <w:sz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B7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40"/>
    <w:rPr>
      <w:rFonts w:ascii="Segoe UI" w:eastAsia="Times New Roman" w:hAnsi="Segoe UI" w:cs="Segoe UI"/>
      <w:sz w:val="18"/>
      <w:szCs w:val="18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256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Wujak</dc:creator>
  <cp:keywords/>
  <dc:description/>
  <cp:lastModifiedBy>Lukasz Wujak</cp:lastModifiedBy>
  <cp:revision>4</cp:revision>
  <dcterms:created xsi:type="dcterms:W3CDTF">2020-07-29T09:30:00Z</dcterms:created>
  <dcterms:modified xsi:type="dcterms:W3CDTF">2020-12-22T12:51:00Z</dcterms:modified>
</cp:coreProperties>
</file>