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C9C48" w14:textId="77777777" w:rsidR="001B40C1" w:rsidRPr="003A05F3" w:rsidRDefault="001B40C1" w:rsidP="001B40C1">
      <w:pPr>
        <w:spacing w:before="240" w:after="240"/>
        <w:jc w:val="center"/>
        <w:rPr>
          <w:b/>
          <w:sz w:val="36"/>
          <w:szCs w:val="36"/>
        </w:rPr>
      </w:pPr>
      <w:r>
        <w:rPr>
          <w:b/>
          <w:sz w:val="36"/>
          <w:szCs w:val="36"/>
        </w:rPr>
        <w:t>Fluid flow exposure promotes Epithelial-to-Mesenchymal T</w:t>
      </w:r>
      <w:r w:rsidRPr="00E228D7">
        <w:rPr>
          <w:b/>
          <w:sz w:val="36"/>
          <w:szCs w:val="36"/>
        </w:rPr>
        <w:t xml:space="preserve">ransition </w:t>
      </w:r>
      <w:r>
        <w:rPr>
          <w:b/>
          <w:sz w:val="36"/>
          <w:szCs w:val="36"/>
        </w:rPr>
        <w:t xml:space="preserve">and adhesion of </w:t>
      </w:r>
      <w:r w:rsidRPr="00E228D7">
        <w:rPr>
          <w:b/>
          <w:sz w:val="36"/>
          <w:szCs w:val="36"/>
        </w:rPr>
        <w:t>breast cancer cells</w:t>
      </w:r>
      <w:r>
        <w:rPr>
          <w:b/>
          <w:sz w:val="36"/>
          <w:szCs w:val="36"/>
        </w:rPr>
        <w:t xml:space="preserve"> to endothelial cells</w:t>
      </w:r>
    </w:p>
    <w:p w14:paraId="68442F40" w14:textId="1C839B9E" w:rsidR="001B40C1" w:rsidRDefault="001B40C1" w:rsidP="001B40C1">
      <w:pPr>
        <w:spacing w:before="240" w:after="240"/>
        <w:jc w:val="center"/>
        <w:rPr>
          <w:sz w:val="24"/>
          <w:szCs w:val="24"/>
        </w:rPr>
      </w:pPr>
      <w:r w:rsidRPr="00AE3DCE">
        <w:rPr>
          <w:sz w:val="24"/>
          <w:szCs w:val="24"/>
        </w:rPr>
        <w:t>Kenneth F. Fuh</w:t>
      </w:r>
      <w:r w:rsidRPr="00CD3AFA">
        <w:rPr>
          <w:sz w:val="24"/>
          <w:szCs w:val="24"/>
          <w:vertAlign w:val="superscript"/>
        </w:rPr>
        <w:t>1</w:t>
      </w:r>
      <w:r w:rsidRPr="00AE3DCE">
        <w:rPr>
          <w:sz w:val="24"/>
          <w:szCs w:val="24"/>
        </w:rPr>
        <w:t>, Robert D. Shepherd</w:t>
      </w:r>
      <w:r w:rsidRPr="00CD3AFA">
        <w:rPr>
          <w:sz w:val="24"/>
          <w:szCs w:val="24"/>
          <w:vertAlign w:val="superscript"/>
        </w:rPr>
        <w:t>1</w:t>
      </w:r>
      <w:r>
        <w:rPr>
          <w:sz w:val="24"/>
          <w:szCs w:val="24"/>
          <w:vertAlign w:val="superscript"/>
        </w:rPr>
        <w:t>,2</w:t>
      </w:r>
      <w:r w:rsidRPr="00AE3DCE">
        <w:rPr>
          <w:sz w:val="24"/>
          <w:szCs w:val="24"/>
        </w:rPr>
        <w:t xml:space="preserve">, Jessica </w:t>
      </w:r>
      <w:r>
        <w:rPr>
          <w:sz w:val="24"/>
          <w:szCs w:val="24"/>
        </w:rPr>
        <w:t xml:space="preserve">S. </w:t>
      </w:r>
      <w:r w:rsidRPr="00AE3DCE">
        <w:rPr>
          <w:sz w:val="24"/>
          <w:szCs w:val="24"/>
        </w:rPr>
        <w:t>Withell</w:t>
      </w:r>
      <w:r>
        <w:rPr>
          <w:sz w:val="24"/>
          <w:szCs w:val="24"/>
          <w:vertAlign w:val="superscript"/>
        </w:rPr>
        <w:t>1</w:t>
      </w:r>
      <w:r w:rsidRPr="00AE3DCE">
        <w:rPr>
          <w:sz w:val="24"/>
          <w:szCs w:val="24"/>
        </w:rPr>
        <w:t xml:space="preserve">, Brayden </w:t>
      </w:r>
      <w:r>
        <w:rPr>
          <w:sz w:val="24"/>
          <w:szCs w:val="24"/>
        </w:rPr>
        <w:t xml:space="preserve">K. </w:t>
      </w:r>
      <w:r w:rsidRPr="00AE3DCE">
        <w:rPr>
          <w:sz w:val="24"/>
          <w:szCs w:val="24"/>
        </w:rPr>
        <w:t>Kooistra</w:t>
      </w:r>
      <w:r>
        <w:rPr>
          <w:sz w:val="24"/>
          <w:szCs w:val="24"/>
          <w:vertAlign w:val="superscript"/>
        </w:rPr>
        <w:t>1</w:t>
      </w:r>
      <w:r w:rsidRPr="00AE3DCE">
        <w:rPr>
          <w:sz w:val="24"/>
          <w:szCs w:val="24"/>
        </w:rPr>
        <w:t>, Kristina D. Rinker</w:t>
      </w:r>
      <w:r>
        <w:rPr>
          <w:sz w:val="24"/>
          <w:szCs w:val="24"/>
          <w:vertAlign w:val="superscript"/>
        </w:rPr>
        <w:t>1,2,3,4,5</w:t>
      </w:r>
    </w:p>
    <w:p w14:paraId="1AD593D4" w14:textId="77777777" w:rsidR="001B40C1" w:rsidRPr="008F52AE" w:rsidRDefault="001B40C1" w:rsidP="001B40C1">
      <w:pPr>
        <w:spacing w:before="240" w:after="240"/>
        <w:jc w:val="center"/>
        <w:rPr>
          <w:rFonts w:cs="Times New Roman"/>
          <w:color w:val="000000"/>
          <w:sz w:val="20"/>
          <w:szCs w:val="20"/>
          <w:shd w:val="clear" w:color="auto" w:fill="FFFFFF"/>
        </w:rPr>
      </w:pPr>
      <w:r w:rsidRPr="00D61D91">
        <w:rPr>
          <w:rFonts w:cs="Times New Roman"/>
          <w:color w:val="000000"/>
          <w:sz w:val="20"/>
          <w:szCs w:val="20"/>
          <w:shd w:val="clear" w:color="auto" w:fill="FFFFFF"/>
          <w:vertAlign w:val="superscript"/>
        </w:rPr>
        <w:t>1</w:t>
      </w:r>
      <w:r w:rsidRPr="00D61D91">
        <w:rPr>
          <w:rFonts w:cs="Times New Roman"/>
          <w:color w:val="000000"/>
          <w:sz w:val="20"/>
          <w:szCs w:val="20"/>
          <w:shd w:val="clear" w:color="auto" w:fill="FFFFFF"/>
        </w:rPr>
        <w:t>Cellular &amp; Molecular Bioengineering Research Lab,</w:t>
      </w:r>
      <w:r w:rsidRPr="00D61D91">
        <w:rPr>
          <w:rFonts w:cs="Times New Roman"/>
          <w:color w:val="000000"/>
          <w:sz w:val="20"/>
          <w:szCs w:val="20"/>
          <w:shd w:val="clear" w:color="auto" w:fill="FFFFFF"/>
          <w:vertAlign w:val="superscript"/>
        </w:rPr>
        <w:t xml:space="preserve"> 2</w:t>
      </w:r>
      <w:r w:rsidRPr="00D61D91">
        <w:rPr>
          <w:rFonts w:cs="Times New Roman"/>
          <w:color w:val="000000"/>
          <w:sz w:val="20"/>
          <w:szCs w:val="20"/>
          <w:shd w:val="clear" w:color="auto" w:fill="FFFFFF"/>
        </w:rPr>
        <w:t xml:space="preserve">Department of Chemical &amp; Petroleum Engineering, </w:t>
      </w:r>
      <w:r w:rsidRPr="00D61D91">
        <w:rPr>
          <w:rFonts w:cs="Times New Roman"/>
          <w:color w:val="000000"/>
          <w:sz w:val="20"/>
          <w:szCs w:val="20"/>
          <w:shd w:val="clear" w:color="auto" w:fill="FFFFFF"/>
          <w:vertAlign w:val="superscript"/>
        </w:rPr>
        <w:t>3</w:t>
      </w:r>
      <w:r w:rsidRPr="00D61D91">
        <w:rPr>
          <w:rFonts w:cs="Times New Roman"/>
          <w:color w:val="000000"/>
          <w:sz w:val="20"/>
          <w:szCs w:val="20"/>
          <w:shd w:val="clear" w:color="auto" w:fill="FFFFFF"/>
        </w:rPr>
        <w:t>Centre for Bioengineering Research &amp; Education,</w:t>
      </w:r>
      <w:r w:rsidRPr="00D61D91">
        <w:rPr>
          <w:rFonts w:cs="Times New Roman"/>
          <w:color w:val="000000"/>
          <w:sz w:val="20"/>
          <w:szCs w:val="20"/>
          <w:shd w:val="clear" w:color="auto" w:fill="FFFFFF"/>
          <w:vertAlign w:val="superscript"/>
        </w:rPr>
        <w:t xml:space="preserve"> 4</w:t>
      </w:r>
      <w:r w:rsidRPr="00D61D91">
        <w:rPr>
          <w:rFonts w:cs="Times New Roman"/>
          <w:color w:val="000000"/>
          <w:sz w:val="20"/>
          <w:szCs w:val="20"/>
          <w:shd w:val="clear" w:color="auto" w:fill="FFFFFF"/>
        </w:rPr>
        <w:t xml:space="preserve">Department of Physiology &amp; Pharmacology, </w:t>
      </w:r>
      <w:r w:rsidRPr="00D61D91">
        <w:rPr>
          <w:rFonts w:cs="Times New Roman"/>
          <w:color w:val="000000"/>
          <w:sz w:val="20"/>
          <w:szCs w:val="20"/>
          <w:shd w:val="clear" w:color="auto" w:fill="FFFFFF"/>
          <w:vertAlign w:val="superscript"/>
        </w:rPr>
        <w:t>5</w:t>
      </w:r>
      <w:r w:rsidRPr="00D61D91">
        <w:rPr>
          <w:rFonts w:cs="Times New Roman"/>
          <w:color w:val="000000"/>
          <w:sz w:val="20"/>
          <w:szCs w:val="20"/>
          <w:shd w:val="clear" w:color="auto" w:fill="FFFFFF"/>
        </w:rPr>
        <w:t xml:space="preserve">Libin Cardiovascular Institute of </w:t>
      </w:r>
      <w:r w:rsidRPr="008F52AE">
        <w:rPr>
          <w:rFonts w:cs="Times New Roman"/>
          <w:color w:val="000000"/>
          <w:sz w:val="20"/>
          <w:szCs w:val="20"/>
          <w:shd w:val="clear" w:color="auto" w:fill="FFFFFF"/>
        </w:rPr>
        <w:t>Canada; University of Calgary, Calgary, AB, Canada</w:t>
      </w:r>
      <w:r>
        <w:rPr>
          <w:rFonts w:cs="Times New Roman"/>
          <w:color w:val="000000"/>
          <w:sz w:val="20"/>
          <w:szCs w:val="20"/>
          <w:shd w:val="clear" w:color="auto" w:fill="FFFFFF"/>
        </w:rPr>
        <w:t>.</w:t>
      </w:r>
    </w:p>
    <w:p w14:paraId="6978492A" w14:textId="3029E1C4" w:rsidR="001B40C1" w:rsidRPr="001B40C1" w:rsidRDefault="001B40C1" w:rsidP="001B40C1">
      <w:pPr>
        <w:jc w:val="center"/>
        <w:rPr>
          <w:b/>
          <w:bCs/>
          <w:sz w:val="32"/>
          <w:szCs w:val="32"/>
          <w:u w:val="single"/>
        </w:rPr>
      </w:pPr>
      <w:r w:rsidRPr="001B40C1">
        <w:rPr>
          <w:b/>
          <w:bCs/>
          <w:sz w:val="32"/>
          <w:szCs w:val="32"/>
          <w:u w:val="single"/>
        </w:rPr>
        <w:t>Supplemental Methods and Results</w:t>
      </w:r>
    </w:p>
    <w:p w14:paraId="6C4735EC" w14:textId="469BC692" w:rsidR="00935A33" w:rsidRPr="00F95638" w:rsidRDefault="00F95638">
      <w:pPr>
        <w:rPr>
          <w:b/>
          <w:bCs/>
          <w:sz w:val="24"/>
          <w:szCs w:val="24"/>
          <w:u w:val="single"/>
        </w:rPr>
      </w:pPr>
      <w:r w:rsidRPr="00F95638">
        <w:rPr>
          <w:b/>
          <w:bCs/>
          <w:sz w:val="24"/>
          <w:szCs w:val="24"/>
          <w:u w:val="single"/>
        </w:rPr>
        <w:t>Supplemental Methods</w:t>
      </w:r>
    </w:p>
    <w:p w14:paraId="3487031E" w14:textId="56E010F1" w:rsidR="00F95638" w:rsidRPr="002859BD" w:rsidRDefault="00F95638" w:rsidP="00F95638">
      <w:pPr>
        <w:spacing w:before="240" w:after="240"/>
        <w:jc w:val="both"/>
        <w:rPr>
          <w:i/>
          <w:iCs/>
          <w:sz w:val="24"/>
          <w:szCs w:val="24"/>
        </w:rPr>
      </w:pPr>
      <w:r w:rsidRPr="002859BD">
        <w:rPr>
          <w:i/>
          <w:iCs/>
          <w:sz w:val="24"/>
          <w:szCs w:val="24"/>
        </w:rPr>
        <w:t>Optimization of Smad2 and Smad3 siRNA transfections:</w:t>
      </w:r>
      <w:r>
        <w:rPr>
          <w:i/>
          <w:iCs/>
          <w:sz w:val="24"/>
          <w:szCs w:val="24"/>
        </w:rPr>
        <w:t xml:space="preserve"> </w:t>
      </w:r>
      <w:r>
        <w:rPr>
          <w:sz w:val="24"/>
          <w:szCs w:val="24"/>
        </w:rPr>
        <w:t>T</w:t>
      </w:r>
      <w:r w:rsidRPr="00596DEE">
        <w:rPr>
          <w:sz w:val="24"/>
          <w:szCs w:val="24"/>
        </w:rPr>
        <w:t>ransfection experiments w</w:t>
      </w:r>
      <w:r>
        <w:rPr>
          <w:sz w:val="24"/>
          <w:szCs w:val="24"/>
        </w:rPr>
        <w:t>ere optimized</w:t>
      </w:r>
      <w:r w:rsidRPr="00596DEE">
        <w:rPr>
          <w:sz w:val="24"/>
          <w:szCs w:val="24"/>
        </w:rPr>
        <w:t xml:space="preserve"> by seeding 2 wells of a 6 well cell culture plate with 200,000 MDA-MB-231 cells for each concentration of siRNA. </w:t>
      </w:r>
      <w:r>
        <w:rPr>
          <w:sz w:val="24"/>
          <w:szCs w:val="24"/>
        </w:rPr>
        <w:t>C</w:t>
      </w:r>
      <w:r w:rsidRPr="00596DEE">
        <w:rPr>
          <w:sz w:val="24"/>
          <w:szCs w:val="24"/>
        </w:rPr>
        <w:t xml:space="preserve">onditions included a no-treatment, control siRNA-A (sc-37007, Santa Cruz Biotechnology), and concentrations of 1, 5, 10, 25 and 50 </w:t>
      </w:r>
      <w:proofErr w:type="spellStart"/>
      <w:r w:rsidRPr="00596DEE">
        <w:rPr>
          <w:sz w:val="24"/>
          <w:szCs w:val="24"/>
        </w:rPr>
        <w:t>nM</w:t>
      </w:r>
      <w:proofErr w:type="spellEnd"/>
      <w:r w:rsidRPr="00596DEE">
        <w:rPr>
          <w:sz w:val="24"/>
          <w:szCs w:val="24"/>
        </w:rPr>
        <w:t xml:space="preserve"> of Smad2 or Smad3 siRNA. All transfections were performed for 4 h in 0.3% </w:t>
      </w:r>
      <w:proofErr w:type="spellStart"/>
      <w:r w:rsidRPr="00596DEE">
        <w:rPr>
          <w:sz w:val="24"/>
          <w:szCs w:val="24"/>
        </w:rPr>
        <w:t>PepMute</w:t>
      </w:r>
      <w:proofErr w:type="spellEnd"/>
      <w:r w:rsidRPr="00596DEE">
        <w:rPr>
          <w:sz w:val="24"/>
          <w:szCs w:val="24"/>
        </w:rPr>
        <w:t xml:space="preserve"> siRNA Transfection Reagent (</w:t>
      </w:r>
      <w:proofErr w:type="spellStart"/>
      <w:r w:rsidRPr="00596DEE">
        <w:rPr>
          <w:sz w:val="24"/>
          <w:szCs w:val="24"/>
        </w:rPr>
        <w:t>SignaGen</w:t>
      </w:r>
      <w:proofErr w:type="spellEnd"/>
      <w:r w:rsidRPr="00596DEE">
        <w:rPr>
          <w:sz w:val="24"/>
          <w:szCs w:val="24"/>
        </w:rPr>
        <w:t xml:space="preserve"> Laboratories, Rockville, MD, USA) in fresh media that had been changed 30 min beforehand. Afterwards, media was changed again, and the cells were left in static culture for 72 h (same time needed to set up flow experiments). RNA was harvested from samples and used for gene quantification and PCR experiments.</w:t>
      </w:r>
    </w:p>
    <w:p w14:paraId="3A8F55AA" w14:textId="4C6B4E33" w:rsidR="00F95638" w:rsidRPr="00596DEE" w:rsidRDefault="00F95638" w:rsidP="00F95638">
      <w:pPr>
        <w:spacing w:before="240" w:after="240"/>
        <w:jc w:val="both"/>
        <w:rPr>
          <w:sz w:val="24"/>
          <w:szCs w:val="24"/>
        </w:rPr>
      </w:pPr>
      <w:r w:rsidRPr="002859BD">
        <w:rPr>
          <w:i/>
          <w:iCs/>
          <w:sz w:val="24"/>
          <w:szCs w:val="24"/>
        </w:rPr>
        <w:t>Time course experiments:</w:t>
      </w:r>
      <w:r>
        <w:rPr>
          <w:sz w:val="24"/>
          <w:szCs w:val="24"/>
        </w:rPr>
        <w:t xml:space="preserve"> </w:t>
      </w:r>
      <w:r w:rsidRPr="00596DEE">
        <w:rPr>
          <w:sz w:val="24"/>
          <w:szCs w:val="24"/>
        </w:rPr>
        <w:t xml:space="preserve">Time course experiments were performed by seeding 2 wells of a 6 well cell culture plate with 200,000 MDA-MB-231 cells for 24 and 48 h. A fresh media change was made on cells 30 min before transfections. Cells were then transfected with 25 </w:t>
      </w:r>
      <w:proofErr w:type="spellStart"/>
      <w:r w:rsidRPr="00596DEE">
        <w:rPr>
          <w:sz w:val="24"/>
          <w:szCs w:val="24"/>
        </w:rPr>
        <w:t>nM</w:t>
      </w:r>
      <w:proofErr w:type="spellEnd"/>
      <w:r w:rsidRPr="00596DEE">
        <w:rPr>
          <w:sz w:val="24"/>
          <w:szCs w:val="24"/>
        </w:rPr>
        <w:t xml:space="preserve"> of Smad2 siRNA (Santa Cruz Biotechnology) for 4 h in 0.3% </w:t>
      </w:r>
      <w:proofErr w:type="spellStart"/>
      <w:r w:rsidRPr="00596DEE">
        <w:rPr>
          <w:sz w:val="24"/>
          <w:szCs w:val="24"/>
        </w:rPr>
        <w:t>PepMute</w:t>
      </w:r>
      <w:proofErr w:type="spellEnd"/>
      <w:r w:rsidRPr="00596DEE">
        <w:rPr>
          <w:sz w:val="24"/>
          <w:szCs w:val="24"/>
        </w:rPr>
        <w:t xml:space="preserve"> siRNA Transfection Reagent (</w:t>
      </w:r>
      <w:proofErr w:type="spellStart"/>
      <w:r w:rsidRPr="00596DEE">
        <w:rPr>
          <w:sz w:val="24"/>
          <w:szCs w:val="24"/>
        </w:rPr>
        <w:t>SignaGen</w:t>
      </w:r>
      <w:proofErr w:type="spellEnd"/>
      <w:r w:rsidRPr="00596DEE">
        <w:rPr>
          <w:sz w:val="24"/>
          <w:szCs w:val="24"/>
        </w:rPr>
        <w:t xml:space="preserve"> Laboratories, Rockville, MD, USA). Afterwards, a media change was made, and transfected cells were left in static culture until time of RNA harvest and subsequent PCR quantification.</w:t>
      </w:r>
    </w:p>
    <w:p w14:paraId="27D62457" w14:textId="7F0FFEC7" w:rsidR="00F95638" w:rsidRDefault="00F95638" w:rsidP="00F95638">
      <w:pPr>
        <w:spacing w:before="240" w:after="240"/>
        <w:jc w:val="both"/>
        <w:rPr>
          <w:sz w:val="24"/>
          <w:szCs w:val="24"/>
        </w:rPr>
      </w:pPr>
      <w:r w:rsidRPr="002859BD">
        <w:rPr>
          <w:i/>
          <w:iCs/>
          <w:sz w:val="24"/>
          <w:szCs w:val="24"/>
        </w:rPr>
        <w:t>Transfection efficiency experiments:</w:t>
      </w:r>
      <w:r>
        <w:rPr>
          <w:sz w:val="24"/>
          <w:szCs w:val="24"/>
        </w:rPr>
        <w:t xml:space="preserve"> </w:t>
      </w:r>
      <w:r w:rsidRPr="00596DEE">
        <w:rPr>
          <w:sz w:val="24"/>
          <w:szCs w:val="24"/>
        </w:rPr>
        <w:t xml:space="preserve">Efficiency of transfections was determined by seeding a T-75 cell culture dish with 200,000 MDA-MB-231 breast cancer cells. After having grown for 24 h, the wells were transfected with 25 </w:t>
      </w:r>
      <w:proofErr w:type="spellStart"/>
      <w:r w:rsidRPr="00596DEE">
        <w:rPr>
          <w:sz w:val="24"/>
          <w:szCs w:val="24"/>
        </w:rPr>
        <w:t>nM</w:t>
      </w:r>
      <w:proofErr w:type="spellEnd"/>
      <w:r w:rsidRPr="00596DEE">
        <w:rPr>
          <w:sz w:val="24"/>
          <w:szCs w:val="24"/>
        </w:rPr>
        <w:t xml:space="preserve"> of BLOCK-</w:t>
      </w:r>
      <w:proofErr w:type="spellStart"/>
      <w:r w:rsidRPr="00596DEE">
        <w:rPr>
          <w:sz w:val="24"/>
          <w:szCs w:val="24"/>
        </w:rPr>
        <w:t>iT</w:t>
      </w:r>
      <w:proofErr w:type="spellEnd"/>
      <w:r w:rsidRPr="00596DEE">
        <w:rPr>
          <w:sz w:val="24"/>
          <w:szCs w:val="24"/>
        </w:rPr>
        <w:t xml:space="preserve">™ Alexa Fluor® Red Fluorescent Control (Invitrogen) for 4 h in 0.3% </w:t>
      </w:r>
      <w:proofErr w:type="spellStart"/>
      <w:r w:rsidRPr="00596DEE">
        <w:rPr>
          <w:sz w:val="24"/>
          <w:szCs w:val="24"/>
        </w:rPr>
        <w:t>PepMute</w:t>
      </w:r>
      <w:proofErr w:type="spellEnd"/>
      <w:r w:rsidRPr="00596DEE">
        <w:rPr>
          <w:sz w:val="24"/>
          <w:szCs w:val="24"/>
        </w:rPr>
        <w:t xml:space="preserve"> siRNA Transfection Reagent (</w:t>
      </w:r>
      <w:proofErr w:type="spellStart"/>
      <w:r w:rsidRPr="00596DEE">
        <w:rPr>
          <w:sz w:val="24"/>
          <w:szCs w:val="24"/>
        </w:rPr>
        <w:t>SignaGen</w:t>
      </w:r>
      <w:proofErr w:type="spellEnd"/>
      <w:r w:rsidRPr="00596DEE">
        <w:rPr>
          <w:sz w:val="24"/>
          <w:szCs w:val="24"/>
        </w:rPr>
        <w:t xml:space="preserve"> Laboratories, Rockville, MD, USA). After transfection, cells were detached and re-seeded in 3 wells of a 6 well plate and left to grown for 24 h. Cells were then washed twice in PBS and fixed in 4% PFA (</w:t>
      </w:r>
      <w:proofErr w:type="spellStart"/>
      <w:r w:rsidRPr="00596DEE">
        <w:rPr>
          <w:sz w:val="24"/>
          <w:szCs w:val="24"/>
        </w:rPr>
        <w:t>Acros</w:t>
      </w:r>
      <w:proofErr w:type="spellEnd"/>
      <w:r w:rsidRPr="00596DEE">
        <w:rPr>
          <w:sz w:val="24"/>
          <w:szCs w:val="24"/>
        </w:rPr>
        <w:t xml:space="preserve"> Organics-Thermo Fisher Scientific, Ottawa, ON, Canada) for 10 mins before being washed again twice in PBS. Cells were imaged under the Olympus FV1000 confocal microscope (Olympus Inc., </w:t>
      </w:r>
      <w:r w:rsidRPr="00596DEE">
        <w:rPr>
          <w:sz w:val="24"/>
          <w:szCs w:val="24"/>
        </w:rPr>
        <w:lastRenderedPageBreak/>
        <w:t xml:space="preserve">Waltham, MA, USA) with a 10x objective and whole well pictures were taken. Cells in three random microscopic fields were individually counted in each well and determined transfected if a noticeable amount of positive red signal had shown in the cell. Three independent experiments were performed at each time point. </w:t>
      </w:r>
    </w:p>
    <w:p w14:paraId="08F0E306" w14:textId="0DDBD8C3" w:rsidR="001B40C1" w:rsidRPr="001B40C1" w:rsidRDefault="001C765E" w:rsidP="00F95638">
      <w:pPr>
        <w:spacing w:before="240" w:after="240"/>
        <w:jc w:val="both"/>
        <w:rPr>
          <w:b/>
          <w:bCs/>
          <w:sz w:val="24"/>
          <w:szCs w:val="24"/>
          <w:u w:val="single"/>
        </w:rPr>
      </w:pPr>
      <w:r>
        <w:rPr>
          <w:b/>
          <w:bCs/>
          <w:noProof/>
          <w:sz w:val="24"/>
          <w:szCs w:val="24"/>
        </w:rPr>
        <mc:AlternateContent>
          <mc:Choice Requires="wps">
            <w:drawing>
              <wp:anchor distT="0" distB="0" distL="114300" distR="114300" simplePos="0" relativeHeight="251657215" behindDoc="0" locked="0" layoutInCell="1" allowOverlap="1" wp14:anchorId="18A57494" wp14:editId="19757A90">
                <wp:simplePos x="0" y="0"/>
                <wp:positionH relativeFrom="margin">
                  <wp:posOffset>-69850</wp:posOffset>
                </wp:positionH>
                <wp:positionV relativeFrom="paragraph">
                  <wp:posOffset>358775</wp:posOffset>
                </wp:positionV>
                <wp:extent cx="3987800" cy="355600"/>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3987800" cy="355600"/>
                        </a:xfrm>
                        <a:prstGeom prst="rect">
                          <a:avLst/>
                        </a:prstGeom>
                        <a:noFill/>
                        <a:ln w="6350">
                          <a:noFill/>
                        </a:ln>
                      </wps:spPr>
                      <wps:txbx>
                        <w:txbxContent>
                          <w:p w14:paraId="3379ED41" w14:textId="2E1CB3F0" w:rsidR="001C765E" w:rsidRPr="001C765E" w:rsidRDefault="001C765E">
                            <w:pPr>
                              <w:rPr>
                                <w:b/>
                                <w:bCs/>
                                <w:sz w:val="24"/>
                                <w:szCs w:val="24"/>
                              </w:rPr>
                            </w:pPr>
                            <w:r w:rsidRPr="001C765E">
                              <w:rPr>
                                <w:b/>
                                <w:bCs/>
                                <w:sz w:val="24"/>
                                <w:szCs w:val="24"/>
                              </w:rPr>
                              <w:t>A</w:t>
                            </w:r>
                            <w:r w:rsidRPr="001C765E">
                              <w:rPr>
                                <w:b/>
                                <w:bCs/>
                                <w:sz w:val="24"/>
                                <w:szCs w:val="24"/>
                              </w:rPr>
                              <w:tab/>
                            </w:r>
                            <w:r w:rsidRPr="001C765E">
                              <w:rPr>
                                <w:b/>
                                <w:bCs/>
                                <w:sz w:val="24"/>
                                <w:szCs w:val="24"/>
                              </w:rPr>
                              <w:tab/>
                            </w:r>
                            <w:r w:rsidRPr="001C765E">
                              <w:rPr>
                                <w:b/>
                                <w:bCs/>
                                <w:sz w:val="24"/>
                                <w:szCs w:val="24"/>
                              </w:rPr>
                              <w:tab/>
                            </w:r>
                            <w:r w:rsidRPr="001C765E">
                              <w:rPr>
                                <w:b/>
                                <w:bCs/>
                                <w:sz w:val="24"/>
                                <w:szCs w:val="24"/>
                              </w:rPr>
                              <w:tab/>
                            </w:r>
                            <w:r w:rsidRPr="001C765E">
                              <w:rPr>
                                <w:b/>
                                <w:bCs/>
                                <w:sz w:val="24"/>
                                <w:szCs w:val="24"/>
                              </w:rPr>
                              <w:tab/>
                            </w:r>
                            <w:r w:rsidRPr="001C765E">
                              <w:rPr>
                                <w:b/>
                                <w:bCs/>
                                <w:sz w:val="24"/>
                                <w:szCs w:val="24"/>
                              </w:rPr>
                              <w:tab/>
                            </w:r>
                            <w:r>
                              <w:rPr>
                                <w:b/>
                                <w:bCs/>
                                <w:sz w:val="24"/>
                                <w:szCs w:val="24"/>
                              </w:rPr>
                              <w:t xml:space="preserve">        </w:t>
                            </w:r>
                            <w:r w:rsidRPr="001C765E">
                              <w:rPr>
                                <w:b/>
                                <w:bCs/>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A57494" id="_x0000_t202" coordsize="21600,21600" o:spt="202" path="m,l,21600r21600,l21600,xe">
                <v:stroke joinstyle="miter"/>
                <v:path gradientshapeok="t" o:connecttype="rect"/>
              </v:shapetype>
              <v:shape id="Text Box 5" o:spid="_x0000_s1026" type="#_x0000_t202" style="position:absolute;left:0;text-align:left;margin-left:-5.5pt;margin-top:28.25pt;width:314pt;height:28pt;z-index:25165721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" filled="f" stroked="f" strokeweight=".5pt">
                <v:textbox>
                  <w:txbxContent>
                    <w:p w14:paraId="3379ED41" w14:textId="2E1CB3F0" w:rsidR="001C765E" w:rsidRPr="001C765E" w:rsidRDefault="001C765E">
                      <w:pPr>
                        <w:rPr>
                          <w:b/>
                          <w:bCs/>
                          <w:sz w:val="24"/>
                          <w:szCs w:val="24"/>
                        </w:rPr>
                      </w:pPr>
                      <w:r w:rsidRPr="001C765E">
                        <w:rPr>
                          <w:b/>
                          <w:bCs/>
                          <w:sz w:val="24"/>
                          <w:szCs w:val="24"/>
                        </w:rPr>
                        <w:t>A</w:t>
                      </w:r>
                      <w:r w:rsidRPr="001C765E">
                        <w:rPr>
                          <w:b/>
                          <w:bCs/>
                          <w:sz w:val="24"/>
                          <w:szCs w:val="24"/>
                        </w:rPr>
                        <w:tab/>
                      </w:r>
                      <w:r w:rsidRPr="001C765E">
                        <w:rPr>
                          <w:b/>
                          <w:bCs/>
                          <w:sz w:val="24"/>
                          <w:szCs w:val="24"/>
                        </w:rPr>
                        <w:tab/>
                      </w:r>
                      <w:r w:rsidRPr="001C765E">
                        <w:rPr>
                          <w:b/>
                          <w:bCs/>
                          <w:sz w:val="24"/>
                          <w:szCs w:val="24"/>
                        </w:rPr>
                        <w:tab/>
                      </w:r>
                      <w:r w:rsidRPr="001C765E">
                        <w:rPr>
                          <w:b/>
                          <w:bCs/>
                          <w:sz w:val="24"/>
                          <w:szCs w:val="24"/>
                        </w:rPr>
                        <w:tab/>
                      </w:r>
                      <w:r w:rsidRPr="001C765E">
                        <w:rPr>
                          <w:b/>
                          <w:bCs/>
                          <w:sz w:val="24"/>
                          <w:szCs w:val="24"/>
                        </w:rPr>
                        <w:tab/>
                      </w:r>
                      <w:r w:rsidRPr="001C765E">
                        <w:rPr>
                          <w:b/>
                          <w:bCs/>
                          <w:sz w:val="24"/>
                          <w:szCs w:val="24"/>
                        </w:rPr>
                        <w:tab/>
                      </w:r>
                      <w:r>
                        <w:rPr>
                          <w:b/>
                          <w:bCs/>
                          <w:sz w:val="24"/>
                          <w:szCs w:val="24"/>
                        </w:rPr>
                        <w:t xml:space="preserve">        </w:t>
                      </w:r>
                      <w:r w:rsidRPr="001C765E">
                        <w:rPr>
                          <w:b/>
                          <w:bCs/>
                          <w:sz w:val="24"/>
                          <w:szCs w:val="24"/>
                        </w:rPr>
                        <w:t>B</w:t>
                      </w:r>
                    </w:p>
                  </w:txbxContent>
                </v:textbox>
                <w10:wrap anchorx="margin"/>
              </v:shape>
            </w:pict>
          </mc:Fallback>
        </mc:AlternateContent>
      </w:r>
      <w:r w:rsidR="001B40C1" w:rsidRPr="001B40C1">
        <w:rPr>
          <w:b/>
          <w:bCs/>
          <w:sz w:val="24"/>
          <w:szCs w:val="24"/>
          <w:u w:val="single"/>
        </w:rPr>
        <w:t>Supplemental Results</w:t>
      </w:r>
    </w:p>
    <w:p w14:paraId="490D7EE9" w14:textId="377B3CE4" w:rsidR="001B40C1" w:rsidRDefault="001B40C1" w:rsidP="001B40C1">
      <w:pPr>
        <w:spacing w:before="240" w:after="240"/>
        <w:rPr>
          <w:b/>
          <w:bCs/>
          <w:sz w:val="24"/>
          <w:szCs w:val="24"/>
        </w:rPr>
      </w:pPr>
      <w:r>
        <w:rPr>
          <w:b/>
          <w:bCs/>
          <w:noProof/>
          <w:sz w:val="24"/>
          <w:szCs w:val="24"/>
        </w:rPr>
        <w:drawing>
          <wp:inline distT="0" distB="0" distL="0" distR="0" wp14:anchorId="7C166803" wp14:editId="1AF9DCA9">
            <wp:extent cx="2965450" cy="18669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1758" t="57637" r="49948"/>
                    <a:stretch/>
                  </pic:blipFill>
                  <pic:spPr bwMode="auto">
                    <a:xfrm>
                      <a:off x="0" y="0"/>
                      <a:ext cx="2965450" cy="1866900"/>
                    </a:xfrm>
                    <a:prstGeom prst="rect">
                      <a:avLst/>
                    </a:prstGeom>
                    <a:noFill/>
                    <a:ln>
                      <a:noFill/>
                    </a:ln>
                    <a:extLst>
                      <a:ext uri="{53640926-AAD7-44D8-BBD7-CCE9431645EC}">
                        <a14:shadowObscured xmlns:a14="http://schemas.microsoft.com/office/drawing/2010/main"/>
                      </a:ext>
                    </a:extLst>
                  </pic:spPr>
                </pic:pic>
              </a:graphicData>
            </a:graphic>
          </wp:inline>
        </w:drawing>
      </w:r>
      <w:r w:rsidR="001C765E" w:rsidRPr="001C765E">
        <w:rPr>
          <w:noProof/>
          <w:sz w:val="24"/>
          <w:szCs w:val="24"/>
        </w:rPr>
        <w:t xml:space="preserve"> </w:t>
      </w:r>
      <w:r w:rsidR="001C765E">
        <w:rPr>
          <w:noProof/>
          <w:sz w:val="24"/>
          <w:szCs w:val="24"/>
        </w:rPr>
        <w:drawing>
          <wp:inline distT="0" distB="0" distL="0" distR="0" wp14:anchorId="7C2814F1" wp14:editId="28B84C2D">
            <wp:extent cx="2724150" cy="2019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4150" cy="2019300"/>
                    </a:xfrm>
                    <a:prstGeom prst="rect">
                      <a:avLst/>
                    </a:prstGeom>
                    <a:noFill/>
                    <a:ln>
                      <a:noFill/>
                    </a:ln>
                  </pic:spPr>
                </pic:pic>
              </a:graphicData>
            </a:graphic>
          </wp:inline>
        </w:drawing>
      </w:r>
    </w:p>
    <w:p w14:paraId="35CE6C08" w14:textId="3DF4B1BC" w:rsidR="001B40C1" w:rsidRDefault="001B40C1" w:rsidP="00F95638">
      <w:pPr>
        <w:spacing w:before="240" w:after="240"/>
        <w:jc w:val="both"/>
        <w:rPr>
          <w:sz w:val="24"/>
          <w:szCs w:val="24"/>
        </w:rPr>
      </w:pPr>
      <w:r w:rsidRPr="001B40C1">
        <w:rPr>
          <w:b/>
          <w:bCs/>
          <w:sz w:val="24"/>
          <w:szCs w:val="24"/>
        </w:rPr>
        <w:t>Supplemental Fig. 1:</w:t>
      </w:r>
      <w:r>
        <w:rPr>
          <w:sz w:val="24"/>
          <w:szCs w:val="24"/>
        </w:rPr>
        <w:t xml:space="preserve"> </w:t>
      </w:r>
      <w:r w:rsidR="00D1418C" w:rsidRPr="001C765E">
        <w:rPr>
          <w:b/>
          <w:bCs/>
          <w:sz w:val="24"/>
          <w:szCs w:val="24"/>
        </w:rPr>
        <w:t>(A)</w:t>
      </w:r>
      <w:r w:rsidR="00D1418C">
        <w:rPr>
          <w:b/>
          <w:bCs/>
          <w:sz w:val="24"/>
          <w:szCs w:val="24"/>
        </w:rPr>
        <w:t xml:space="preserve"> </w:t>
      </w:r>
      <w:r w:rsidRPr="001B40C1">
        <w:rPr>
          <w:sz w:val="24"/>
          <w:szCs w:val="24"/>
        </w:rPr>
        <w:t xml:space="preserve">Quantitative RT-PCR analysis of SNAI2 expression in MDA-MB-231 cells stimulated with fluid </w:t>
      </w:r>
      <w:r w:rsidRPr="001C765E">
        <w:rPr>
          <w:sz w:val="24"/>
          <w:szCs w:val="24"/>
        </w:rPr>
        <w:t xml:space="preserve">flow for 20 h at 1 Pa, then left in static conditions for 2, 7, 16 and 24 h. </w:t>
      </w:r>
      <w:r w:rsidR="00D1418C" w:rsidRPr="001C765E">
        <w:rPr>
          <w:b/>
          <w:sz w:val="24"/>
          <w:szCs w:val="24"/>
          <w:lang w:val="en-CA"/>
        </w:rPr>
        <w:t>(B)</w:t>
      </w:r>
      <w:r w:rsidR="00D1418C">
        <w:rPr>
          <w:b/>
          <w:sz w:val="24"/>
          <w:szCs w:val="24"/>
          <w:lang w:val="en-CA"/>
        </w:rPr>
        <w:t xml:space="preserve"> </w:t>
      </w:r>
      <w:r w:rsidR="001C765E" w:rsidRPr="001C765E">
        <w:rPr>
          <w:bCs/>
          <w:sz w:val="24"/>
          <w:szCs w:val="24"/>
          <w:lang w:val="en-CA"/>
        </w:rPr>
        <w:t xml:space="preserve">Quantitative RT-PCR analysis of SNAI2 expression in MDA-MB-231 cells stimulated with fluid flow for 20 h at 0.2, 0.6 and 1 Pa. </w:t>
      </w:r>
      <w:r w:rsidRPr="001C765E">
        <w:rPr>
          <w:bCs/>
          <w:sz w:val="24"/>
          <w:szCs w:val="24"/>
        </w:rPr>
        <w:t xml:space="preserve">Fold changes </w:t>
      </w:r>
      <w:r w:rsidRPr="001C765E">
        <w:rPr>
          <w:sz w:val="24"/>
          <w:szCs w:val="24"/>
        </w:rPr>
        <w:t>were calculated using the comparative cycle threshold method and normalized to expression in static conditions. Statistical significance threshold was set at fold change ≥ 2 and p &lt; 0.05. Asterisks indicate statistically significant fold changes in flow or post flow stimulated cells with respect to expression in unstimulated (static) cells. Statistical significance was determined using the</w:t>
      </w:r>
      <w:r w:rsidRPr="001B40C1">
        <w:rPr>
          <w:sz w:val="24"/>
          <w:szCs w:val="24"/>
        </w:rPr>
        <w:t xml:space="preserve"> Student’s t-test. Duplicate wells were run for every sample. B2M was used as the reference gene. Data shown represent the means ± standard errors of the means of data from at least 3 samples for each condition.</w:t>
      </w:r>
    </w:p>
    <w:p w14:paraId="4CEBF634" w14:textId="5FF02433" w:rsidR="00C10721" w:rsidRPr="00C10721" w:rsidRDefault="00C10721" w:rsidP="00C10721">
      <w:pPr>
        <w:rPr>
          <w:b/>
          <w:i/>
          <w:sz w:val="24"/>
          <w:szCs w:val="24"/>
          <w:lang w:val="en-CA"/>
        </w:rPr>
      </w:pPr>
      <w:r w:rsidRPr="00C10721">
        <w:rPr>
          <w:b/>
          <w:i/>
          <w:sz w:val="24"/>
          <w:szCs w:val="24"/>
          <w:lang w:val="en-CA"/>
        </w:rPr>
        <w:t>Smad2 and Smad3 siRNA optimization experiments</w:t>
      </w:r>
    </w:p>
    <w:p w14:paraId="3820DD62" w14:textId="77777777" w:rsidR="00C10721" w:rsidRPr="00C10721" w:rsidRDefault="00C10721" w:rsidP="00C10721">
      <w:pPr>
        <w:jc w:val="both"/>
        <w:rPr>
          <w:sz w:val="24"/>
          <w:szCs w:val="24"/>
          <w:lang w:val="en-CA"/>
        </w:rPr>
      </w:pPr>
      <w:r w:rsidRPr="00C10721">
        <w:rPr>
          <w:sz w:val="24"/>
          <w:szCs w:val="24"/>
          <w:lang w:val="en-CA"/>
        </w:rPr>
        <w:t xml:space="preserve">To investigate involvement of Smad2 and Smad3 in transducing the mechanical stimulus from fluid flow to upregulate HMGA2, RUNX1, TGFBI and SNAI2 in breast cancer cells, Smad2 and Smad3 were knocked down using corresponding small interfering RNA (siRNA). Abolition of flow effects on expression of these genes were monitored after knockdown experiments. First, several experiments were performed to optimize and validate effective knockdown by siRNAs. These included optimizing concentration of each siRNA, negative and endogenous positive controls, and transfection efficiency experiments. </w:t>
      </w:r>
    </w:p>
    <w:p w14:paraId="5FB02BCA" w14:textId="4687C68B" w:rsidR="00C10721" w:rsidRPr="00C10721" w:rsidRDefault="00C10721" w:rsidP="00C10721">
      <w:pPr>
        <w:jc w:val="both"/>
        <w:rPr>
          <w:sz w:val="24"/>
          <w:szCs w:val="24"/>
          <w:lang w:val="en-CA"/>
        </w:rPr>
      </w:pPr>
      <w:r w:rsidRPr="00C10721">
        <w:rPr>
          <w:i/>
          <w:iCs/>
          <w:sz w:val="24"/>
          <w:szCs w:val="24"/>
          <w:lang w:val="en-CA"/>
        </w:rPr>
        <w:t>Optimizing siRNA concentration:</w:t>
      </w:r>
      <w:r w:rsidRPr="00C10721">
        <w:rPr>
          <w:sz w:val="24"/>
          <w:szCs w:val="24"/>
          <w:lang w:val="en-CA"/>
        </w:rPr>
        <w:t xml:space="preserve"> To determine optimal siRNA concentrations required for effective Smad2 and Smad3 knock downs, MDA-MB-231 cells were transfected with no siRNA, Control siRNA, 1, 5, 10, 25 and 50 </w:t>
      </w:r>
      <w:proofErr w:type="spellStart"/>
      <w:r w:rsidRPr="00C10721">
        <w:rPr>
          <w:sz w:val="24"/>
          <w:szCs w:val="24"/>
          <w:lang w:val="en-CA"/>
        </w:rPr>
        <w:t>nM</w:t>
      </w:r>
      <w:proofErr w:type="spellEnd"/>
      <w:r w:rsidRPr="00C10721">
        <w:rPr>
          <w:sz w:val="24"/>
          <w:szCs w:val="24"/>
          <w:lang w:val="en-CA"/>
        </w:rPr>
        <w:t xml:space="preserve"> Smad2 or Smad3 siRNA. RNA was harvested from the cells </w:t>
      </w:r>
      <w:r w:rsidRPr="00C10721">
        <w:rPr>
          <w:sz w:val="24"/>
          <w:szCs w:val="24"/>
          <w:lang w:val="en-CA"/>
        </w:rPr>
        <w:lastRenderedPageBreak/>
        <w:t xml:space="preserve">and used to quantify gene expression using PCR. These results, shown in Supplemental Fig. 2, suggested a siRNA concentration of 25 </w:t>
      </w:r>
      <w:proofErr w:type="spellStart"/>
      <w:r w:rsidRPr="00C10721">
        <w:rPr>
          <w:sz w:val="24"/>
          <w:szCs w:val="24"/>
          <w:lang w:val="en-CA"/>
        </w:rPr>
        <w:t>nM</w:t>
      </w:r>
      <w:proofErr w:type="spellEnd"/>
      <w:r w:rsidRPr="00C10721">
        <w:rPr>
          <w:sz w:val="24"/>
          <w:szCs w:val="24"/>
          <w:lang w:val="en-CA"/>
        </w:rPr>
        <w:t xml:space="preserve"> would provide a strong knock down effect for both Smad2 and Smad3. At this concentration, expression of Smad2 and Smad3 were respectively knocked down by 91% and 86% using corresponding siRNAs, while also maintaining cell integrity </w:t>
      </w:r>
      <w:r w:rsidR="004249E6" w:rsidRPr="001436AE">
        <w:rPr>
          <w:noProof/>
          <w:szCs w:val="24"/>
          <w:lang w:val="en-CA" w:eastAsia="en-CA"/>
        </w:rPr>
        <mc:AlternateContent>
          <mc:Choice Requires="wpg">
            <w:drawing>
              <wp:anchor distT="0" distB="0" distL="114300" distR="114300" simplePos="0" relativeHeight="251658240" behindDoc="0" locked="0" layoutInCell="1" allowOverlap="1" wp14:anchorId="1A4DAEF1" wp14:editId="56C17DBC">
                <wp:simplePos x="0" y="0"/>
                <wp:positionH relativeFrom="margin">
                  <wp:posOffset>-336550</wp:posOffset>
                </wp:positionH>
                <wp:positionV relativeFrom="paragraph">
                  <wp:posOffset>927100</wp:posOffset>
                </wp:positionV>
                <wp:extent cx="6527800" cy="2774950"/>
                <wp:effectExtent l="0" t="0" r="6350" b="6350"/>
                <wp:wrapNone/>
                <wp:docPr id="6508" name="Group 7"/>
                <wp:cNvGraphicFramePr/>
                <a:graphic xmlns:a="http://schemas.openxmlformats.org/drawingml/2006/main">
                  <a:graphicData uri="http://schemas.microsoft.com/office/word/2010/wordprocessingGroup">
                    <wpg:wgp>
                      <wpg:cNvGrpSpPr/>
                      <wpg:grpSpPr>
                        <a:xfrm>
                          <a:off x="0" y="0"/>
                          <a:ext cx="6527800" cy="2774950"/>
                          <a:chOff x="152400" y="-9525"/>
                          <a:chExt cx="6821511" cy="2940779"/>
                        </a:xfrm>
                      </wpg:grpSpPr>
                      <wpg:graphicFrame>
                        <wpg:cNvPr id="6509" name="Chart 6509"/>
                        <wpg:cNvFrPr>
                          <a:graphicFrameLocks/>
                        </wpg:cNvFrPr>
                        <wpg:xfrm>
                          <a:off x="152400" y="224170"/>
                          <a:ext cx="3525911" cy="2707084"/>
                        </wpg:xfrm>
                        <a:graphic>
                          <a:graphicData uri="http://schemas.openxmlformats.org/drawingml/2006/chart">
                            <c:chart xmlns:c="http://schemas.openxmlformats.org/drawingml/2006/chart" xmlns:r="http://schemas.openxmlformats.org/officeDocument/2006/relationships" r:id="rId7"/>
                          </a:graphicData>
                        </a:graphic>
                      </wpg:graphicFrame>
                      <wpg:graphicFrame>
                        <wpg:cNvPr id="6510" name="Chart 6510"/>
                        <wpg:cNvFrPr>
                          <a:graphicFrameLocks/>
                        </wpg:cNvFrPr>
                        <wpg:xfrm>
                          <a:off x="3448000" y="212101"/>
                          <a:ext cx="3525911" cy="2707084"/>
                        </wpg:xfrm>
                        <a:graphic>
                          <a:graphicData uri="http://schemas.openxmlformats.org/drawingml/2006/chart">
                            <c:chart xmlns:c="http://schemas.openxmlformats.org/drawingml/2006/chart" xmlns:r="http://schemas.openxmlformats.org/officeDocument/2006/relationships" r:id="rId8"/>
                          </a:graphicData>
                        </a:graphic>
                      </wpg:graphicFrame>
                      <wps:wsp>
                        <wps:cNvPr id="6511" name="TextBox 5"/>
                        <wps:cNvSpPr txBox="1"/>
                        <wps:spPr>
                          <a:xfrm>
                            <a:off x="421382" y="79257"/>
                            <a:ext cx="359410" cy="276860"/>
                          </a:xfrm>
                          <a:prstGeom prst="rect">
                            <a:avLst/>
                          </a:prstGeom>
                          <a:noFill/>
                        </wps:spPr>
                        <wps:txbx>
                          <w:txbxContent>
                            <w:p w14:paraId="228050D5" w14:textId="77777777" w:rsidR="00C10721" w:rsidRDefault="00C10721" w:rsidP="00C10721">
                              <w:pPr>
                                <w:pStyle w:val="NormalWeb"/>
                                <w:spacing w:before="0" w:beforeAutospacing="0" w:after="0" w:afterAutospacing="0"/>
                              </w:pPr>
                              <w:r>
                                <w:rPr>
                                  <w:rFonts w:ascii="Calibri" w:eastAsia="Times New Roman" w:hAnsi="Calibri"/>
                                  <w:b/>
                                  <w:bCs/>
                                  <w:color w:val="000000"/>
                                  <w:kern w:val="24"/>
                                </w:rPr>
                                <w:t>A</w:t>
                              </w:r>
                            </w:p>
                          </w:txbxContent>
                        </wps:txbx>
                        <wps:bodyPr wrap="square" rtlCol="0">
                          <a:noAutofit/>
                        </wps:bodyPr>
                      </wps:wsp>
                      <wps:wsp>
                        <wps:cNvPr id="6521" name="TextBox 6"/>
                        <wps:cNvSpPr txBox="1"/>
                        <wps:spPr>
                          <a:xfrm>
                            <a:off x="3734089" y="-9525"/>
                            <a:ext cx="359410" cy="276860"/>
                          </a:xfrm>
                          <a:prstGeom prst="rect">
                            <a:avLst/>
                          </a:prstGeom>
                          <a:noFill/>
                        </wps:spPr>
                        <wps:txbx>
                          <w:txbxContent>
                            <w:p w14:paraId="2FA9BEBE" w14:textId="77777777" w:rsidR="00C10721" w:rsidRDefault="00C10721" w:rsidP="00C10721">
                              <w:pPr>
                                <w:pStyle w:val="NormalWeb"/>
                                <w:spacing w:before="0" w:beforeAutospacing="0" w:after="0" w:afterAutospacing="0"/>
                              </w:pPr>
                              <w:r>
                                <w:rPr>
                                  <w:rFonts w:ascii="Calibri" w:eastAsia="Times New Roman" w:hAnsi="Calibri"/>
                                  <w:b/>
                                  <w:bCs/>
                                  <w:color w:val="000000"/>
                                  <w:kern w:val="24"/>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A4DAEF1" id="Group 7" o:spid="_x0000_s1027" style="position:absolute;left:0;text-align:left;margin-left:-26.5pt;margin-top:73pt;width:514pt;height:218.5pt;z-index:251658240;mso-position-horizontal-relative:margin;mso-width-relative:margin;mso-height-relative:margin" coordorigin="1524,-95" coordsize="68215,29407"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6509" o:spid="_x0000_s1028" type="#_x0000_t75" style="position:absolute;left:1524;top:2230;width:35227;height:270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">
                  <v:imagedata r:id="rId9" o:title=""/>
                  <o:lock v:ext="edit" aspectratio="f"/>
                </v:shape>
                <v:shape id="Chart 6510" o:spid="_x0000_s1029" type="#_x0000_t75" style="position:absolute;left:34458;top:2101;width:35291;height:270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">
                  <v:imagedata r:id="rId10" o:title=""/>
                  <o:lock v:ext="edit" aspectratio="f"/>
                </v:shape>
                <v:shape id="TextBox 5" o:spid="_x0000_s1030" type="#_x0000_t202" style="position:absolute;left:4213;top:792;width:3594;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" filled="f" stroked="f">
                  <v:textbox>
                    <w:txbxContent>
                      <w:p w14:paraId="228050D5" w14:textId="77777777" w:rsidR="00C10721" w:rsidRDefault="00C10721" w:rsidP="00C10721">
                        <w:pPr>
                          <w:pStyle w:val="NormalWeb"/>
                          <w:spacing w:before="0" w:beforeAutospacing="0" w:after="0" w:afterAutospacing="0"/>
                        </w:pPr>
                        <w:r>
                          <w:rPr>
                            <w:rFonts w:ascii="Calibri" w:eastAsia="Times New Roman" w:hAnsi="Calibri"/>
                            <w:b/>
                            <w:bCs/>
                            <w:color w:val="000000"/>
                            <w:kern w:val="24"/>
                          </w:rPr>
                          <w:t>A</w:t>
                        </w:r>
                      </w:p>
                    </w:txbxContent>
                  </v:textbox>
                </v:shape>
                <v:shape id="TextBox 6" o:spid="_x0000_s1031" type="#_x0000_t202" style="position:absolute;left:37340;top:-95;width:3594;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" filled="f" stroked="f">
                  <v:textbox>
                    <w:txbxContent>
                      <w:p w14:paraId="2FA9BEBE" w14:textId="77777777" w:rsidR="00C10721" w:rsidRDefault="00C10721" w:rsidP="00C10721">
                        <w:pPr>
                          <w:pStyle w:val="NormalWeb"/>
                          <w:spacing w:before="0" w:beforeAutospacing="0" w:after="0" w:afterAutospacing="0"/>
                        </w:pPr>
                        <w:r>
                          <w:rPr>
                            <w:rFonts w:ascii="Calibri" w:eastAsia="Times New Roman" w:hAnsi="Calibri"/>
                            <w:b/>
                            <w:bCs/>
                            <w:color w:val="000000"/>
                            <w:kern w:val="24"/>
                          </w:rPr>
                          <w:t>B</w:t>
                        </w:r>
                      </w:p>
                    </w:txbxContent>
                  </v:textbox>
                </v:shape>
                <w10:wrap anchorx="margin"/>
              </v:group>
            </w:pict>
          </mc:Fallback>
        </mc:AlternateContent>
      </w:r>
      <w:r w:rsidRPr="00C10721">
        <w:rPr>
          <w:sz w:val="24"/>
          <w:szCs w:val="24"/>
          <w:lang w:val="en-CA"/>
        </w:rPr>
        <w:t>(Supplemental Table 1).</w:t>
      </w:r>
    </w:p>
    <w:p w14:paraId="405EDA88" w14:textId="4FA6A153" w:rsidR="00C10721" w:rsidRDefault="00C10721" w:rsidP="00C10721">
      <w:pPr>
        <w:jc w:val="both"/>
      </w:pPr>
    </w:p>
    <w:p w14:paraId="1E6F6361" w14:textId="033CAE3A" w:rsidR="00C10721" w:rsidRDefault="00C10721" w:rsidP="00C10721">
      <w:pPr>
        <w:jc w:val="both"/>
      </w:pPr>
    </w:p>
    <w:p w14:paraId="7CEE2BBF" w14:textId="78E248A8" w:rsidR="00C10721" w:rsidRDefault="00C10721" w:rsidP="00C10721">
      <w:pPr>
        <w:jc w:val="both"/>
      </w:pPr>
    </w:p>
    <w:p w14:paraId="258A3BFC" w14:textId="77777777" w:rsidR="00C10721" w:rsidRDefault="00C10721" w:rsidP="00C10721">
      <w:pPr>
        <w:jc w:val="both"/>
      </w:pPr>
    </w:p>
    <w:p w14:paraId="0A09B8FB" w14:textId="32F7342A" w:rsidR="00C10721" w:rsidRDefault="00C10721" w:rsidP="00C10721">
      <w:pPr>
        <w:jc w:val="both"/>
      </w:pPr>
    </w:p>
    <w:p w14:paraId="4FCADCD7" w14:textId="208FF72B" w:rsidR="00F95638" w:rsidRDefault="00F95638" w:rsidP="00C10721">
      <w:pPr>
        <w:jc w:val="both"/>
      </w:pPr>
    </w:p>
    <w:p w14:paraId="4E09F72D" w14:textId="30B44FA1" w:rsidR="00C10721" w:rsidRDefault="00C10721" w:rsidP="00C10721">
      <w:pPr>
        <w:jc w:val="both"/>
      </w:pPr>
    </w:p>
    <w:p w14:paraId="105FB13A" w14:textId="421EBA76" w:rsidR="00C10721" w:rsidRDefault="00C10721" w:rsidP="00C10721">
      <w:pPr>
        <w:jc w:val="both"/>
      </w:pPr>
    </w:p>
    <w:p w14:paraId="2FE42A25" w14:textId="5F3188C8" w:rsidR="00C10721" w:rsidRDefault="00C10721" w:rsidP="00C10721">
      <w:pPr>
        <w:jc w:val="both"/>
      </w:pPr>
    </w:p>
    <w:p w14:paraId="0A595B78" w14:textId="2116B2E8" w:rsidR="00C10721" w:rsidRDefault="00C10721" w:rsidP="00C10721">
      <w:pPr>
        <w:jc w:val="both"/>
      </w:pPr>
    </w:p>
    <w:p w14:paraId="7EDA3D7A" w14:textId="7DE6D95A" w:rsidR="00C10721" w:rsidRDefault="00C10721" w:rsidP="00C10721">
      <w:pPr>
        <w:jc w:val="both"/>
        <w:rPr>
          <w:sz w:val="24"/>
          <w:szCs w:val="24"/>
        </w:rPr>
      </w:pPr>
      <w:r w:rsidRPr="00C10721">
        <w:rPr>
          <w:b/>
          <w:bCs/>
          <w:sz w:val="24"/>
          <w:szCs w:val="24"/>
        </w:rPr>
        <w:t xml:space="preserve">Supplemental Fig. </w:t>
      </w:r>
      <w:r w:rsidR="001C765E">
        <w:rPr>
          <w:b/>
          <w:bCs/>
          <w:sz w:val="24"/>
          <w:szCs w:val="24"/>
        </w:rPr>
        <w:t>2</w:t>
      </w:r>
      <w:r w:rsidRPr="00C10721">
        <w:rPr>
          <w:b/>
          <w:bCs/>
          <w:sz w:val="24"/>
          <w:szCs w:val="24"/>
        </w:rPr>
        <w:t>:</w:t>
      </w:r>
      <w:r w:rsidRPr="00C10721">
        <w:rPr>
          <w:sz w:val="24"/>
          <w:szCs w:val="24"/>
        </w:rPr>
        <w:t xml:space="preserve"> Relative expression of Smad2 (A) and Smad3 (B) genes after transfections with no siRNA (untreated control), transfection agents only (without any siRNA), 0 (Control siRNA), 1, 5, 10, 25 and 50 </w:t>
      </w:r>
      <w:proofErr w:type="spellStart"/>
      <w:r w:rsidRPr="00C10721">
        <w:rPr>
          <w:sz w:val="24"/>
          <w:szCs w:val="24"/>
        </w:rPr>
        <w:t>nM</w:t>
      </w:r>
      <w:proofErr w:type="spellEnd"/>
      <w:r w:rsidRPr="00C10721">
        <w:rPr>
          <w:sz w:val="24"/>
          <w:szCs w:val="24"/>
        </w:rPr>
        <w:t xml:space="preserve"> siRNA. Data shown represent the means ± standard errors of the means of data from at least 3 samples for each condition. Duplicate wells were run for every sample. B2M was used as the reference gene.</w:t>
      </w:r>
    </w:p>
    <w:p w14:paraId="1D546AED" w14:textId="43985D1B" w:rsidR="00115853" w:rsidRDefault="00115853" w:rsidP="00115853">
      <w:pPr>
        <w:jc w:val="both"/>
        <w:rPr>
          <w:sz w:val="24"/>
          <w:szCs w:val="24"/>
        </w:rPr>
      </w:pPr>
      <w:r w:rsidRPr="00115853">
        <w:rPr>
          <w:i/>
          <w:iCs/>
          <w:sz w:val="24"/>
          <w:szCs w:val="24"/>
        </w:rPr>
        <w:t>Endogenous positive control experiments:</w:t>
      </w:r>
      <w:r>
        <w:rPr>
          <w:sz w:val="24"/>
          <w:szCs w:val="24"/>
        </w:rPr>
        <w:t xml:space="preserve"> </w:t>
      </w:r>
      <w:r w:rsidRPr="00115853">
        <w:rPr>
          <w:sz w:val="24"/>
          <w:szCs w:val="24"/>
        </w:rPr>
        <w:t xml:space="preserve">To determine whether or not the transfection reagents affected expression of Smad2 or Smad3, endogenous positive control experiments were performed in which MDA-MB-231 cells were treated with transfection media consisting all transfection reagents except the siRNA. Expression of Smad2 and Smad3 were quantified and compared to expression in non-transfected cells. </w:t>
      </w:r>
      <w:r>
        <w:rPr>
          <w:sz w:val="24"/>
          <w:szCs w:val="24"/>
        </w:rPr>
        <w:t>Supplemental Fig. 2</w:t>
      </w:r>
      <w:r w:rsidRPr="00115853">
        <w:rPr>
          <w:sz w:val="24"/>
          <w:szCs w:val="24"/>
        </w:rPr>
        <w:t xml:space="preserve"> shows similar Smad2 and Smad3 mRNA levels in cells transfected with the reagents alone and in non-transfected </w:t>
      </w:r>
      <w:r w:rsidR="00385601">
        <w:rPr>
          <w:sz w:val="24"/>
          <w:szCs w:val="24"/>
        </w:rPr>
        <w:t xml:space="preserve">(untreated) </w:t>
      </w:r>
      <w:r w:rsidRPr="00115853">
        <w:rPr>
          <w:sz w:val="24"/>
          <w:szCs w:val="24"/>
        </w:rPr>
        <w:t>cells, indicating that the transfection reagents had no effect on expression of both Smad2 and Smad3.</w:t>
      </w:r>
    </w:p>
    <w:p w14:paraId="30C2D185" w14:textId="702B07D4" w:rsidR="00C10721" w:rsidRPr="00C10721" w:rsidRDefault="00C10721" w:rsidP="00C10721">
      <w:pPr>
        <w:spacing w:line="276" w:lineRule="auto"/>
        <w:jc w:val="both"/>
        <w:rPr>
          <w:sz w:val="24"/>
          <w:szCs w:val="24"/>
          <w:lang w:val="en-CA"/>
        </w:rPr>
      </w:pPr>
      <w:r w:rsidRPr="00C10721">
        <w:rPr>
          <w:b/>
          <w:sz w:val="24"/>
          <w:szCs w:val="24"/>
          <w:lang w:val="en-CA"/>
        </w:rPr>
        <w:t>Supplemental Table 1:</w:t>
      </w:r>
      <w:r w:rsidRPr="00C10721">
        <w:rPr>
          <w:sz w:val="24"/>
          <w:szCs w:val="24"/>
          <w:lang w:val="en-CA"/>
        </w:rPr>
        <w:t xml:space="preserve"> Calculation of percent knockdown of Smad2 and Smad3 in MDA-MB-231 breast cancer cells. Relative expression of Smad2 and Smad3 were quantified in cells transfected with control siRNA or corresponding siRNA (25 </w:t>
      </w:r>
      <w:proofErr w:type="spellStart"/>
      <w:r w:rsidRPr="00C10721">
        <w:rPr>
          <w:sz w:val="24"/>
          <w:szCs w:val="24"/>
          <w:lang w:val="en-CA"/>
        </w:rPr>
        <w:t>nM</w:t>
      </w:r>
      <w:proofErr w:type="spellEnd"/>
      <w:r w:rsidRPr="00C10721">
        <w:rPr>
          <w:sz w:val="24"/>
          <w:szCs w:val="24"/>
          <w:lang w:val="en-CA"/>
        </w:rPr>
        <w:t>). Data shown represents the mean from 3 samples for each condition. Gene expression was quantified using qPCR. Duplicate wells were run for every sample. B2M was used as the reference gene.</w:t>
      </w:r>
    </w:p>
    <w:tbl>
      <w:tblPr>
        <w:tblW w:w="6379" w:type="dxa"/>
        <w:tblInd w:w="1500" w:type="dxa"/>
        <w:tblLook w:val="04A0" w:firstRow="1" w:lastRow="0" w:firstColumn="1" w:lastColumn="0" w:noHBand="0" w:noVBand="1"/>
      </w:tblPr>
      <w:tblGrid>
        <w:gridCol w:w="1417"/>
        <w:gridCol w:w="1609"/>
        <w:gridCol w:w="1652"/>
        <w:gridCol w:w="1701"/>
      </w:tblGrid>
      <w:tr w:rsidR="00C10721" w:rsidRPr="00431D3B" w14:paraId="08563F79" w14:textId="77777777" w:rsidTr="002859BD">
        <w:trPr>
          <w:trHeight w:val="315"/>
        </w:trPr>
        <w:tc>
          <w:tcPr>
            <w:tcW w:w="1417" w:type="dxa"/>
            <w:vMerge w:val="restart"/>
            <w:tcBorders>
              <w:top w:val="single" w:sz="8" w:space="0" w:color="auto"/>
              <w:left w:val="single" w:sz="8" w:space="0" w:color="auto"/>
              <w:right w:val="single" w:sz="4" w:space="0" w:color="auto"/>
            </w:tcBorders>
            <w:shd w:val="clear" w:color="auto" w:fill="auto"/>
            <w:noWrap/>
            <w:vAlign w:val="bottom"/>
            <w:hideMark/>
          </w:tcPr>
          <w:p w14:paraId="5FA3D490" w14:textId="77777777" w:rsidR="00C10721" w:rsidRPr="00431D3B" w:rsidRDefault="00C10721" w:rsidP="002859BD">
            <w:pPr>
              <w:spacing w:after="0" w:line="240" w:lineRule="auto"/>
              <w:jc w:val="center"/>
              <w:rPr>
                <w:rFonts w:ascii="Calibri" w:hAnsi="Calibri"/>
                <w:color w:val="000000"/>
                <w:szCs w:val="24"/>
                <w:lang w:val="en-CA" w:eastAsia="en-CA"/>
              </w:rPr>
            </w:pPr>
            <w:r w:rsidRPr="00431D3B">
              <w:rPr>
                <w:rFonts w:ascii="Calibri" w:hAnsi="Calibri"/>
                <w:color w:val="000000"/>
                <w:szCs w:val="24"/>
                <w:lang w:val="en-CA" w:eastAsia="en-CA"/>
              </w:rPr>
              <w:t> </w:t>
            </w:r>
          </w:p>
          <w:p w14:paraId="2B1E9020" w14:textId="77777777" w:rsidR="00C10721" w:rsidRPr="00431D3B" w:rsidRDefault="00C10721" w:rsidP="002859BD">
            <w:pPr>
              <w:spacing w:after="0" w:line="240" w:lineRule="auto"/>
              <w:jc w:val="center"/>
              <w:rPr>
                <w:rFonts w:ascii="Calibri" w:hAnsi="Calibri"/>
                <w:color w:val="000000"/>
                <w:szCs w:val="24"/>
                <w:lang w:val="en-CA" w:eastAsia="en-CA"/>
              </w:rPr>
            </w:pPr>
            <w:r w:rsidRPr="00431D3B">
              <w:rPr>
                <w:rFonts w:ascii="Calibri" w:hAnsi="Calibri"/>
                <w:color w:val="000000"/>
                <w:szCs w:val="24"/>
                <w:lang w:val="en-CA" w:eastAsia="en-CA"/>
              </w:rPr>
              <w:lastRenderedPageBreak/>
              <w:t> </w:t>
            </w:r>
          </w:p>
        </w:tc>
        <w:tc>
          <w:tcPr>
            <w:tcW w:w="3261" w:type="dxa"/>
            <w:gridSpan w:val="2"/>
            <w:tcBorders>
              <w:top w:val="single" w:sz="8" w:space="0" w:color="auto"/>
              <w:left w:val="nil"/>
              <w:bottom w:val="single" w:sz="4" w:space="0" w:color="auto"/>
              <w:right w:val="single" w:sz="4" w:space="0" w:color="auto"/>
            </w:tcBorders>
            <w:shd w:val="clear" w:color="auto" w:fill="auto"/>
            <w:noWrap/>
            <w:vAlign w:val="bottom"/>
            <w:hideMark/>
          </w:tcPr>
          <w:p w14:paraId="4E8BE01C" w14:textId="77777777" w:rsidR="00C10721" w:rsidRPr="00431D3B" w:rsidRDefault="00C10721" w:rsidP="002859BD">
            <w:pPr>
              <w:spacing w:after="0" w:line="240" w:lineRule="auto"/>
              <w:jc w:val="center"/>
              <w:rPr>
                <w:rFonts w:ascii="Calibri" w:hAnsi="Calibri"/>
                <w:b/>
                <w:bCs/>
                <w:color w:val="000000"/>
                <w:szCs w:val="24"/>
                <w:lang w:val="en-CA" w:eastAsia="en-CA"/>
              </w:rPr>
            </w:pPr>
            <w:r w:rsidRPr="00431D3B">
              <w:rPr>
                <w:rFonts w:ascii="Calibri" w:hAnsi="Calibri"/>
                <w:b/>
                <w:bCs/>
                <w:color w:val="000000"/>
                <w:szCs w:val="24"/>
                <w:lang w:val="en-CA" w:eastAsia="en-CA"/>
              </w:rPr>
              <w:lastRenderedPageBreak/>
              <w:t>Average relative expression</w:t>
            </w:r>
          </w:p>
        </w:tc>
        <w:tc>
          <w:tcPr>
            <w:tcW w:w="1701" w:type="dxa"/>
            <w:vMerge w:val="restart"/>
            <w:tcBorders>
              <w:top w:val="single" w:sz="8" w:space="0" w:color="auto"/>
              <w:left w:val="single" w:sz="4" w:space="0" w:color="auto"/>
              <w:bottom w:val="single" w:sz="4" w:space="0" w:color="000000"/>
              <w:right w:val="single" w:sz="8" w:space="0" w:color="auto"/>
            </w:tcBorders>
            <w:shd w:val="clear" w:color="auto" w:fill="auto"/>
            <w:noWrap/>
            <w:vAlign w:val="center"/>
            <w:hideMark/>
          </w:tcPr>
          <w:p w14:paraId="67216CC2" w14:textId="77777777" w:rsidR="00C10721" w:rsidRPr="00431D3B" w:rsidRDefault="00C10721" w:rsidP="002859BD">
            <w:pPr>
              <w:spacing w:after="0" w:line="240" w:lineRule="auto"/>
              <w:jc w:val="center"/>
              <w:rPr>
                <w:rFonts w:ascii="Calibri" w:hAnsi="Calibri"/>
                <w:b/>
                <w:bCs/>
                <w:color w:val="000000"/>
                <w:szCs w:val="24"/>
                <w:lang w:val="en-CA" w:eastAsia="en-CA"/>
              </w:rPr>
            </w:pPr>
            <w:r w:rsidRPr="00431D3B">
              <w:rPr>
                <w:rFonts w:ascii="Calibri" w:hAnsi="Calibri"/>
                <w:b/>
                <w:bCs/>
                <w:color w:val="000000"/>
                <w:szCs w:val="24"/>
                <w:lang w:val="en-CA" w:eastAsia="en-CA"/>
              </w:rPr>
              <w:t>% knockdown</w:t>
            </w:r>
          </w:p>
        </w:tc>
      </w:tr>
      <w:tr w:rsidR="00C10721" w:rsidRPr="00431D3B" w14:paraId="12C459DE" w14:textId="77777777" w:rsidTr="002859BD">
        <w:trPr>
          <w:trHeight w:val="315"/>
        </w:trPr>
        <w:tc>
          <w:tcPr>
            <w:tcW w:w="1417" w:type="dxa"/>
            <w:vMerge/>
            <w:tcBorders>
              <w:left w:val="single" w:sz="8" w:space="0" w:color="auto"/>
              <w:bottom w:val="single" w:sz="4" w:space="0" w:color="auto"/>
              <w:right w:val="single" w:sz="4" w:space="0" w:color="auto"/>
            </w:tcBorders>
            <w:shd w:val="clear" w:color="auto" w:fill="auto"/>
            <w:noWrap/>
            <w:vAlign w:val="bottom"/>
            <w:hideMark/>
          </w:tcPr>
          <w:p w14:paraId="6FCDB522" w14:textId="77777777" w:rsidR="00C10721" w:rsidRPr="00431D3B" w:rsidRDefault="00C10721" w:rsidP="002859BD">
            <w:pPr>
              <w:spacing w:after="0" w:line="240" w:lineRule="auto"/>
              <w:jc w:val="center"/>
              <w:rPr>
                <w:rFonts w:ascii="Calibri" w:hAnsi="Calibri"/>
                <w:color w:val="000000"/>
                <w:szCs w:val="24"/>
                <w:lang w:val="en-CA" w:eastAsia="en-CA"/>
              </w:rPr>
            </w:pPr>
          </w:p>
        </w:tc>
        <w:tc>
          <w:tcPr>
            <w:tcW w:w="1609" w:type="dxa"/>
            <w:tcBorders>
              <w:top w:val="nil"/>
              <w:left w:val="nil"/>
              <w:bottom w:val="single" w:sz="4" w:space="0" w:color="auto"/>
              <w:right w:val="single" w:sz="4" w:space="0" w:color="auto"/>
            </w:tcBorders>
            <w:shd w:val="clear" w:color="auto" w:fill="auto"/>
            <w:noWrap/>
            <w:vAlign w:val="bottom"/>
            <w:hideMark/>
          </w:tcPr>
          <w:p w14:paraId="41AAD1B0" w14:textId="77777777" w:rsidR="00C10721" w:rsidRPr="00431D3B" w:rsidRDefault="00C10721" w:rsidP="002859BD">
            <w:pPr>
              <w:spacing w:after="0" w:line="240" w:lineRule="auto"/>
              <w:jc w:val="center"/>
              <w:rPr>
                <w:rFonts w:ascii="Calibri" w:hAnsi="Calibri"/>
                <w:color w:val="000000"/>
                <w:szCs w:val="24"/>
                <w:lang w:val="en-CA" w:eastAsia="en-CA"/>
              </w:rPr>
            </w:pPr>
            <w:r w:rsidRPr="00431D3B">
              <w:rPr>
                <w:rFonts w:ascii="Calibri" w:hAnsi="Calibri"/>
                <w:color w:val="000000"/>
                <w:szCs w:val="24"/>
                <w:lang w:val="en-CA" w:eastAsia="en-CA"/>
              </w:rPr>
              <w:t>control siRNA</w:t>
            </w:r>
          </w:p>
        </w:tc>
        <w:tc>
          <w:tcPr>
            <w:tcW w:w="1652" w:type="dxa"/>
            <w:tcBorders>
              <w:top w:val="nil"/>
              <w:left w:val="nil"/>
              <w:bottom w:val="single" w:sz="4" w:space="0" w:color="auto"/>
              <w:right w:val="single" w:sz="4" w:space="0" w:color="auto"/>
            </w:tcBorders>
            <w:shd w:val="clear" w:color="auto" w:fill="auto"/>
            <w:noWrap/>
            <w:vAlign w:val="bottom"/>
            <w:hideMark/>
          </w:tcPr>
          <w:p w14:paraId="513B1BFC" w14:textId="77777777" w:rsidR="00C10721" w:rsidRPr="00431D3B" w:rsidRDefault="00C10721" w:rsidP="002859BD">
            <w:pPr>
              <w:spacing w:after="0" w:line="240" w:lineRule="auto"/>
              <w:jc w:val="center"/>
              <w:rPr>
                <w:rFonts w:ascii="Calibri" w:hAnsi="Calibri"/>
                <w:color w:val="000000"/>
                <w:szCs w:val="24"/>
                <w:lang w:val="en-CA" w:eastAsia="en-CA"/>
              </w:rPr>
            </w:pPr>
            <w:r w:rsidRPr="00431D3B">
              <w:rPr>
                <w:rFonts w:ascii="Calibri" w:hAnsi="Calibri"/>
                <w:color w:val="000000"/>
                <w:szCs w:val="24"/>
                <w:lang w:val="en-CA" w:eastAsia="en-CA"/>
              </w:rPr>
              <w:t xml:space="preserve">siRNA (25 </w:t>
            </w:r>
            <w:proofErr w:type="spellStart"/>
            <w:r w:rsidRPr="00431D3B">
              <w:rPr>
                <w:rFonts w:ascii="Calibri" w:hAnsi="Calibri"/>
                <w:color w:val="000000"/>
                <w:szCs w:val="24"/>
                <w:lang w:val="en-CA" w:eastAsia="en-CA"/>
              </w:rPr>
              <w:t>nM</w:t>
            </w:r>
            <w:proofErr w:type="spellEnd"/>
            <w:r w:rsidRPr="00431D3B">
              <w:rPr>
                <w:rFonts w:ascii="Calibri" w:hAnsi="Calibri"/>
                <w:color w:val="000000"/>
                <w:szCs w:val="24"/>
                <w:lang w:val="en-CA" w:eastAsia="en-CA"/>
              </w:rPr>
              <w:t>)</w:t>
            </w:r>
          </w:p>
        </w:tc>
        <w:tc>
          <w:tcPr>
            <w:tcW w:w="1701" w:type="dxa"/>
            <w:vMerge/>
            <w:tcBorders>
              <w:top w:val="single" w:sz="8" w:space="0" w:color="auto"/>
              <w:left w:val="single" w:sz="4" w:space="0" w:color="auto"/>
              <w:bottom w:val="single" w:sz="4" w:space="0" w:color="000000"/>
              <w:right w:val="single" w:sz="8" w:space="0" w:color="auto"/>
            </w:tcBorders>
            <w:vAlign w:val="center"/>
            <w:hideMark/>
          </w:tcPr>
          <w:p w14:paraId="63AD8496" w14:textId="77777777" w:rsidR="00C10721" w:rsidRPr="00431D3B" w:rsidRDefault="00C10721" w:rsidP="002859BD">
            <w:pPr>
              <w:spacing w:after="0" w:line="240" w:lineRule="auto"/>
              <w:rPr>
                <w:rFonts w:ascii="Calibri" w:hAnsi="Calibri"/>
                <w:b/>
                <w:bCs/>
                <w:color w:val="000000"/>
                <w:szCs w:val="24"/>
                <w:lang w:val="en-CA" w:eastAsia="en-CA"/>
              </w:rPr>
            </w:pPr>
          </w:p>
        </w:tc>
      </w:tr>
      <w:tr w:rsidR="00C10721" w:rsidRPr="00431D3B" w14:paraId="4E707FCD" w14:textId="77777777" w:rsidTr="002859BD">
        <w:trPr>
          <w:trHeight w:val="315"/>
        </w:trPr>
        <w:tc>
          <w:tcPr>
            <w:tcW w:w="1417" w:type="dxa"/>
            <w:tcBorders>
              <w:top w:val="nil"/>
              <w:left w:val="single" w:sz="8" w:space="0" w:color="auto"/>
              <w:bottom w:val="single" w:sz="4" w:space="0" w:color="auto"/>
              <w:right w:val="single" w:sz="4" w:space="0" w:color="auto"/>
            </w:tcBorders>
            <w:shd w:val="clear" w:color="auto" w:fill="auto"/>
            <w:noWrap/>
            <w:vAlign w:val="bottom"/>
            <w:hideMark/>
          </w:tcPr>
          <w:p w14:paraId="11B8584B" w14:textId="77777777" w:rsidR="00C10721" w:rsidRPr="00431D3B" w:rsidRDefault="00C10721" w:rsidP="002859BD">
            <w:pPr>
              <w:spacing w:after="0" w:line="240" w:lineRule="auto"/>
              <w:jc w:val="center"/>
              <w:rPr>
                <w:rFonts w:ascii="Calibri" w:hAnsi="Calibri"/>
                <w:b/>
                <w:bCs/>
                <w:color w:val="000000"/>
                <w:szCs w:val="24"/>
                <w:lang w:val="en-CA" w:eastAsia="en-CA"/>
              </w:rPr>
            </w:pPr>
            <w:r w:rsidRPr="00431D3B">
              <w:rPr>
                <w:rFonts w:ascii="Calibri" w:hAnsi="Calibri"/>
                <w:b/>
                <w:bCs/>
                <w:color w:val="000000"/>
                <w:szCs w:val="24"/>
                <w:lang w:val="en-CA" w:eastAsia="en-CA"/>
              </w:rPr>
              <w:t>Smad2</w:t>
            </w:r>
          </w:p>
        </w:tc>
        <w:tc>
          <w:tcPr>
            <w:tcW w:w="1609" w:type="dxa"/>
            <w:tcBorders>
              <w:top w:val="nil"/>
              <w:left w:val="nil"/>
              <w:bottom w:val="single" w:sz="4" w:space="0" w:color="auto"/>
              <w:right w:val="single" w:sz="4" w:space="0" w:color="auto"/>
            </w:tcBorders>
            <w:shd w:val="clear" w:color="auto" w:fill="auto"/>
            <w:noWrap/>
            <w:vAlign w:val="bottom"/>
            <w:hideMark/>
          </w:tcPr>
          <w:p w14:paraId="681FE306" w14:textId="77777777" w:rsidR="00C10721" w:rsidRPr="00431D3B" w:rsidRDefault="00C10721" w:rsidP="002859BD">
            <w:pPr>
              <w:spacing w:after="0" w:line="240" w:lineRule="auto"/>
              <w:jc w:val="center"/>
              <w:rPr>
                <w:rFonts w:ascii="Calibri" w:hAnsi="Calibri"/>
                <w:color w:val="000000"/>
                <w:szCs w:val="24"/>
                <w:lang w:val="en-CA" w:eastAsia="en-CA"/>
              </w:rPr>
            </w:pPr>
            <w:r w:rsidRPr="00431D3B">
              <w:rPr>
                <w:rFonts w:ascii="Calibri" w:hAnsi="Calibri"/>
                <w:color w:val="000000"/>
                <w:szCs w:val="24"/>
                <w:lang w:val="en-CA" w:eastAsia="en-CA"/>
              </w:rPr>
              <w:t>0.0248</w:t>
            </w:r>
          </w:p>
        </w:tc>
        <w:tc>
          <w:tcPr>
            <w:tcW w:w="1652" w:type="dxa"/>
            <w:tcBorders>
              <w:top w:val="nil"/>
              <w:left w:val="nil"/>
              <w:bottom w:val="single" w:sz="4" w:space="0" w:color="auto"/>
              <w:right w:val="single" w:sz="4" w:space="0" w:color="auto"/>
            </w:tcBorders>
            <w:shd w:val="clear" w:color="auto" w:fill="auto"/>
            <w:noWrap/>
            <w:vAlign w:val="bottom"/>
            <w:hideMark/>
          </w:tcPr>
          <w:p w14:paraId="2A555CB6" w14:textId="77777777" w:rsidR="00C10721" w:rsidRPr="00431D3B" w:rsidRDefault="00C10721" w:rsidP="002859BD">
            <w:pPr>
              <w:spacing w:after="0" w:line="240" w:lineRule="auto"/>
              <w:jc w:val="center"/>
              <w:rPr>
                <w:rFonts w:ascii="Calibri" w:hAnsi="Calibri"/>
                <w:color w:val="000000"/>
                <w:szCs w:val="24"/>
                <w:lang w:val="en-CA" w:eastAsia="en-CA"/>
              </w:rPr>
            </w:pPr>
            <w:r w:rsidRPr="00431D3B">
              <w:rPr>
                <w:rFonts w:ascii="Calibri" w:hAnsi="Calibri"/>
                <w:color w:val="000000"/>
                <w:szCs w:val="24"/>
                <w:lang w:val="en-CA" w:eastAsia="en-CA"/>
              </w:rPr>
              <w:t>0.0022</w:t>
            </w:r>
          </w:p>
        </w:tc>
        <w:tc>
          <w:tcPr>
            <w:tcW w:w="1701" w:type="dxa"/>
            <w:tcBorders>
              <w:top w:val="nil"/>
              <w:left w:val="nil"/>
              <w:bottom w:val="single" w:sz="4" w:space="0" w:color="auto"/>
              <w:right w:val="single" w:sz="8" w:space="0" w:color="auto"/>
            </w:tcBorders>
            <w:shd w:val="clear" w:color="auto" w:fill="auto"/>
            <w:noWrap/>
            <w:vAlign w:val="bottom"/>
            <w:hideMark/>
          </w:tcPr>
          <w:p w14:paraId="27D26B70" w14:textId="77777777" w:rsidR="00C10721" w:rsidRPr="00431D3B" w:rsidRDefault="00C10721" w:rsidP="002859BD">
            <w:pPr>
              <w:spacing w:after="0" w:line="240" w:lineRule="auto"/>
              <w:jc w:val="center"/>
              <w:rPr>
                <w:rFonts w:ascii="Calibri" w:hAnsi="Calibri"/>
                <w:color w:val="000000"/>
                <w:szCs w:val="24"/>
                <w:lang w:val="en-CA" w:eastAsia="en-CA"/>
              </w:rPr>
            </w:pPr>
            <w:r w:rsidRPr="00431D3B">
              <w:rPr>
                <w:rFonts w:ascii="Calibri" w:hAnsi="Calibri"/>
                <w:color w:val="000000"/>
                <w:szCs w:val="24"/>
                <w:lang w:val="en-CA" w:eastAsia="en-CA"/>
              </w:rPr>
              <w:t>91</w:t>
            </w:r>
          </w:p>
        </w:tc>
      </w:tr>
      <w:tr w:rsidR="00C10721" w:rsidRPr="00431D3B" w14:paraId="6A350022" w14:textId="77777777" w:rsidTr="002859BD">
        <w:trPr>
          <w:trHeight w:val="330"/>
        </w:trPr>
        <w:tc>
          <w:tcPr>
            <w:tcW w:w="1417" w:type="dxa"/>
            <w:tcBorders>
              <w:top w:val="nil"/>
              <w:left w:val="single" w:sz="8" w:space="0" w:color="auto"/>
              <w:bottom w:val="single" w:sz="8" w:space="0" w:color="auto"/>
              <w:right w:val="single" w:sz="4" w:space="0" w:color="auto"/>
            </w:tcBorders>
            <w:shd w:val="clear" w:color="auto" w:fill="auto"/>
            <w:noWrap/>
            <w:vAlign w:val="bottom"/>
            <w:hideMark/>
          </w:tcPr>
          <w:p w14:paraId="4CE3CCB0" w14:textId="77777777" w:rsidR="00C10721" w:rsidRPr="00431D3B" w:rsidRDefault="00C10721" w:rsidP="002859BD">
            <w:pPr>
              <w:spacing w:after="0" w:line="240" w:lineRule="auto"/>
              <w:jc w:val="center"/>
              <w:rPr>
                <w:rFonts w:ascii="Calibri" w:hAnsi="Calibri"/>
                <w:b/>
                <w:bCs/>
                <w:color w:val="000000"/>
                <w:szCs w:val="24"/>
                <w:lang w:val="en-CA" w:eastAsia="en-CA"/>
              </w:rPr>
            </w:pPr>
            <w:r w:rsidRPr="00431D3B">
              <w:rPr>
                <w:rFonts w:ascii="Calibri" w:hAnsi="Calibri"/>
                <w:b/>
                <w:bCs/>
                <w:color w:val="000000"/>
                <w:szCs w:val="24"/>
                <w:lang w:val="en-CA" w:eastAsia="en-CA"/>
              </w:rPr>
              <w:t>Smad3</w:t>
            </w:r>
          </w:p>
        </w:tc>
        <w:tc>
          <w:tcPr>
            <w:tcW w:w="1609" w:type="dxa"/>
            <w:tcBorders>
              <w:top w:val="nil"/>
              <w:left w:val="nil"/>
              <w:bottom w:val="single" w:sz="8" w:space="0" w:color="auto"/>
              <w:right w:val="single" w:sz="4" w:space="0" w:color="auto"/>
            </w:tcBorders>
            <w:shd w:val="clear" w:color="auto" w:fill="auto"/>
            <w:noWrap/>
            <w:vAlign w:val="bottom"/>
            <w:hideMark/>
          </w:tcPr>
          <w:p w14:paraId="5A306762" w14:textId="77777777" w:rsidR="00C10721" w:rsidRPr="00431D3B" w:rsidRDefault="00C10721" w:rsidP="002859BD">
            <w:pPr>
              <w:spacing w:after="0" w:line="240" w:lineRule="auto"/>
              <w:jc w:val="center"/>
              <w:rPr>
                <w:rFonts w:ascii="Calibri" w:hAnsi="Calibri"/>
                <w:color w:val="000000"/>
                <w:szCs w:val="24"/>
                <w:lang w:val="en-CA" w:eastAsia="en-CA"/>
              </w:rPr>
            </w:pPr>
            <w:r w:rsidRPr="00431D3B">
              <w:rPr>
                <w:rFonts w:ascii="Calibri" w:hAnsi="Calibri"/>
                <w:color w:val="000000"/>
                <w:szCs w:val="24"/>
                <w:lang w:val="en-CA" w:eastAsia="en-CA"/>
              </w:rPr>
              <w:t>0.054</w:t>
            </w:r>
            <w:r>
              <w:rPr>
                <w:rFonts w:ascii="Calibri" w:hAnsi="Calibri"/>
                <w:color w:val="000000"/>
                <w:szCs w:val="24"/>
                <w:lang w:val="en-CA" w:eastAsia="en-CA"/>
              </w:rPr>
              <w:t>9</w:t>
            </w:r>
          </w:p>
        </w:tc>
        <w:tc>
          <w:tcPr>
            <w:tcW w:w="1652" w:type="dxa"/>
            <w:tcBorders>
              <w:top w:val="nil"/>
              <w:left w:val="nil"/>
              <w:bottom w:val="single" w:sz="8" w:space="0" w:color="auto"/>
              <w:right w:val="single" w:sz="4" w:space="0" w:color="auto"/>
            </w:tcBorders>
            <w:shd w:val="clear" w:color="auto" w:fill="auto"/>
            <w:noWrap/>
            <w:vAlign w:val="bottom"/>
            <w:hideMark/>
          </w:tcPr>
          <w:p w14:paraId="0DFB0694" w14:textId="77777777" w:rsidR="00C10721" w:rsidRPr="00431D3B" w:rsidRDefault="00C10721" w:rsidP="002859BD">
            <w:pPr>
              <w:spacing w:after="0" w:line="240" w:lineRule="auto"/>
              <w:jc w:val="center"/>
              <w:rPr>
                <w:rFonts w:ascii="Calibri" w:hAnsi="Calibri"/>
                <w:color w:val="000000"/>
                <w:szCs w:val="24"/>
                <w:lang w:val="en-CA" w:eastAsia="en-CA"/>
              </w:rPr>
            </w:pPr>
            <w:r w:rsidRPr="00431D3B">
              <w:rPr>
                <w:rFonts w:ascii="Calibri" w:hAnsi="Calibri"/>
                <w:color w:val="000000"/>
                <w:szCs w:val="24"/>
                <w:lang w:val="en-CA" w:eastAsia="en-CA"/>
              </w:rPr>
              <w:t>0.0075</w:t>
            </w:r>
          </w:p>
        </w:tc>
        <w:tc>
          <w:tcPr>
            <w:tcW w:w="1701" w:type="dxa"/>
            <w:tcBorders>
              <w:top w:val="nil"/>
              <w:left w:val="nil"/>
              <w:bottom w:val="single" w:sz="8" w:space="0" w:color="auto"/>
              <w:right w:val="single" w:sz="8" w:space="0" w:color="auto"/>
            </w:tcBorders>
            <w:shd w:val="clear" w:color="auto" w:fill="auto"/>
            <w:noWrap/>
            <w:vAlign w:val="bottom"/>
            <w:hideMark/>
          </w:tcPr>
          <w:p w14:paraId="7238056C" w14:textId="77777777" w:rsidR="00C10721" w:rsidRPr="00431D3B" w:rsidRDefault="00C10721" w:rsidP="002859BD">
            <w:pPr>
              <w:spacing w:after="0" w:line="240" w:lineRule="auto"/>
              <w:jc w:val="center"/>
              <w:rPr>
                <w:rFonts w:ascii="Calibri" w:hAnsi="Calibri"/>
                <w:color w:val="000000"/>
                <w:szCs w:val="24"/>
                <w:lang w:val="en-CA" w:eastAsia="en-CA"/>
              </w:rPr>
            </w:pPr>
            <w:r w:rsidRPr="00431D3B">
              <w:rPr>
                <w:rFonts w:ascii="Calibri" w:hAnsi="Calibri"/>
                <w:color w:val="000000"/>
                <w:szCs w:val="24"/>
                <w:lang w:val="en-CA" w:eastAsia="en-CA"/>
              </w:rPr>
              <w:t>86</w:t>
            </w:r>
          </w:p>
        </w:tc>
      </w:tr>
    </w:tbl>
    <w:p w14:paraId="0E531AF4" w14:textId="77777777" w:rsidR="00C10721" w:rsidRPr="006448A6" w:rsidRDefault="00C10721" w:rsidP="00C10721">
      <w:pPr>
        <w:rPr>
          <w:lang w:val="en-CA"/>
        </w:rPr>
      </w:pPr>
    </w:p>
    <w:p w14:paraId="1E363761" w14:textId="229B536D" w:rsidR="00C10721" w:rsidRDefault="00385601" w:rsidP="00385601">
      <w:pPr>
        <w:jc w:val="both"/>
        <w:rPr>
          <w:sz w:val="24"/>
          <w:szCs w:val="24"/>
        </w:rPr>
      </w:pPr>
      <w:r w:rsidRPr="00385601">
        <w:rPr>
          <w:i/>
          <w:iCs/>
          <w:sz w:val="24"/>
          <w:szCs w:val="24"/>
        </w:rPr>
        <w:t>siRNA negative control experiment:</w:t>
      </w:r>
      <w:r>
        <w:rPr>
          <w:sz w:val="24"/>
          <w:szCs w:val="24"/>
        </w:rPr>
        <w:t xml:space="preserve"> </w:t>
      </w:r>
      <w:r w:rsidRPr="00385601">
        <w:rPr>
          <w:sz w:val="24"/>
          <w:szCs w:val="24"/>
        </w:rPr>
        <w:t xml:space="preserve">To distinguish sequence-specific silencing from non-specific siRNA downstream effects, MDA-MB-231 cells were transfected with a siRNA negative control consisting of a scrambled sequence. Samples were analyzed similarly as in other transfection experiments. </w:t>
      </w:r>
      <w:r>
        <w:rPr>
          <w:sz w:val="24"/>
          <w:szCs w:val="24"/>
        </w:rPr>
        <w:t>Supplemental Fig. 2</w:t>
      </w:r>
      <w:r w:rsidRPr="00385601">
        <w:rPr>
          <w:sz w:val="24"/>
          <w:szCs w:val="24"/>
        </w:rPr>
        <w:t xml:space="preserve"> shows no significant differences in relative expression of Smad2 or Smad3 between cells transfected with control siRNA </w:t>
      </w:r>
      <w:r>
        <w:rPr>
          <w:sz w:val="24"/>
          <w:szCs w:val="24"/>
        </w:rPr>
        <w:t xml:space="preserve">(0 </w:t>
      </w:r>
      <w:proofErr w:type="spellStart"/>
      <w:r>
        <w:rPr>
          <w:sz w:val="24"/>
          <w:szCs w:val="24"/>
        </w:rPr>
        <w:t>nM</w:t>
      </w:r>
      <w:proofErr w:type="spellEnd"/>
      <w:r>
        <w:rPr>
          <w:sz w:val="24"/>
          <w:szCs w:val="24"/>
        </w:rPr>
        <w:t xml:space="preserve"> of siRNA) </w:t>
      </w:r>
      <w:r w:rsidRPr="00385601">
        <w:rPr>
          <w:sz w:val="24"/>
          <w:szCs w:val="24"/>
        </w:rPr>
        <w:t>and non-trans</w:t>
      </w:r>
      <w:r>
        <w:rPr>
          <w:sz w:val="24"/>
          <w:szCs w:val="24"/>
        </w:rPr>
        <w:t>fected</w:t>
      </w:r>
      <w:r w:rsidRPr="00385601">
        <w:rPr>
          <w:sz w:val="24"/>
          <w:szCs w:val="24"/>
        </w:rPr>
        <w:t xml:space="preserve"> cells, indicating that silencing by Smad2 or Smad3 siRNA is specific, and any downstream effects to gene knockdown can be attributed to the specific silencing of the target genes.</w:t>
      </w:r>
    </w:p>
    <w:p w14:paraId="3BDC492D" w14:textId="2D155CBB" w:rsidR="00385601" w:rsidRDefault="004249E6" w:rsidP="00385601">
      <w:pPr>
        <w:jc w:val="both"/>
        <w:rPr>
          <w:sz w:val="24"/>
          <w:szCs w:val="24"/>
        </w:rPr>
      </w:pPr>
      <w:r>
        <w:rPr>
          <w:noProof/>
          <w:sz w:val="24"/>
          <w:szCs w:val="24"/>
        </w:rPr>
        <w:drawing>
          <wp:anchor distT="0" distB="0" distL="114300" distR="114300" simplePos="0" relativeHeight="251661312" behindDoc="0" locked="0" layoutInCell="1" allowOverlap="1" wp14:anchorId="5F054A81" wp14:editId="5509CAA8">
            <wp:simplePos x="0" y="0"/>
            <wp:positionH relativeFrom="column">
              <wp:posOffset>43180</wp:posOffset>
            </wp:positionH>
            <wp:positionV relativeFrom="paragraph">
              <wp:posOffset>1680845</wp:posOffset>
            </wp:positionV>
            <wp:extent cx="3349742" cy="2169920"/>
            <wp:effectExtent l="0" t="0" r="3175" b="1905"/>
            <wp:wrapNone/>
            <wp:docPr id="1126" name="Chart 1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385601" w:rsidRPr="00385601">
        <w:rPr>
          <w:i/>
          <w:iCs/>
          <w:sz w:val="24"/>
          <w:szCs w:val="24"/>
        </w:rPr>
        <w:t>Transfection Efficiency:</w:t>
      </w:r>
      <w:r w:rsidR="00385601">
        <w:rPr>
          <w:sz w:val="24"/>
          <w:szCs w:val="24"/>
        </w:rPr>
        <w:t xml:space="preserve"> To</w:t>
      </w:r>
      <w:r w:rsidR="00385601" w:rsidRPr="00385601">
        <w:rPr>
          <w:sz w:val="24"/>
          <w:szCs w:val="24"/>
        </w:rPr>
        <w:t xml:space="preserve"> determine efficiency of transfection experiments, MDA-MB-231 cells were transfected with BLOCK-</w:t>
      </w:r>
      <w:proofErr w:type="spellStart"/>
      <w:r w:rsidR="00385601" w:rsidRPr="00385601">
        <w:rPr>
          <w:sz w:val="24"/>
          <w:szCs w:val="24"/>
        </w:rPr>
        <w:t>iT</w:t>
      </w:r>
      <w:proofErr w:type="spellEnd"/>
      <w:r w:rsidR="00385601" w:rsidRPr="00385601">
        <w:rPr>
          <w:sz w:val="24"/>
          <w:szCs w:val="24"/>
        </w:rPr>
        <w:t xml:space="preserve">™ Alexa Fluor® Red Fluorescent Control and extent of red dye uptake analyzed 24 and 48 h post transfection. This was done by individually counting cells that had a noticeable amount of positive red signal per total number of cells in a particular microscopic field. </w:t>
      </w:r>
      <w:r w:rsidR="00385601">
        <w:rPr>
          <w:sz w:val="24"/>
          <w:szCs w:val="24"/>
        </w:rPr>
        <w:t>Supplemental Fig. 3 shows</w:t>
      </w:r>
      <w:r w:rsidR="00385601" w:rsidRPr="00385601">
        <w:rPr>
          <w:sz w:val="24"/>
          <w:szCs w:val="24"/>
        </w:rPr>
        <w:t xml:space="preserve"> percent transfection efficiencies at each time point. These results indicate that for the MDA-MB-231 cells used in transfection experiments, siRNA uptake is achieved and maintained in more than 80% of cells by the time RNA is harvested from transfected cells following flow exposure (48 h).</w:t>
      </w:r>
    </w:p>
    <w:p w14:paraId="319FB8B3" w14:textId="4BE2ECEB" w:rsidR="004249E6" w:rsidRDefault="004249E6" w:rsidP="00385601">
      <w:pPr>
        <w:jc w:val="both"/>
        <w:rPr>
          <w:sz w:val="24"/>
          <w:szCs w:val="24"/>
        </w:rPr>
      </w:pPr>
    </w:p>
    <w:p w14:paraId="5BA7D4DA" w14:textId="6DB9616B" w:rsidR="004249E6" w:rsidRDefault="004249E6" w:rsidP="00385601">
      <w:pPr>
        <w:jc w:val="both"/>
        <w:rPr>
          <w:sz w:val="24"/>
          <w:szCs w:val="24"/>
        </w:rPr>
      </w:pPr>
    </w:p>
    <w:p w14:paraId="7BDB4073" w14:textId="25448247" w:rsidR="004249E6" w:rsidRDefault="004249E6" w:rsidP="00385601">
      <w:pPr>
        <w:jc w:val="both"/>
        <w:rPr>
          <w:sz w:val="24"/>
          <w:szCs w:val="24"/>
        </w:rPr>
      </w:pPr>
    </w:p>
    <w:p w14:paraId="50469311" w14:textId="3E84D2A3" w:rsidR="004249E6" w:rsidRDefault="004249E6" w:rsidP="00385601">
      <w:pPr>
        <w:jc w:val="both"/>
        <w:rPr>
          <w:sz w:val="24"/>
          <w:szCs w:val="24"/>
        </w:rPr>
      </w:pPr>
    </w:p>
    <w:p w14:paraId="08917A6E" w14:textId="50127ED0" w:rsidR="004249E6" w:rsidRDefault="004249E6" w:rsidP="00385601">
      <w:pPr>
        <w:jc w:val="both"/>
        <w:rPr>
          <w:sz w:val="24"/>
          <w:szCs w:val="24"/>
        </w:rPr>
      </w:pPr>
    </w:p>
    <w:p w14:paraId="7097DBE2" w14:textId="0CDB63A4" w:rsidR="004249E6" w:rsidRDefault="004249E6" w:rsidP="00385601">
      <w:pPr>
        <w:jc w:val="both"/>
        <w:rPr>
          <w:sz w:val="24"/>
          <w:szCs w:val="24"/>
        </w:rPr>
      </w:pPr>
    </w:p>
    <w:p w14:paraId="578A4BD7" w14:textId="6F8C58F6" w:rsidR="004249E6" w:rsidRDefault="004249E6" w:rsidP="00385601">
      <w:pPr>
        <w:jc w:val="both"/>
        <w:rPr>
          <w:sz w:val="24"/>
          <w:szCs w:val="24"/>
        </w:rPr>
      </w:pPr>
    </w:p>
    <w:p w14:paraId="0733F3B7" w14:textId="2359BEA4" w:rsidR="004249E6" w:rsidRDefault="004249E6" w:rsidP="004249E6">
      <w:pPr>
        <w:pStyle w:val="Caption"/>
        <w:spacing w:line="276" w:lineRule="auto"/>
        <w:jc w:val="both"/>
        <w:rPr>
          <w:rFonts w:asciiTheme="minorHAnsi" w:hAnsiTheme="minorHAnsi" w:cstheme="minorHAnsi"/>
          <w:b w:val="0"/>
          <w:szCs w:val="24"/>
          <w:lang w:val="en-CA"/>
        </w:rPr>
      </w:pPr>
      <w:r w:rsidRPr="004249E6">
        <w:rPr>
          <w:rFonts w:asciiTheme="minorHAnsi" w:hAnsiTheme="minorHAnsi" w:cstheme="minorHAnsi"/>
          <w:szCs w:val="24"/>
        </w:rPr>
        <w:t xml:space="preserve">Supplemental Fig. </w:t>
      </w:r>
      <w:r w:rsidR="001C765E">
        <w:rPr>
          <w:rFonts w:asciiTheme="minorHAnsi" w:hAnsiTheme="minorHAnsi" w:cstheme="minorHAnsi"/>
          <w:szCs w:val="24"/>
        </w:rPr>
        <w:t>3</w:t>
      </w:r>
      <w:r w:rsidRPr="004249E6">
        <w:rPr>
          <w:rFonts w:asciiTheme="minorHAnsi" w:hAnsiTheme="minorHAnsi" w:cstheme="minorHAnsi"/>
          <w:szCs w:val="24"/>
        </w:rPr>
        <w:t xml:space="preserve">: </w:t>
      </w:r>
      <w:r w:rsidRPr="004249E6">
        <w:rPr>
          <w:rFonts w:asciiTheme="minorHAnsi" w:hAnsiTheme="minorHAnsi" w:cstheme="minorHAnsi"/>
          <w:b w:val="0"/>
          <w:szCs w:val="24"/>
          <w:lang w:val="en-CA"/>
        </w:rPr>
        <w:t>Percent transfection efficiencies at 24 and 48 h post transfection with the Alexa Fluor® Red Fluorescent Oligo Control. Transfection efficiency was calculated as percent of cells with the oligo control per total number of cells in a particular microscope field. Each well was seeded with 200,000 cells. Cells in 3 random microscopic fields were counted for each group. The results presented are an average of 3 random microscopic fields from 3 independent experiments. Data shown represent the means ± standard errors of the means of data from 3 independent experiments.</w:t>
      </w:r>
    </w:p>
    <w:p w14:paraId="44F351C6" w14:textId="77777777" w:rsidR="006A32C1" w:rsidRPr="006A32C1" w:rsidRDefault="006A32C1" w:rsidP="006A32C1">
      <w:pPr>
        <w:rPr>
          <w:lang w:val="en-CA"/>
        </w:rPr>
      </w:pPr>
    </w:p>
    <w:sectPr w:rsidR="006A32C1" w:rsidRPr="006A32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1B2B4B"/>
    <w:multiLevelType w:val="hybridMultilevel"/>
    <w:tmpl w:val="4C468EC4"/>
    <w:lvl w:ilvl="0" w:tplc="6DE6B402">
      <w:start w:val="1"/>
      <w:numFmt w:val="lowerLetter"/>
      <w:lvlText w:val="%1."/>
      <w:lvlJc w:val="left"/>
      <w:pPr>
        <w:ind w:left="218" w:hanging="360"/>
      </w:pPr>
      <w:rPr>
        <w:rFonts w:hint="default"/>
      </w:rPr>
    </w:lvl>
    <w:lvl w:ilvl="1" w:tplc="10090019">
      <w:start w:val="1"/>
      <w:numFmt w:val="lowerLetter"/>
      <w:lvlText w:val="%2."/>
      <w:lvlJc w:val="left"/>
      <w:pPr>
        <w:ind w:left="938" w:hanging="360"/>
      </w:pPr>
    </w:lvl>
    <w:lvl w:ilvl="2" w:tplc="1009001B" w:tentative="1">
      <w:start w:val="1"/>
      <w:numFmt w:val="lowerRoman"/>
      <w:lvlText w:val="%3."/>
      <w:lvlJc w:val="right"/>
      <w:pPr>
        <w:ind w:left="1658" w:hanging="180"/>
      </w:pPr>
    </w:lvl>
    <w:lvl w:ilvl="3" w:tplc="1009000F" w:tentative="1">
      <w:start w:val="1"/>
      <w:numFmt w:val="decimal"/>
      <w:lvlText w:val="%4."/>
      <w:lvlJc w:val="left"/>
      <w:pPr>
        <w:ind w:left="2378" w:hanging="360"/>
      </w:pPr>
    </w:lvl>
    <w:lvl w:ilvl="4" w:tplc="10090019" w:tentative="1">
      <w:start w:val="1"/>
      <w:numFmt w:val="lowerLetter"/>
      <w:lvlText w:val="%5."/>
      <w:lvlJc w:val="left"/>
      <w:pPr>
        <w:ind w:left="3098" w:hanging="360"/>
      </w:pPr>
    </w:lvl>
    <w:lvl w:ilvl="5" w:tplc="1009001B" w:tentative="1">
      <w:start w:val="1"/>
      <w:numFmt w:val="lowerRoman"/>
      <w:lvlText w:val="%6."/>
      <w:lvlJc w:val="right"/>
      <w:pPr>
        <w:ind w:left="3818" w:hanging="180"/>
      </w:pPr>
    </w:lvl>
    <w:lvl w:ilvl="6" w:tplc="1009000F" w:tentative="1">
      <w:start w:val="1"/>
      <w:numFmt w:val="decimal"/>
      <w:lvlText w:val="%7."/>
      <w:lvlJc w:val="left"/>
      <w:pPr>
        <w:ind w:left="4538" w:hanging="360"/>
      </w:pPr>
    </w:lvl>
    <w:lvl w:ilvl="7" w:tplc="10090019" w:tentative="1">
      <w:start w:val="1"/>
      <w:numFmt w:val="lowerLetter"/>
      <w:lvlText w:val="%8."/>
      <w:lvlJc w:val="left"/>
      <w:pPr>
        <w:ind w:left="5258" w:hanging="360"/>
      </w:pPr>
    </w:lvl>
    <w:lvl w:ilvl="8" w:tplc="1009001B" w:tentative="1">
      <w:start w:val="1"/>
      <w:numFmt w:val="lowerRoman"/>
      <w:lvlText w:val="%9."/>
      <w:lvlJc w:val="right"/>
      <w:pPr>
        <w:ind w:left="597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638"/>
    <w:rsid w:val="000B0F16"/>
    <w:rsid w:val="00115853"/>
    <w:rsid w:val="00157ECB"/>
    <w:rsid w:val="001B40C1"/>
    <w:rsid w:val="001C765E"/>
    <w:rsid w:val="00385601"/>
    <w:rsid w:val="003D77C1"/>
    <w:rsid w:val="004249E6"/>
    <w:rsid w:val="006A32C1"/>
    <w:rsid w:val="006F71B7"/>
    <w:rsid w:val="007C06D5"/>
    <w:rsid w:val="00914732"/>
    <w:rsid w:val="00935A33"/>
    <w:rsid w:val="009B471A"/>
    <w:rsid w:val="00B91CAA"/>
    <w:rsid w:val="00C10721"/>
    <w:rsid w:val="00D1418C"/>
    <w:rsid w:val="00D14459"/>
    <w:rsid w:val="00D1696D"/>
    <w:rsid w:val="00F95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AF1C7"/>
  <w15:chartTrackingRefBased/>
  <w15:docId w15:val="{A7E8CD9A-BF4E-4046-AADA-2FE81A54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40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0C1"/>
    <w:rPr>
      <w:rFonts w:ascii="Segoe UI" w:hAnsi="Segoe UI" w:cs="Segoe UI"/>
      <w:sz w:val="18"/>
      <w:szCs w:val="18"/>
    </w:rPr>
  </w:style>
  <w:style w:type="paragraph" w:styleId="NormalWeb">
    <w:name w:val="Normal (Web)"/>
    <w:basedOn w:val="Normal"/>
    <w:uiPriority w:val="99"/>
    <w:rsid w:val="001B40C1"/>
    <w:pPr>
      <w:spacing w:before="100" w:beforeAutospacing="1" w:after="100" w:afterAutospacing="1" w:line="240" w:lineRule="auto"/>
    </w:pPr>
    <w:rPr>
      <w:rFonts w:ascii="Times New Roman" w:eastAsia="Batang" w:hAnsi="Times New Roman" w:cs="Times New Roman"/>
      <w:sz w:val="24"/>
      <w:szCs w:val="24"/>
      <w:lang w:val="fr-FR" w:eastAsia="fr-FR"/>
    </w:rPr>
  </w:style>
  <w:style w:type="paragraph" w:styleId="ListParagraph">
    <w:name w:val="List Paragraph"/>
    <w:basedOn w:val="Normal"/>
    <w:uiPriority w:val="34"/>
    <w:qFormat/>
    <w:rsid w:val="00C10721"/>
    <w:pPr>
      <w:spacing w:after="200" w:line="276" w:lineRule="auto"/>
      <w:ind w:left="720"/>
      <w:contextualSpacing/>
    </w:pPr>
    <w:rPr>
      <w:lang w:val="en-CA"/>
    </w:rPr>
  </w:style>
  <w:style w:type="paragraph" w:styleId="Caption">
    <w:name w:val="caption"/>
    <w:basedOn w:val="Normal"/>
    <w:next w:val="Normal"/>
    <w:uiPriority w:val="35"/>
    <w:qFormat/>
    <w:rsid w:val="004249E6"/>
    <w:pPr>
      <w:spacing w:after="120" w:line="240" w:lineRule="auto"/>
    </w:pPr>
    <w:rPr>
      <w:rFonts w:ascii="Times New Roman" w:eastAsia="Times New Roman" w:hAnsi="Times New Roman" w:cs="Times New Roman"/>
      <w:b/>
      <w:sz w:val="24"/>
      <w:szCs w:val="20"/>
    </w:rPr>
  </w:style>
  <w:style w:type="paragraph" w:customStyle="1" w:styleId="yiv8128626379msonormal">
    <w:name w:val="yiv8128626379msonormal"/>
    <w:basedOn w:val="Normal"/>
    <w:rsid w:val="006A32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084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hart" Target="charts/chart3.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Kenneth%20Fuh\Desktop\Data%20Analysis\PCR\Gene%20Hits%20PCR\Gene%20hits%20PCR%20Master%20Spreadsheet%20April%20201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enneth%20Fuh\Desktop\Data%20Analysis\PCR\Gene%20Hits%20PCR\Gene%20hits%20PCR%20Master%20Spreadsheet%20April%20201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enneth%20Fuh\Desktop\Data%20Analysis\Transfection%20efficiency%20April%20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03416563832722"/>
          <c:y val="4.5478838609502623E-2"/>
          <c:w val="0.78315079422027389"/>
          <c:h val="0.65846586248748951"/>
        </c:manualLayout>
      </c:layout>
      <c:lineChart>
        <c:grouping val="standard"/>
        <c:varyColors val="0"/>
        <c:ser>
          <c:idx val="0"/>
          <c:order val="0"/>
          <c:spPr>
            <a:ln>
              <a:noFill/>
            </a:ln>
          </c:spPr>
          <c:marker>
            <c:symbol val="diamond"/>
            <c:size val="8"/>
            <c:spPr>
              <a:solidFill>
                <a:schemeClr val="tx1"/>
              </a:solidFill>
              <a:ln>
                <a:noFill/>
              </a:ln>
            </c:spPr>
          </c:marker>
          <c:errBars>
            <c:errDir val="y"/>
            <c:errBarType val="both"/>
            <c:errValType val="cust"/>
            <c:noEndCap val="0"/>
            <c:plus>
              <c:numRef>
                <c:f>'siRNA and ILK expts'!$AR$85:$AY$85</c:f>
                <c:numCache>
                  <c:formatCode>General</c:formatCode>
                  <c:ptCount val="8"/>
                  <c:pt idx="0">
                    <c:v>1.5048250492514493E-3</c:v>
                  </c:pt>
                  <c:pt idx="1">
                    <c:v>1.212E-3</c:v>
                  </c:pt>
                  <c:pt idx="2">
                    <c:v>1.6682685574676E-3</c:v>
                  </c:pt>
                  <c:pt idx="3">
                    <c:v>8.2600000000000002E-4</c:v>
                  </c:pt>
                  <c:pt idx="4">
                    <c:v>1.5746759999999999E-3</c:v>
                  </c:pt>
                  <c:pt idx="5">
                    <c:v>1.3546999999999999E-3</c:v>
                  </c:pt>
                  <c:pt idx="6">
                    <c:v>8.8451399999999998E-4</c:v>
                  </c:pt>
                  <c:pt idx="7">
                    <c:v>1.58416E-3</c:v>
                  </c:pt>
                </c:numCache>
              </c:numRef>
            </c:plus>
            <c:minus>
              <c:numRef>
                <c:f>'siRNA and ILK expts'!$AR$85:$AY$85</c:f>
                <c:numCache>
                  <c:formatCode>General</c:formatCode>
                  <c:ptCount val="8"/>
                  <c:pt idx="0">
                    <c:v>1.5048250492514493E-3</c:v>
                  </c:pt>
                  <c:pt idx="1">
                    <c:v>1.212E-3</c:v>
                  </c:pt>
                  <c:pt idx="2">
                    <c:v>1.6682685574676E-3</c:v>
                  </c:pt>
                  <c:pt idx="3">
                    <c:v>8.2600000000000002E-4</c:v>
                  </c:pt>
                  <c:pt idx="4">
                    <c:v>1.5746759999999999E-3</c:v>
                  </c:pt>
                  <c:pt idx="5">
                    <c:v>1.3546999999999999E-3</c:v>
                  </c:pt>
                  <c:pt idx="6">
                    <c:v>8.8451399999999998E-4</c:v>
                  </c:pt>
                  <c:pt idx="7">
                    <c:v>1.58416E-3</c:v>
                  </c:pt>
                </c:numCache>
              </c:numRef>
            </c:minus>
          </c:errBars>
          <c:cat>
            <c:strRef>
              <c:f>'siRNA and ILK expts'!$AI$84:$AP$84</c:f>
              <c:strCache>
                <c:ptCount val="8"/>
                <c:pt idx="0">
                  <c:v>Untreated</c:v>
                </c:pt>
                <c:pt idx="1">
                  <c:v>Transfection agents</c:v>
                </c:pt>
                <c:pt idx="2">
                  <c:v>0</c:v>
                </c:pt>
                <c:pt idx="3">
                  <c:v>1</c:v>
                </c:pt>
                <c:pt idx="4">
                  <c:v>5</c:v>
                </c:pt>
                <c:pt idx="5">
                  <c:v>10</c:v>
                </c:pt>
                <c:pt idx="6">
                  <c:v>25</c:v>
                </c:pt>
                <c:pt idx="7">
                  <c:v>50</c:v>
                </c:pt>
              </c:strCache>
            </c:strRef>
          </c:cat>
          <c:val>
            <c:numRef>
              <c:f>'siRNA and ILK expts'!$AI$85:$AP$85</c:f>
              <c:numCache>
                <c:formatCode>General</c:formatCode>
                <c:ptCount val="8"/>
                <c:pt idx="0">
                  <c:v>2.720470510300383E-2</c:v>
                </c:pt>
                <c:pt idx="1">
                  <c:v>3.1620000000000002E-2</c:v>
                </c:pt>
                <c:pt idx="2">
                  <c:v>2.4819999999999998E-2</c:v>
                </c:pt>
                <c:pt idx="3">
                  <c:v>2.1149999999999999E-2</c:v>
                </c:pt>
                <c:pt idx="4">
                  <c:v>1.601E-2</c:v>
                </c:pt>
                <c:pt idx="5">
                  <c:v>1.2144E-2</c:v>
                </c:pt>
                <c:pt idx="6" formatCode="0.0000">
                  <c:v>2.1991498249999998E-3</c:v>
                </c:pt>
                <c:pt idx="7">
                  <c:v>1.7214000000000001E-3</c:v>
                </c:pt>
              </c:numCache>
            </c:numRef>
          </c:val>
          <c:smooth val="0"/>
          <c:extLst>
            <c:ext xmlns:c16="http://schemas.microsoft.com/office/drawing/2014/chart" uri="{C3380CC4-5D6E-409C-BE32-E72D297353CC}">
              <c16:uniqueId val="{00000000-3A79-43AE-BFB7-52AC9C774965}"/>
            </c:ext>
          </c:extLst>
        </c:ser>
        <c:dLbls>
          <c:showLegendKey val="0"/>
          <c:showVal val="0"/>
          <c:showCatName val="0"/>
          <c:showSerName val="0"/>
          <c:showPercent val="0"/>
          <c:showBubbleSize val="0"/>
        </c:dLbls>
        <c:marker val="1"/>
        <c:smooth val="0"/>
        <c:axId val="220112768"/>
        <c:axId val="220114944"/>
      </c:lineChart>
      <c:catAx>
        <c:axId val="220112768"/>
        <c:scaling>
          <c:orientation val="minMax"/>
        </c:scaling>
        <c:delete val="0"/>
        <c:axPos val="b"/>
        <c:title>
          <c:tx>
            <c:rich>
              <a:bodyPr/>
              <a:lstStyle/>
              <a:p>
                <a:pPr>
                  <a:defRPr b="0"/>
                </a:pPr>
                <a:r>
                  <a:rPr lang="en-US" b="0"/>
                  <a:t>siRNA concentration (nM)</a:t>
                </a:r>
              </a:p>
            </c:rich>
          </c:tx>
          <c:layout>
            <c:manualLayout>
              <c:xMode val="edge"/>
              <c:yMode val="edge"/>
              <c:x val="0.38587983443501234"/>
              <c:y val="0.80716342830749843"/>
            </c:manualLayout>
          </c:layout>
          <c:overlay val="0"/>
        </c:title>
        <c:numFmt formatCode="General" sourceLinked="0"/>
        <c:majorTickMark val="out"/>
        <c:minorTickMark val="none"/>
        <c:tickLblPos val="nextTo"/>
        <c:spPr>
          <a:ln w="12700">
            <a:solidFill>
              <a:schemeClr val="tx1"/>
            </a:solidFill>
          </a:ln>
        </c:spPr>
        <c:txPr>
          <a:bodyPr/>
          <a:lstStyle/>
          <a:p>
            <a:pPr>
              <a:defRPr sz="800"/>
            </a:pPr>
            <a:endParaRPr lang="en-US"/>
          </a:p>
        </c:txPr>
        <c:crossAx val="220114944"/>
        <c:crosses val="autoZero"/>
        <c:auto val="1"/>
        <c:lblAlgn val="ctr"/>
        <c:lblOffset val="100"/>
        <c:noMultiLvlLbl val="0"/>
      </c:catAx>
      <c:valAx>
        <c:axId val="220114944"/>
        <c:scaling>
          <c:orientation val="minMax"/>
          <c:max val="3.4000000000000009E-2"/>
          <c:min val="0"/>
        </c:scaling>
        <c:delete val="0"/>
        <c:axPos val="l"/>
        <c:title>
          <c:tx>
            <c:rich>
              <a:bodyPr rot="-5400000" vert="horz"/>
              <a:lstStyle/>
              <a:p>
                <a:pPr>
                  <a:defRPr b="0"/>
                </a:pPr>
                <a:r>
                  <a:rPr lang="en-US" b="0"/>
                  <a:t>Relative Smad2 expression</a:t>
                </a:r>
              </a:p>
            </c:rich>
          </c:tx>
          <c:overlay val="0"/>
        </c:title>
        <c:numFmt formatCode="#,##0.000" sourceLinked="0"/>
        <c:majorTickMark val="out"/>
        <c:minorTickMark val="none"/>
        <c:tickLblPos val="nextTo"/>
        <c:spPr>
          <a:ln w="12700">
            <a:solidFill>
              <a:schemeClr val="tx1"/>
            </a:solidFill>
          </a:ln>
        </c:spPr>
        <c:crossAx val="220112768"/>
        <c:crosses val="autoZero"/>
        <c:crossBetween val="between"/>
        <c:majorUnit val="5.000000000000001E-3"/>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143225963446044"/>
          <c:y val="4.5478838609502623E-2"/>
          <c:w val="0.78675270022414068"/>
          <c:h val="0.65846586248748951"/>
        </c:manualLayout>
      </c:layout>
      <c:lineChart>
        <c:grouping val="standard"/>
        <c:varyColors val="0"/>
        <c:ser>
          <c:idx val="0"/>
          <c:order val="0"/>
          <c:spPr>
            <a:ln>
              <a:noFill/>
            </a:ln>
          </c:spPr>
          <c:marker>
            <c:symbol val="diamond"/>
            <c:size val="8"/>
            <c:spPr>
              <a:solidFill>
                <a:schemeClr val="tx1"/>
              </a:solidFill>
              <a:ln>
                <a:noFill/>
              </a:ln>
            </c:spPr>
          </c:marker>
          <c:errBars>
            <c:errDir val="y"/>
            <c:errBarType val="both"/>
            <c:errValType val="cust"/>
            <c:noEndCap val="0"/>
            <c:plus>
              <c:numRef>
                <c:f>'siRNA and ILK expts'!$AR$86:$AY$86</c:f>
                <c:numCache>
                  <c:formatCode>General</c:formatCode>
                  <c:ptCount val="8"/>
                  <c:pt idx="0">
                    <c:v>1.5687450000000001E-3</c:v>
                  </c:pt>
                  <c:pt idx="1">
                    <c:v>2.5500000000000002E-3</c:v>
                  </c:pt>
                  <c:pt idx="2">
                    <c:v>3.1240757808158001E-3</c:v>
                  </c:pt>
                  <c:pt idx="3">
                    <c:v>2.5780815800000001E-3</c:v>
                  </c:pt>
                  <c:pt idx="4">
                    <c:v>4.0757808157999998E-3</c:v>
                  </c:pt>
                  <c:pt idx="5">
                    <c:v>2.5874000000000001E-3</c:v>
                  </c:pt>
                  <c:pt idx="6">
                    <c:v>2.7578081579999998E-3</c:v>
                  </c:pt>
                  <c:pt idx="7">
                    <c:v>1.58E-3</c:v>
                  </c:pt>
                </c:numCache>
              </c:numRef>
            </c:plus>
            <c:minus>
              <c:numRef>
                <c:f>'siRNA and ILK expts'!$AR$86:$AY$86</c:f>
                <c:numCache>
                  <c:formatCode>General</c:formatCode>
                  <c:ptCount val="8"/>
                  <c:pt idx="0">
                    <c:v>1.5687450000000001E-3</c:v>
                  </c:pt>
                  <c:pt idx="1">
                    <c:v>2.5500000000000002E-3</c:v>
                  </c:pt>
                  <c:pt idx="2">
                    <c:v>3.1240757808158001E-3</c:v>
                  </c:pt>
                  <c:pt idx="3">
                    <c:v>2.5780815800000001E-3</c:v>
                  </c:pt>
                  <c:pt idx="4">
                    <c:v>4.0757808157999998E-3</c:v>
                  </c:pt>
                  <c:pt idx="5">
                    <c:v>2.5874000000000001E-3</c:v>
                  </c:pt>
                  <c:pt idx="6">
                    <c:v>2.7578081579999998E-3</c:v>
                  </c:pt>
                  <c:pt idx="7">
                    <c:v>1.58E-3</c:v>
                  </c:pt>
                </c:numCache>
              </c:numRef>
            </c:minus>
          </c:errBars>
          <c:cat>
            <c:strRef>
              <c:f>'siRNA and ILK expts'!$AI$84:$AP$84</c:f>
              <c:strCache>
                <c:ptCount val="8"/>
                <c:pt idx="0">
                  <c:v>Untreated</c:v>
                </c:pt>
                <c:pt idx="1">
                  <c:v>Transfection agents</c:v>
                </c:pt>
                <c:pt idx="2">
                  <c:v>0</c:v>
                </c:pt>
                <c:pt idx="3">
                  <c:v>1</c:v>
                </c:pt>
                <c:pt idx="4">
                  <c:v>5</c:v>
                </c:pt>
                <c:pt idx="5">
                  <c:v>10</c:v>
                </c:pt>
                <c:pt idx="6">
                  <c:v>25</c:v>
                </c:pt>
                <c:pt idx="7">
                  <c:v>50</c:v>
                </c:pt>
              </c:strCache>
            </c:strRef>
          </c:cat>
          <c:val>
            <c:numRef>
              <c:f>'siRNA and ILK expts'!$AI$86:$AP$86</c:f>
              <c:numCache>
                <c:formatCode>General</c:formatCode>
                <c:ptCount val="8"/>
                <c:pt idx="0">
                  <c:v>5.2775782155586724E-2</c:v>
                </c:pt>
                <c:pt idx="1">
                  <c:v>5.6189999999999997E-2</c:v>
                </c:pt>
                <c:pt idx="2">
                  <c:v>5.4890000000000001E-2</c:v>
                </c:pt>
                <c:pt idx="3">
                  <c:v>4.2574000000000001E-2</c:v>
                </c:pt>
                <c:pt idx="4">
                  <c:v>2.5739999999999999E-2</c:v>
                </c:pt>
                <c:pt idx="5">
                  <c:v>1.2784999999999999E-2</c:v>
                </c:pt>
                <c:pt idx="6" formatCode="0.0000">
                  <c:v>7.5420009720450999E-3</c:v>
                </c:pt>
                <c:pt idx="7">
                  <c:v>7.3000409999999995E-4</c:v>
                </c:pt>
              </c:numCache>
            </c:numRef>
          </c:val>
          <c:smooth val="0"/>
          <c:extLst>
            <c:ext xmlns:c16="http://schemas.microsoft.com/office/drawing/2014/chart" uri="{C3380CC4-5D6E-409C-BE32-E72D297353CC}">
              <c16:uniqueId val="{00000000-257F-4CEE-B013-6352992AA954}"/>
            </c:ext>
          </c:extLst>
        </c:ser>
        <c:dLbls>
          <c:showLegendKey val="0"/>
          <c:showVal val="0"/>
          <c:showCatName val="0"/>
          <c:showSerName val="0"/>
          <c:showPercent val="0"/>
          <c:showBubbleSize val="0"/>
        </c:dLbls>
        <c:marker val="1"/>
        <c:smooth val="0"/>
        <c:axId val="220221440"/>
        <c:axId val="220223360"/>
      </c:lineChart>
      <c:catAx>
        <c:axId val="220221440"/>
        <c:scaling>
          <c:orientation val="minMax"/>
        </c:scaling>
        <c:delete val="0"/>
        <c:axPos val="b"/>
        <c:title>
          <c:tx>
            <c:rich>
              <a:bodyPr/>
              <a:lstStyle/>
              <a:p>
                <a:pPr>
                  <a:defRPr b="0"/>
                </a:pPr>
                <a:r>
                  <a:rPr lang="en-US" b="0"/>
                  <a:t>siRNA concentration (nM)</a:t>
                </a:r>
              </a:p>
            </c:rich>
          </c:tx>
          <c:layout>
            <c:manualLayout>
              <c:xMode val="edge"/>
              <c:yMode val="edge"/>
              <c:x val="0.38587983443501234"/>
              <c:y val="0.80716342830749843"/>
            </c:manualLayout>
          </c:layout>
          <c:overlay val="0"/>
        </c:title>
        <c:numFmt formatCode="General" sourceLinked="0"/>
        <c:majorTickMark val="out"/>
        <c:minorTickMark val="none"/>
        <c:tickLblPos val="nextTo"/>
        <c:spPr>
          <a:ln w="12700">
            <a:solidFill>
              <a:schemeClr val="tx1"/>
            </a:solidFill>
          </a:ln>
        </c:spPr>
        <c:txPr>
          <a:bodyPr/>
          <a:lstStyle/>
          <a:p>
            <a:pPr>
              <a:defRPr sz="800"/>
            </a:pPr>
            <a:endParaRPr lang="en-US"/>
          </a:p>
        </c:txPr>
        <c:crossAx val="220223360"/>
        <c:crosses val="autoZero"/>
        <c:auto val="1"/>
        <c:lblAlgn val="ctr"/>
        <c:lblOffset val="100"/>
        <c:noMultiLvlLbl val="0"/>
      </c:catAx>
      <c:valAx>
        <c:axId val="220223360"/>
        <c:scaling>
          <c:orientation val="minMax"/>
          <c:max val="6.0000000000000012E-2"/>
          <c:min val="0"/>
        </c:scaling>
        <c:delete val="0"/>
        <c:axPos val="l"/>
        <c:title>
          <c:tx>
            <c:rich>
              <a:bodyPr rot="-5400000" vert="horz"/>
              <a:lstStyle/>
              <a:p>
                <a:pPr>
                  <a:defRPr b="0"/>
                </a:pPr>
                <a:r>
                  <a:rPr lang="en-US" b="0"/>
                  <a:t>Relative Smad3 expression</a:t>
                </a:r>
              </a:p>
            </c:rich>
          </c:tx>
          <c:overlay val="0"/>
        </c:title>
        <c:numFmt formatCode="#,##0.00" sourceLinked="0"/>
        <c:majorTickMark val="out"/>
        <c:minorTickMark val="none"/>
        <c:tickLblPos val="nextTo"/>
        <c:spPr>
          <a:ln w="12700">
            <a:solidFill>
              <a:schemeClr val="tx1"/>
            </a:solidFill>
          </a:ln>
        </c:spPr>
        <c:crossAx val="220221440"/>
        <c:crosses val="autoZero"/>
        <c:crossBetween val="between"/>
        <c:majorUnit val="1.0000000000000002E-2"/>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'[Transfection efficiency April 2016.xlsx]Sheet1'!$R$2</c:f>
              <c:strCache>
                <c:ptCount val="1"/>
                <c:pt idx="0">
                  <c:v>24 hrs</c:v>
                </c:pt>
              </c:strCache>
            </c:strRef>
          </c:tx>
          <c:spPr>
            <a:solidFill>
              <a:schemeClr val="tx1">
                <a:lumMod val="50000"/>
                <a:lumOff val="50000"/>
              </a:schemeClr>
            </a:solidFill>
            <a:ln w="12700">
              <a:solidFill>
                <a:schemeClr val="tx1"/>
              </a:solidFill>
            </a:ln>
          </c:spPr>
          <c:invertIfNegative val="0"/>
          <c:errBars>
            <c:errBarType val="both"/>
            <c:errValType val="cust"/>
            <c:noEndCap val="0"/>
            <c:plus>
              <c:numRef>
                <c:f>'[Transfection efficiency April 2016.xlsx]Sheet1'!$R$4:$S$4</c:f>
                <c:numCache>
                  <c:formatCode>General</c:formatCode>
                  <c:ptCount val="2"/>
                  <c:pt idx="0">
                    <c:v>4.6948760120829149</c:v>
                  </c:pt>
                  <c:pt idx="1">
                    <c:v>3.7026360334241728</c:v>
                  </c:pt>
                </c:numCache>
              </c:numRef>
            </c:plus>
            <c:minus>
              <c:numRef>
                <c:f>'[Transfection efficiency April 2016.xlsx]Sheet1'!$R$4:$S$4</c:f>
                <c:numCache>
                  <c:formatCode>General</c:formatCode>
                  <c:ptCount val="2"/>
                  <c:pt idx="0">
                    <c:v>4.6948760120829149</c:v>
                  </c:pt>
                  <c:pt idx="1">
                    <c:v>3.7026360334241728</c:v>
                  </c:pt>
                </c:numCache>
              </c:numRef>
            </c:minus>
          </c:errBars>
          <c:cat>
            <c:strRef>
              <c:f>'[Transfection efficiency April 2016.xlsx]Sheet1'!$R$2:$S$2</c:f>
              <c:strCache>
                <c:ptCount val="2"/>
                <c:pt idx="0">
                  <c:v>24 hrs</c:v>
                </c:pt>
                <c:pt idx="1">
                  <c:v>48 hrs</c:v>
                </c:pt>
              </c:strCache>
            </c:strRef>
          </c:cat>
          <c:val>
            <c:numRef>
              <c:f>'[Transfection efficiency April 2016.xlsx]Sheet1'!$R$3:$S$3</c:f>
              <c:numCache>
                <c:formatCode>General</c:formatCode>
                <c:ptCount val="2"/>
                <c:pt idx="0">
                  <c:v>67.220753619967994</c:v>
                </c:pt>
                <c:pt idx="1">
                  <c:v>83.445386993181103</c:v>
                </c:pt>
              </c:numCache>
            </c:numRef>
          </c:val>
          <c:extLst>
            <c:ext xmlns:c16="http://schemas.microsoft.com/office/drawing/2014/chart" uri="{C3380CC4-5D6E-409C-BE32-E72D297353CC}">
              <c16:uniqueId val="{00000000-02EA-4725-A3FD-892AA73B887A}"/>
            </c:ext>
          </c:extLst>
        </c:ser>
        <c:dLbls>
          <c:showLegendKey val="0"/>
          <c:showVal val="0"/>
          <c:showCatName val="0"/>
          <c:showSerName val="0"/>
          <c:showPercent val="0"/>
          <c:showBubbleSize val="0"/>
        </c:dLbls>
        <c:gapWidth val="150"/>
        <c:axId val="220263552"/>
        <c:axId val="220265088"/>
      </c:barChart>
      <c:catAx>
        <c:axId val="220263552"/>
        <c:scaling>
          <c:orientation val="minMax"/>
        </c:scaling>
        <c:delete val="0"/>
        <c:axPos val="b"/>
        <c:numFmt formatCode="General" sourceLinked="0"/>
        <c:majorTickMark val="out"/>
        <c:minorTickMark val="none"/>
        <c:tickLblPos val="nextTo"/>
        <c:spPr>
          <a:ln w="12700">
            <a:solidFill>
              <a:schemeClr val="tx1"/>
            </a:solidFill>
          </a:ln>
        </c:spPr>
        <c:txPr>
          <a:bodyPr/>
          <a:lstStyle/>
          <a:p>
            <a:pPr>
              <a:defRPr sz="1200" b="1"/>
            </a:pPr>
            <a:endParaRPr lang="en-US"/>
          </a:p>
        </c:txPr>
        <c:crossAx val="220265088"/>
        <c:crosses val="autoZero"/>
        <c:auto val="1"/>
        <c:lblAlgn val="ctr"/>
        <c:lblOffset val="100"/>
        <c:noMultiLvlLbl val="0"/>
      </c:catAx>
      <c:valAx>
        <c:axId val="220265088"/>
        <c:scaling>
          <c:orientation val="minMax"/>
          <c:max val="100"/>
          <c:min val="0"/>
        </c:scaling>
        <c:delete val="0"/>
        <c:axPos val="l"/>
        <c:title>
          <c:tx>
            <c:rich>
              <a:bodyPr rot="-5400000" vert="horz"/>
              <a:lstStyle/>
              <a:p>
                <a:pPr>
                  <a:defRPr sz="1200"/>
                </a:pPr>
                <a:r>
                  <a:rPr lang="en-US" sz="1200" dirty="0"/>
                  <a:t>% transfection efficiency</a:t>
                </a:r>
              </a:p>
            </c:rich>
          </c:tx>
          <c:overlay val="0"/>
        </c:title>
        <c:numFmt formatCode="General" sourceLinked="1"/>
        <c:majorTickMark val="out"/>
        <c:minorTickMark val="none"/>
        <c:tickLblPos val="nextTo"/>
        <c:spPr>
          <a:ln w="12700">
            <a:solidFill>
              <a:schemeClr val="tx1"/>
            </a:solidFill>
          </a:ln>
        </c:spPr>
        <c:txPr>
          <a:bodyPr/>
          <a:lstStyle/>
          <a:p>
            <a:pPr>
              <a:defRPr sz="1200" b="0"/>
            </a:pPr>
            <a:endParaRPr lang="en-US"/>
          </a:p>
        </c:txPr>
        <c:crossAx val="220263552"/>
        <c:crosses val="autoZero"/>
        <c:crossBetween val="between"/>
        <c:majorUnit val="20"/>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Fuh</dc:creator>
  <cp:keywords/>
  <dc:description/>
  <cp:lastModifiedBy>Kenneth Fuh</cp:lastModifiedBy>
  <cp:revision>2</cp:revision>
  <dcterms:created xsi:type="dcterms:W3CDTF">2020-11-28T21:09:00Z</dcterms:created>
  <dcterms:modified xsi:type="dcterms:W3CDTF">2020-11-28T21:09:00Z</dcterms:modified>
</cp:coreProperties>
</file>