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434EF6" w14:textId="6E6D5AEA" w:rsidR="00414322" w:rsidRPr="007D500D" w:rsidRDefault="00761F06" w:rsidP="006D203B">
      <w:pPr>
        <w:rPr>
          <w:b/>
          <w:bCs/>
          <w:lang w:val="en-US"/>
        </w:rPr>
      </w:pPr>
      <w:bookmarkStart w:id="0" w:name="_GoBack"/>
      <w:r w:rsidRPr="007D500D">
        <w:rPr>
          <w:b/>
          <w:bCs/>
          <w:lang w:val="en-US"/>
        </w:rPr>
        <w:t>Additional file 1</w:t>
      </w:r>
      <w:r w:rsidR="002A2D3C" w:rsidRPr="007D500D">
        <w:rPr>
          <w:b/>
          <w:bCs/>
          <w:lang w:val="en-US"/>
        </w:rPr>
        <w:t>:</w:t>
      </w:r>
      <w:r w:rsidRPr="007D500D">
        <w:rPr>
          <w:b/>
          <w:bCs/>
          <w:lang w:val="en-US"/>
        </w:rPr>
        <w:t xml:space="preserve"> Supplementary figures</w:t>
      </w:r>
    </w:p>
    <w:p w14:paraId="55BE619D" w14:textId="4134C9BB" w:rsidR="00AD36A3" w:rsidRPr="007D500D" w:rsidRDefault="6420F3BD" w:rsidP="00AD36A3">
      <w:pPr>
        <w:spacing w:line="360" w:lineRule="auto"/>
        <w:jc w:val="both"/>
        <w:rPr>
          <w:rFonts w:ascii="Calibri" w:eastAsia="Calibri" w:hAnsi="Calibri" w:cs="Calibri"/>
          <w:lang w:val="en-US"/>
        </w:rPr>
      </w:pPr>
      <w:r w:rsidRPr="007D500D">
        <w:rPr>
          <w:noProof/>
          <w:lang w:val="en-IN" w:eastAsia="en-IN"/>
        </w:rPr>
        <w:drawing>
          <wp:inline distT="0" distB="0" distL="0" distR="0" wp14:anchorId="55E5566A" wp14:editId="59587688">
            <wp:extent cx="5724524" cy="5577840"/>
            <wp:effectExtent l="0" t="0" r="9525"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pic:nvPicPr>
                  <pic:blipFill>
                    <a:blip r:embed="rId7">
                      <a:extLst>
                        <a:ext uri="{28A0092B-C50C-407E-A947-70E740481C1C}">
                          <a14:useLocalDpi xmlns:a14="http://schemas.microsoft.com/office/drawing/2010/main" val="0"/>
                        </a:ext>
                      </a:extLst>
                    </a:blip>
                    <a:stretch>
                      <a:fillRect/>
                    </a:stretch>
                  </pic:blipFill>
                  <pic:spPr>
                    <a:xfrm>
                      <a:off x="0" y="0"/>
                      <a:ext cx="5724524" cy="5577840"/>
                    </a:xfrm>
                    <a:prstGeom prst="rect">
                      <a:avLst/>
                    </a:prstGeom>
                  </pic:spPr>
                </pic:pic>
              </a:graphicData>
            </a:graphic>
          </wp:inline>
        </w:drawing>
      </w:r>
      <w:r w:rsidR="00AD36A3" w:rsidRPr="007D500D">
        <w:rPr>
          <w:rFonts w:ascii="Calibri" w:eastAsia="Calibri" w:hAnsi="Calibri" w:cs="Calibri"/>
          <w:lang w:val="en-US"/>
        </w:rPr>
        <w:t>Supplementary Figure 1:</w:t>
      </w:r>
      <w:r w:rsidR="00AD36A3" w:rsidRPr="007D500D">
        <w:rPr>
          <w:rFonts w:ascii="Calibri" w:eastAsia="Calibri" w:hAnsi="Calibri" w:cs="Calibri"/>
          <w:color w:val="ED7C31"/>
          <w:lang w:val="en-US"/>
        </w:rPr>
        <w:t xml:space="preserve"> </w:t>
      </w:r>
      <w:r w:rsidR="00AD36A3" w:rsidRPr="007D500D">
        <w:rPr>
          <w:rFonts w:ascii="Calibri" w:eastAsia="Calibri" w:hAnsi="Calibri" w:cs="Calibri"/>
          <w:lang w:val="en-US"/>
        </w:rPr>
        <w:t xml:space="preserve">Volcano plot of the differences in DNA methylation sites in 5-year survivors before and after NACT. The dots represent each tested </w:t>
      </w:r>
      <w:proofErr w:type="spellStart"/>
      <w:r w:rsidR="00AD36A3" w:rsidRPr="007D500D">
        <w:rPr>
          <w:rFonts w:ascii="Calibri" w:eastAsia="Calibri" w:hAnsi="Calibri" w:cs="Calibri"/>
          <w:lang w:val="en-US"/>
        </w:rPr>
        <w:t>CpG</w:t>
      </w:r>
      <w:proofErr w:type="spellEnd"/>
      <w:r w:rsidR="00AD36A3" w:rsidRPr="007D500D">
        <w:rPr>
          <w:rFonts w:ascii="Calibri" w:eastAsia="Calibri" w:hAnsi="Calibri" w:cs="Calibri"/>
          <w:lang w:val="en-US"/>
        </w:rPr>
        <w:t xml:space="preserve"> site with the -log10 of the FDR-adjusted </w:t>
      </w:r>
      <w:proofErr w:type="gramStart"/>
      <w:r w:rsidR="00AD36A3" w:rsidRPr="007D500D">
        <w:rPr>
          <w:rFonts w:ascii="Calibri" w:eastAsia="Calibri" w:hAnsi="Calibri" w:cs="Calibri"/>
          <w:lang w:val="en-US"/>
        </w:rPr>
        <w:t>p-value</w:t>
      </w:r>
      <w:proofErr w:type="gramEnd"/>
      <w:r w:rsidR="00AD36A3" w:rsidRPr="007D500D">
        <w:rPr>
          <w:rFonts w:ascii="Calibri" w:eastAsia="Calibri" w:hAnsi="Calibri" w:cs="Calibri"/>
          <w:lang w:val="en-US"/>
        </w:rPr>
        <w:t xml:space="preserve"> relative to the effect size (log10 fold change). The statistically significant </w:t>
      </w:r>
      <w:proofErr w:type="spellStart"/>
      <w:r w:rsidR="00AD36A3" w:rsidRPr="007D500D">
        <w:rPr>
          <w:rFonts w:ascii="Calibri" w:eastAsia="Calibri" w:hAnsi="Calibri" w:cs="Calibri"/>
          <w:lang w:val="en-US"/>
        </w:rPr>
        <w:t>CpG</w:t>
      </w:r>
      <w:proofErr w:type="spellEnd"/>
      <w:r w:rsidR="00AD36A3" w:rsidRPr="007D500D">
        <w:rPr>
          <w:rFonts w:ascii="Calibri" w:eastAsia="Calibri" w:hAnsi="Calibri" w:cs="Calibri"/>
          <w:lang w:val="en-US"/>
        </w:rPr>
        <w:t xml:space="preserve"> sites that gained methylation after treatment are plotted in blue, and the statistically significant sites that were less methylated after treatment are plotted in red.</w:t>
      </w:r>
    </w:p>
    <w:p w14:paraId="651B6BE0" w14:textId="4E862B31" w:rsidR="00AD36A3" w:rsidRPr="007D500D" w:rsidRDefault="00AD36A3">
      <w:pPr>
        <w:rPr>
          <w:lang w:val="en-US"/>
        </w:rPr>
      </w:pPr>
    </w:p>
    <w:p w14:paraId="0C33D42A" w14:textId="3B5F0F2C" w:rsidR="008319FE" w:rsidRPr="007D500D" w:rsidRDefault="008319FE">
      <w:pPr>
        <w:rPr>
          <w:lang w:val="en-US"/>
        </w:rPr>
      </w:pPr>
    </w:p>
    <w:p w14:paraId="48D5E280" w14:textId="505F2855" w:rsidR="008319FE" w:rsidRPr="007D500D" w:rsidRDefault="008319FE">
      <w:pPr>
        <w:rPr>
          <w:lang w:val="en-US"/>
        </w:rPr>
      </w:pPr>
    </w:p>
    <w:p w14:paraId="6D9B2AEE" w14:textId="77777777" w:rsidR="008319FE" w:rsidRPr="007D500D" w:rsidRDefault="008319FE">
      <w:pPr>
        <w:rPr>
          <w:lang w:val="en-US"/>
        </w:rPr>
      </w:pPr>
    </w:p>
    <w:p w14:paraId="6700BD95" w14:textId="6A272167" w:rsidR="00D14330" w:rsidRPr="007D500D" w:rsidRDefault="6420F3BD">
      <w:pPr>
        <w:rPr>
          <w:lang w:val="en-US"/>
        </w:rPr>
      </w:pPr>
      <w:r w:rsidRPr="007D500D">
        <w:rPr>
          <w:noProof/>
          <w:lang w:val="en-IN" w:eastAsia="en-IN"/>
        </w:rPr>
        <w:lastRenderedPageBreak/>
        <w:drawing>
          <wp:inline distT="0" distB="0" distL="0" distR="0" wp14:anchorId="07227C02" wp14:editId="0F91D913">
            <wp:extent cx="5944871" cy="8405494"/>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
                    <pic:cNvPicPr/>
                  </pic:nvPicPr>
                  <pic:blipFill>
                    <a:blip r:embed="rId8">
                      <a:extLst>
                        <a:ext uri="{28A0092B-C50C-407E-A947-70E740481C1C}">
                          <a14:useLocalDpi xmlns:a14="http://schemas.microsoft.com/office/drawing/2010/main" val="0"/>
                        </a:ext>
                      </a:extLst>
                    </a:blip>
                    <a:stretch>
                      <a:fillRect/>
                    </a:stretch>
                  </pic:blipFill>
                  <pic:spPr>
                    <a:xfrm>
                      <a:off x="0" y="0"/>
                      <a:ext cx="5944871" cy="8405494"/>
                    </a:xfrm>
                    <a:prstGeom prst="rect">
                      <a:avLst/>
                    </a:prstGeom>
                  </pic:spPr>
                </pic:pic>
              </a:graphicData>
            </a:graphic>
          </wp:inline>
        </w:drawing>
      </w:r>
    </w:p>
    <w:p w14:paraId="20797A9A" w14:textId="77777777" w:rsidR="00D14330" w:rsidRPr="007D500D" w:rsidRDefault="00D14330">
      <w:pPr>
        <w:rPr>
          <w:lang w:val="en-US"/>
        </w:rPr>
      </w:pPr>
    </w:p>
    <w:p w14:paraId="59FF9EEB" w14:textId="1FE64AC9" w:rsidR="7456778F" w:rsidRPr="007D500D" w:rsidRDefault="00D14330" w:rsidP="42060715">
      <w:pPr>
        <w:rPr>
          <w:lang w:val="en-US"/>
        </w:rPr>
      </w:pPr>
      <w:r w:rsidRPr="007D500D">
        <w:rPr>
          <w:lang w:val="en-US"/>
        </w:rPr>
        <w:t xml:space="preserve">Supplementary figure 2: </w:t>
      </w:r>
      <w:r w:rsidR="6420F3BD" w:rsidRPr="007D500D">
        <w:rPr>
          <w:lang w:val="en-US"/>
        </w:rPr>
        <w:t xml:space="preserve">Supplementary Figure 2: Volcano plots of DNA methylation sites stratified by survival, treatment response, treatment regimens and intrinsic subtypes. The dots indicate loss (pink) and gain (blue) of DNA methylation observed in survivors (before vs after treatment, in total 29,486 significant DNA methylation sites). A) Survivors (same figure as Supplementary Figure 1), B) Non-survivors, C) Responders, D) Non-responders, E) Monotherapy </w:t>
      </w:r>
      <w:proofErr w:type="spellStart"/>
      <w:r w:rsidR="6420F3BD" w:rsidRPr="007D500D">
        <w:rPr>
          <w:lang w:val="en-US"/>
        </w:rPr>
        <w:t>epirubicin</w:t>
      </w:r>
      <w:proofErr w:type="spellEnd"/>
      <w:r w:rsidR="6420F3BD" w:rsidRPr="007D500D">
        <w:rPr>
          <w:lang w:val="en-US"/>
        </w:rPr>
        <w:t xml:space="preserve">, F) Monotherapy paclitaxel, G) </w:t>
      </w:r>
      <w:proofErr w:type="spellStart"/>
      <w:r w:rsidR="6420F3BD" w:rsidRPr="007D500D">
        <w:rPr>
          <w:lang w:val="en-US"/>
        </w:rPr>
        <w:t>Epirubicin</w:t>
      </w:r>
      <w:proofErr w:type="spellEnd"/>
      <w:r w:rsidR="6420F3BD" w:rsidRPr="007D500D">
        <w:rPr>
          <w:lang w:val="en-US"/>
        </w:rPr>
        <w:t xml:space="preserve"> followed by paclitaxel or vice versa, H) ER positive, HER2 negative, I) HER2 positive and J) ER negative, HER2 negative.</w:t>
      </w:r>
    </w:p>
    <w:p w14:paraId="47C56126" w14:textId="36141D9F" w:rsidR="42060715" w:rsidRPr="007D500D" w:rsidRDefault="42060715" w:rsidP="42060715">
      <w:pPr>
        <w:spacing w:line="257" w:lineRule="auto"/>
        <w:rPr>
          <w:rFonts w:ascii="Calibri" w:eastAsia="Calibri" w:hAnsi="Calibri" w:cs="Calibri"/>
          <w:lang w:val="en-US"/>
        </w:rPr>
      </w:pPr>
    </w:p>
    <w:p w14:paraId="2F699F48" w14:textId="1508F2B7" w:rsidR="60CE28AA" w:rsidRPr="007D500D" w:rsidRDefault="60CE28AA" w:rsidP="60CE28AA">
      <w:pPr>
        <w:rPr>
          <w:lang w:val="en-US"/>
        </w:rPr>
      </w:pPr>
    </w:p>
    <w:p w14:paraId="16037A56" w14:textId="602C07F2" w:rsidR="005C02E1" w:rsidRPr="007D500D" w:rsidRDefault="005C02E1" w:rsidP="60CE28AA">
      <w:pPr>
        <w:rPr>
          <w:color w:val="FF0000"/>
          <w:lang w:val="en-US"/>
        </w:rPr>
      </w:pPr>
      <w:r w:rsidRPr="007D500D">
        <w:rPr>
          <w:noProof/>
          <w:lang w:val="en-IN" w:eastAsia="en-IN"/>
        </w:rPr>
        <w:drawing>
          <wp:inline distT="0" distB="0" distL="0" distR="0" wp14:anchorId="10CD2786" wp14:editId="6C7C5803">
            <wp:extent cx="5726430" cy="3054350"/>
            <wp:effectExtent l="0" t="0" r="762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
                    <pic:cNvPicPr/>
                  </pic:nvPicPr>
                  <pic:blipFill>
                    <a:blip r:embed="rId9">
                      <a:extLst>
                        <a:ext uri="{28A0092B-C50C-407E-A947-70E740481C1C}">
                          <a14:useLocalDpi xmlns:a14="http://schemas.microsoft.com/office/drawing/2010/main" val="0"/>
                        </a:ext>
                      </a:extLst>
                    </a:blip>
                    <a:stretch>
                      <a:fillRect/>
                    </a:stretch>
                  </pic:blipFill>
                  <pic:spPr>
                    <a:xfrm>
                      <a:off x="0" y="0"/>
                      <a:ext cx="5726430" cy="3054350"/>
                    </a:xfrm>
                    <a:prstGeom prst="rect">
                      <a:avLst/>
                    </a:prstGeom>
                  </pic:spPr>
                </pic:pic>
              </a:graphicData>
            </a:graphic>
          </wp:inline>
        </w:drawing>
      </w:r>
      <w:r w:rsidRPr="007D500D">
        <w:rPr>
          <w:lang w:val="en-US"/>
        </w:rPr>
        <w:t xml:space="preserve">Supplementary Figure 3: To assess whether the alterations in DNA methylation during treatment made the tumor samples more similar to normal breast, we leveraged the normal adjacent breast tissue from the TCGA cohort (n=97). The mean of the 29,486 </w:t>
      </w:r>
      <w:proofErr w:type="spellStart"/>
      <w:r w:rsidRPr="007D500D">
        <w:rPr>
          <w:lang w:val="en-US"/>
        </w:rPr>
        <w:t>CpGs</w:t>
      </w:r>
      <w:proofErr w:type="spellEnd"/>
      <w:r w:rsidRPr="007D500D">
        <w:rPr>
          <w:lang w:val="en-US"/>
        </w:rPr>
        <w:t xml:space="preserve"> altered during treatment was calculated across the 97 normal adjacent samples, and we determined whether the treatment induced changes in tumor DNA methylation was in the direction towards or away from normal DNA methylation. Of the 29,486 </w:t>
      </w:r>
      <w:proofErr w:type="spellStart"/>
      <w:r w:rsidRPr="007D500D">
        <w:rPr>
          <w:lang w:val="en-US"/>
        </w:rPr>
        <w:t>CpGs</w:t>
      </w:r>
      <w:proofErr w:type="spellEnd"/>
      <w:r w:rsidRPr="007D500D">
        <w:rPr>
          <w:lang w:val="en-US"/>
        </w:rPr>
        <w:t xml:space="preserve">, 22,271 </w:t>
      </w:r>
      <w:proofErr w:type="spellStart"/>
      <w:r w:rsidRPr="007D500D">
        <w:rPr>
          <w:lang w:val="en-US"/>
        </w:rPr>
        <w:t>CpGs</w:t>
      </w:r>
      <w:proofErr w:type="spellEnd"/>
      <w:r w:rsidRPr="007D500D">
        <w:rPr>
          <w:lang w:val="en-US"/>
        </w:rPr>
        <w:t xml:space="preserve"> (90%) had a change in the direction of normal DNA methylation.</w:t>
      </w:r>
    </w:p>
    <w:p w14:paraId="3B77ADDE" w14:textId="4DD99A2E" w:rsidR="006D203B" w:rsidRPr="007D500D" w:rsidRDefault="006D203B" w:rsidP="6420F3BD">
      <w:pPr>
        <w:rPr>
          <w:lang w:val="en-US"/>
        </w:rPr>
      </w:pPr>
    </w:p>
    <w:p w14:paraId="31BCDD49" w14:textId="7B48105D" w:rsidR="0007638D" w:rsidRPr="007D500D" w:rsidRDefault="0007638D" w:rsidP="6420F3BD">
      <w:pPr>
        <w:spacing w:line="360" w:lineRule="auto"/>
        <w:rPr>
          <w:lang w:val="en-US"/>
        </w:rPr>
      </w:pPr>
      <w:r w:rsidRPr="007D500D">
        <w:rPr>
          <w:lang w:val="en-US"/>
        </w:rPr>
        <w:t xml:space="preserve"> </w:t>
      </w:r>
      <w:r w:rsidR="6420F3BD" w:rsidRPr="007D500D">
        <w:rPr>
          <w:noProof/>
          <w:lang w:val="en-IN" w:eastAsia="en-IN"/>
        </w:rPr>
        <w:drawing>
          <wp:inline distT="0" distB="0" distL="0" distR="0" wp14:anchorId="550D1D3C" wp14:editId="53B2DB25">
            <wp:extent cx="5723257" cy="438150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3257" cy="4381500"/>
                    </a:xfrm>
                    <a:prstGeom prst="rect">
                      <a:avLst/>
                    </a:prstGeom>
                  </pic:spPr>
                </pic:pic>
              </a:graphicData>
            </a:graphic>
          </wp:inline>
        </w:drawing>
      </w:r>
    </w:p>
    <w:p w14:paraId="38F8896D" w14:textId="49278780" w:rsidR="0007638D" w:rsidRPr="007D500D" w:rsidRDefault="00AD36A3" w:rsidP="6420F3BD">
      <w:pPr>
        <w:rPr>
          <w:lang w:val="en-US"/>
        </w:rPr>
      </w:pPr>
      <w:r w:rsidRPr="007D500D">
        <w:rPr>
          <w:lang w:val="en-US"/>
        </w:rPr>
        <w:t xml:space="preserve">Supplementary </w:t>
      </w:r>
      <w:r w:rsidR="0007638D" w:rsidRPr="007D500D">
        <w:rPr>
          <w:lang w:val="en-US"/>
        </w:rPr>
        <w:t>Figure 4: Estimated relative fractions of immune cells in the tumor samples before and after treatment in 5-year non-survivors. There were no significant changes in immune cell composition.</w:t>
      </w:r>
    </w:p>
    <w:p w14:paraId="7F73A2E7" w14:textId="123D743A" w:rsidR="00787511" w:rsidRPr="007D500D" w:rsidRDefault="00787511">
      <w:pPr>
        <w:rPr>
          <w:lang w:val="en-US"/>
        </w:rPr>
      </w:pPr>
    </w:p>
    <w:p w14:paraId="2A29A83A" w14:textId="063F462D" w:rsidR="60CE28AA" w:rsidRPr="007D500D" w:rsidRDefault="60CE28AA" w:rsidP="60CE28AA">
      <w:pPr>
        <w:rPr>
          <w:lang w:val="en-US"/>
        </w:rPr>
      </w:pPr>
    </w:p>
    <w:p w14:paraId="6156F94D" w14:textId="20C5F661" w:rsidR="60CE28AA" w:rsidRPr="007D500D" w:rsidRDefault="60CE28AA" w:rsidP="60CE28AA">
      <w:pPr>
        <w:rPr>
          <w:lang w:val="en-US"/>
        </w:rPr>
      </w:pPr>
    </w:p>
    <w:p w14:paraId="6AB67D31" w14:textId="0174E3CB" w:rsidR="60CE28AA" w:rsidRPr="007D500D" w:rsidRDefault="001F5711" w:rsidP="42060715">
      <w:pPr>
        <w:rPr>
          <w:lang w:val="en-US"/>
        </w:rPr>
      </w:pPr>
      <w:r w:rsidRPr="007D500D">
        <w:rPr>
          <w:noProof/>
          <w:lang w:val="en-IN" w:eastAsia="en-IN"/>
        </w:rPr>
        <w:drawing>
          <wp:inline distT="0" distB="0" distL="0" distR="0" wp14:anchorId="6B720CDD" wp14:editId="4761412A">
            <wp:extent cx="5727701" cy="3044190"/>
            <wp:effectExtent l="0" t="0" r="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
                    <pic:cNvPicPr/>
                  </pic:nvPicPr>
                  <pic:blipFill>
                    <a:blip r:embed="rId11">
                      <a:extLst>
                        <a:ext uri="{28A0092B-C50C-407E-A947-70E740481C1C}">
                          <a14:useLocalDpi xmlns:a14="http://schemas.microsoft.com/office/drawing/2010/main" val="0"/>
                        </a:ext>
                      </a:extLst>
                    </a:blip>
                    <a:stretch>
                      <a:fillRect/>
                    </a:stretch>
                  </pic:blipFill>
                  <pic:spPr>
                    <a:xfrm>
                      <a:off x="0" y="0"/>
                      <a:ext cx="5727701" cy="3044190"/>
                    </a:xfrm>
                    <a:prstGeom prst="rect">
                      <a:avLst/>
                    </a:prstGeom>
                  </pic:spPr>
                </pic:pic>
              </a:graphicData>
            </a:graphic>
          </wp:inline>
        </w:drawing>
      </w:r>
      <w:r w:rsidRPr="007D500D">
        <w:rPr>
          <w:lang w:val="en-US"/>
        </w:rPr>
        <w:t>Supplementary figure 5</w:t>
      </w:r>
      <w:r w:rsidR="60CE28AA" w:rsidRPr="007D500D">
        <w:rPr>
          <w:lang w:val="en-US"/>
        </w:rPr>
        <w:t xml:space="preserve">: Survival plots of the high and low risk groups in the validation cohort. A) The separation between high and low risk groups in patients that received doxorubicin monotherapy was not significant (p=0.39) B) There is a significant separation between high and low risk groups in patients that received 5-FU and </w:t>
      </w:r>
      <w:proofErr w:type="spellStart"/>
      <w:r w:rsidR="60CE28AA" w:rsidRPr="007D500D">
        <w:rPr>
          <w:lang w:val="en-US"/>
        </w:rPr>
        <w:t>mitomycin</w:t>
      </w:r>
      <w:proofErr w:type="spellEnd"/>
      <w:r w:rsidR="60CE28AA" w:rsidRPr="007D500D">
        <w:rPr>
          <w:lang w:val="en-US"/>
        </w:rPr>
        <w:t xml:space="preserve"> (p=0.052)</w:t>
      </w:r>
    </w:p>
    <w:bookmarkEnd w:id="0"/>
    <w:p w14:paraId="2486C67F" w14:textId="392F7CD7" w:rsidR="60CE28AA" w:rsidRDefault="60CE28AA" w:rsidP="60CE28AA">
      <w:pPr>
        <w:rPr>
          <w:lang w:val="en-US"/>
        </w:rPr>
      </w:pPr>
    </w:p>
    <w:sectPr w:rsidR="60CE28AA" w:rsidSect="007E75B3">
      <w:pgSz w:w="11906" w:h="16838"/>
      <w:pgMar w:top="1440" w:right="1440" w:bottom="1440" w:left="1440" w:header="708" w:footer="708"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6A3"/>
    <w:rsid w:val="0007638D"/>
    <w:rsid w:val="001073CD"/>
    <w:rsid w:val="001F5711"/>
    <w:rsid w:val="002A2D3C"/>
    <w:rsid w:val="003933B7"/>
    <w:rsid w:val="00414322"/>
    <w:rsid w:val="00461BEB"/>
    <w:rsid w:val="005C02E1"/>
    <w:rsid w:val="006308C1"/>
    <w:rsid w:val="0067129B"/>
    <w:rsid w:val="0069697F"/>
    <w:rsid w:val="006D203B"/>
    <w:rsid w:val="00761F06"/>
    <w:rsid w:val="00787511"/>
    <w:rsid w:val="007D500D"/>
    <w:rsid w:val="007E75B3"/>
    <w:rsid w:val="008050FD"/>
    <w:rsid w:val="008319FE"/>
    <w:rsid w:val="008A0B0F"/>
    <w:rsid w:val="00917FDE"/>
    <w:rsid w:val="009654E2"/>
    <w:rsid w:val="00AC6B8A"/>
    <w:rsid w:val="00AD36A3"/>
    <w:rsid w:val="00AE57C4"/>
    <w:rsid w:val="00D14330"/>
    <w:rsid w:val="00D51B02"/>
    <w:rsid w:val="023768AC"/>
    <w:rsid w:val="075BDA88"/>
    <w:rsid w:val="15D02CC7"/>
    <w:rsid w:val="1907CD89"/>
    <w:rsid w:val="1C3C78F3"/>
    <w:rsid w:val="2107A5C1"/>
    <w:rsid w:val="258A162B"/>
    <w:rsid w:val="25DB16E4"/>
    <w:rsid w:val="2636A598"/>
    <w:rsid w:val="27868E85"/>
    <w:rsid w:val="2B30345E"/>
    <w:rsid w:val="2C0403E0"/>
    <w:rsid w:val="2D302CAB"/>
    <w:rsid w:val="338E4035"/>
    <w:rsid w:val="35221633"/>
    <w:rsid w:val="36BDE694"/>
    <w:rsid w:val="37408C55"/>
    <w:rsid w:val="3794F895"/>
    <w:rsid w:val="40CE463E"/>
    <w:rsid w:val="41BD8732"/>
    <w:rsid w:val="42060715"/>
    <w:rsid w:val="441E9124"/>
    <w:rsid w:val="522C993B"/>
    <w:rsid w:val="52B67DBA"/>
    <w:rsid w:val="59587688"/>
    <w:rsid w:val="59CD820A"/>
    <w:rsid w:val="5FCF5103"/>
    <w:rsid w:val="60CE28AA"/>
    <w:rsid w:val="61AA56D7"/>
    <w:rsid w:val="635B3BF3"/>
    <w:rsid w:val="6420F3BD"/>
    <w:rsid w:val="64B0A317"/>
    <w:rsid w:val="7456778F"/>
    <w:rsid w:val="7600F311"/>
    <w:rsid w:val="7750F06A"/>
    <w:rsid w:val="7E6D40D3"/>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B3CD7"/>
  <w15:chartTrackingRefBased/>
  <w15:docId w15:val="{98953A74-EC57-4276-B076-011989F67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6A3"/>
    <w:rPr>
      <w:lang w:val="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AD36A3"/>
    <w:pPr>
      <w:spacing w:line="240" w:lineRule="auto"/>
    </w:pPr>
    <w:rPr>
      <w:sz w:val="20"/>
      <w:szCs w:val="20"/>
    </w:rPr>
  </w:style>
  <w:style w:type="character" w:customStyle="1" w:styleId="CommentTextChar">
    <w:name w:val="Comment Text Char"/>
    <w:basedOn w:val="DefaultParagraphFont"/>
    <w:link w:val="CommentText"/>
    <w:uiPriority w:val="99"/>
    <w:rsid w:val="00AD36A3"/>
    <w:rPr>
      <w:sz w:val="20"/>
      <w:szCs w:val="20"/>
      <w:lang w:val="nb-NO"/>
    </w:rPr>
  </w:style>
  <w:style w:type="character" w:styleId="CommentReference">
    <w:name w:val="annotation reference"/>
    <w:basedOn w:val="DefaultParagraphFont"/>
    <w:uiPriority w:val="99"/>
    <w:semiHidden/>
    <w:unhideWhenUsed/>
    <w:rsid w:val="00AD36A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0a0642a4312a4b60" Type="http://schemas.microsoft.com/office/2016/09/relationships/commentsIds" Target="commentsIds.xml"/><Relationship Id="rId5" Type="http://schemas.openxmlformats.org/officeDocument/2006/relationships/settings" Target="settings.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6BA3FDBE386C4CA079926578749826" ma:contentTypeVersion="4" ma:contentTypeDescription="Create a new document." ma:contentTypeScope="" ma:versionID="9ed180fd434daeef6c4c51d2c28d299f">
  <xsd:schema xmlns:xsd="http://www.w3.org/2001/XMLSchema" xmlns:xs="http://www.w3.org/2001/XMLSchema" xmlns:p="http://schemas.microsoft.com/office/2006/metadata/properties" xmlns:ns2="20745ec8-f202-4c75-b229-975a169c31a0" targetNamespace="http://schemas.microsoft.com/office/2006/metadata/properties" ma:root="true" ma:fieldsID="458ff52337ff9c69fb7d54c206f8fe81" ns2:_="">
    <xsd:import namespace="20745ec8-f202-4c75-b229-975a169c31a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745ec8-f202-4c75-b229-975a169c3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620EBB-E64E-471F-A698-3A0CB54E7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745ec8-f202-4c75-b229-975a169c31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4C3DE6-C609-4E58-B1E4-B5E062B3ADB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B19583-26F5-4A81-8159-52EF450360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341</Words>
  <Characters>1945</Characters>
  <Application>Microsoft Office Word</Application>
  <DocSecurity>0</DocSecurity>
  <Lines>16</Lines>
  <Paragraphs>4</Paragraphs>
  <ScaleCrop>false</ScaleCrop>
  <Company/>
  <LinksUpToDate>false</LinksUpToDate>
  <CharactersWithSpaces>2282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Aaserød Pedersen</dc:creator>
  <cp:keywords/>
  <dc:description/>
  <cp:lastModifiedBy>Yamuna R.</cp:lastModifiedBy>
  <cp:revision>25</cp:revision>
  <dcterms:created xsi:type="dcterms:W3CDTF">2021-09-29T08:02:00Z</dcterms:created>
  <dcterms:modified xsi:type="dcterms:W3CDTF">2022-06-13T03:42:00Z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0x010100026BA3FDBE386C4CA079926578749826</vt:lpwstr>
  </property>
</Properties>
</file>