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  <w:bookmarkStart w:id="0" w:name="_GoBack"/>
      <w:bookmarkEnd w:id="0"/>
      <w:r w:rsidRPr="008F4B34">
        <w:rPr>
          <w:rFonts w:ascii="Arial" w:hAnsi="Arial" w:cs="Arial"/>
          <w:b/>
          <w:bCs/>
        </w:rPr>
        <w:t xml:space="preserve">Supplemental Figure 1: DFI </w:t>
      </w:r>
      <w:r w:rsidRPr="008F4B34">
        <w:rPr>
          <w:rFonts w:ascii="Arial" w:hAnsi="Arial" w:cs="Arial"/>
          <w:b/>
        </w:rPr>
        <w:t xml:space="preserve">Benefit </w:t>
      </w:r>
      <w:proofErr w:type="gramStart"/>
      <w:r w:rsidRPr="008F4B34">
        <w:rPr>
          <w:rFonts w:ascii="Arial" w:hAnsi="Arial" w:cs="Arial"/>
          <w:b/>
        </w:rPr>
        <w:t>From</w:t>
      </w:r>
      <w:proofErr w:type="gramEnd"/>
      <w:r w:rsidRPr="008F4B34">
        <w:rPr>
          <w:rFonts w:ascii="Arial" w:hAnsi="Arial" w:cs="Arial"/>
          <w:b/>
        </w:rPr>
        <w:t xml:space="preserve"> 10 vs 5 y Tamoxifen is Associated with Increasing BCI (H/I) Levels </w:t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</w:rPr>
        <w:t xml:space="preserve">Continuous risk curves based on DFI after 5- and 10-years of tamoxifen as a function of </w:t>
      </w:r>
      <w:proofErr w:type="spellStart"/>
      <w:r w:rsidRPr="008F4B34">
        <w:rPr>
          <w:rFonts w:ascii="Arial" w:hAnsi="Arial" w:cs="Arial"/>
        </w:rPr>
        <w:t>estrogen</w:t>
      </w:r>
      <w:proofErr w:type="spellEnd"/>
      <w:r w:rsidRPr="008F4B34">
        <w:rPr>
          <w:rFonts w:ascii="Arial" w:hAnsi="Arial" w:cs="Arial"/>
        </w:rPr>
        <w:t xml:space="preserve"> receptor (ER), progesterone receptor (PR), androgen receptor (AR), and Ki67 immunohistochemistry (IHC) expression, AR/ER IHC ratio and BCI (H/I) values. </w:t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  <w:noProof/>
          <w:lang w:eastAsia="en-IN"/>
        </w:rPr>
        <w:drawing>
          <wp:inline distT="0" distB="0" distL="0" distR="0" wp14:anchorId="17F006ED" wp14:editId="6E466007">
            <wp:extent cx="5854700" cy="333581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432" r="33815" b="32451"/>
                    <a:stretch/>
                  </pic:blipFill>
                  <pic:spPr bwMode="auto">
                    <a:xfrm>
                      <a:off x="0" y="0"/>
                      <a:ext cx="5864898" cy="334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  <w:r w:rsidRPr="008F4B34">
        <w:rPr>
          <w:rFonts w:ascii="Arial" w:hAnsi="Arial" w:cs="Arial"/>
          <w:b/>
          <w:bCs/>
        </w:rPr>
        <w:lastRenderedPageBreak/>
        <w:t>Supplemental Figure 2: DFS Benefit From 10 vs 5 y Tamoxifen</w:t>
      </w:r>
      <w:r w:rsidRPr="008F4B34">
        <w:rPr>
          <w:rFonts w:ascii="Arial" w:hAnsi="Arial" w:cs="Arial"/>
          <w:b/>
        </w:rPr>
        <w:t xml:space="preserve"> is Associated with Increasing BCI (H/I) Levels </w:t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</w:rPr>
        <w:t xml:space="preserve">Continuous risk curves based on DFS after 5- and 10-years of tamoxifen as a function of </w:t>
      </w:r>
      <w:proofErr w:type="spellStart"/>
      <w:r w:rsidRPr="008F4B34">
        <w:rPr>
          <w:rFonts w:ascii="Arial" w:hAnsi="Arial" w:cs="Arial"/>
        </w:rPr>
        <w:t>estrogen</w:t>
      </w:r>
      <w:proofErr w:type="spellEnd"/>
      <w:r w:rsidRPr="008F4B34">
        <w:rPr>
          <w:rFonts w:ascii="Arial" w:hAnsi="Arial" w:cs="Arial"/>
        </w:rPr>
        <w:t xml:space="preserve"> receptor (ER), progesterone receptor (PR), androgen receptor (AR), and Ki67 immunohistochemistry (IHC) expression, AR/ER IHC ratio and BCI (H/I) values. </w:t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  <w:noProof/>
          <w:lang w:eastAsia="en-IN"/>
        </w:rPr>
        <w:drawing>
          <wp:inline distT="0" distB="0" distL="0" distR="0" wp14:anchorId="1CDED3A6" wp14:editId="2B6A3862">
            <wp:extent cx="5886450" cy="335390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347" r="33815" b="32533"/>
                    <a:stretch/>
                  </pic:blipFill>
                  <pic:spPr bwMode="auto">
                    <a:xfrm>
                      <a:off x="0" y="0"/>
                      <a:ext cx="5896903" cy="3359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  <w:b/>
          <w:bCs/>
        </w:rPr>
        <w:lastRenderedPageBreak/>
        <w:t xml:space="preserve">Supplemental Figure 3: </w:t>
      </w:r>
      <w:r w:rsidRPr="008F4B34">
        <w:rPr>
          <w:rFonts w:ascii="Arial" w:hAnsi="Arial" w:cs="Arial"/>
          <w:b/>
        </w:rPr>
        <w:t xml:space="preserve">Extended Endocrine Benefit From 10 vs 5 y Tamoxifen is Not Associated with Allred scores of ER, PR, or </w:t>
      </w:r>
      <w:proofErr w:type="gramStart"/>
      <w:r w:rsidRPr="008F4B34">
        <w:rPr>
          <w:rFonts w:ascii="Arial" w:hAnsi="Arial" w:cs="Arial"/>
          <w:b/>
        </w:rPr>
        <w:t>AR ,</w:t>
      </w:r>
      <w:proofErr w:type="gramEnd"/>
      <w:r w:rsidRPr="008F4B34">
        <w:rPr>
          <w:rFonts w:ascii="Arial" w:hAnsi="Arial" w:cs="Arial"/>
          <w:b/>
        </w:rPr>
        <w:t xml:space="preserve"> or expression of ER or PR mRNA</w:t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</w:rPr>
        <w:t xml:space="preserve">Continuous risk curves 5- and 10-years of tamoxifen as a function of the combined proportion and intensity of </w:t>
      </w:r>
      <w:proofErr w:type="spellStart"/>
      <w:r w:rsidRPr="008F4B34">
        <w:rPr>
          <w:rFonts w:ascii="Arial" w:hAnsi="Arial" w:cs="Arial"/>
        </w:rPr>
        <w:t>estrogen</w:t>
      </w:r>
      <w:proofErr w:type="spellEnd"/>
      <w:r w:rsidRPr="008F4B34">
        <w:rPr>
          <w:rFonts w:ascii="Arial" w:hAnsi="Arial" w:cs="Arial"/>
        </w:rPr>
        <w:t xml:space="preserve"> receptor (ER), progesterone receptor (PR), androgen receptor (AR), expression, and of ER and PR mRNA. </w:t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  <w:noProof/>
          <w:lang w:eastAsia="en-IN"/>
        </w:rPr>
        <w:drawing>
          <wp:inline distT="0" distB="0" distL="0" distR="0" wp14:anchorId="2501E078" wp14:editId="540D1F67">
            <wp:extent cx="5301721" cy="295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" t="1606" r="33839" b="32022"/>
                    <a:stretch/>
                  </pic:blipFill>
                  <pic:spPr bwMode="auto">
                    <a:xfrm>
                      <a:off x="0" y="0"/>
                      <a:ext cx="5311349" cy="296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  <w:r w:rsidRPr="008F4B34">
        <w:rPr>
          <w:rFonts w:ascii="Arial" w:hAnsi="Arial" w:cs="Arial"/>
          <w:b/>
          <w:bCs/>
        </w:rPr>
        <w:lastRenderedPageBreak/>
        <w:t xml:space="preserve">Supplemental Figure 4. Extended Endocrine Benefit </w:t>
      </w:r>
      <w:proofErr w:type="gramStart"/>
      <w:r w:rsidRPr="008F4B34">
        <w:rPr>
          <w:rFonts w:ascii="Arial" w:hAnsi="Arial" w:cs="Arial"/>
          <w:b/>
          <w:bCs/>
        </w:rPr>
        <w:t>From</w:t>
      </w:r>
      <w:proofErr w:type="gramEnd"/>
      <w:r w:rsidRPr="008F4B34">
        <w:rPr>
          <w:rFonts w:ascii="Arial" w:hAnsi="Arial" w:cs="Arial"/>
          <w:b/>
          <w:bCs/>
        </w:rPr>
        <w:t xml:space="preserve"> 10 vs 5 y Tamoxifen i</w:t>
      </w:r>
      <w:r w:rsidRPr="008F4B34">
        <w:rPr>
          <w:rFonts w:ascii="Arial" w:hAnsi="Arial" w:cs="Arial"/>
          <w:b/>
        </w:rPr>
        <w:t xml:space="preserve">n the overall HR+ cohort (n=2,445) </w:t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</w:rPr>
        <w:t xml:space="preserve">Continuous risk curves based on RFI after 5- and 10-years of tamoxifen as a function of </w:t>
      </w:r>
      <w:proofErr w:type="spellStart"/>
      <w:r w:rsidRPr="008F4B34">
        <w:rPr>
          <w:rFonts w:ascii="Arial" w:hAnsi="Arial" w:cs="Arial"/>
        </w:rPr>
        <w:t>estrogen</w:t>
      </w:r>
      <w:proofErr w:type="spellEnd"/>
      <w:r w:rsidRPr="008F4B34">
        <w:rPr>
          <w:rFonts w:ascii="Arial" w:hAnsi="Arial" w:cs="Arial"/>
        </w:rPr>
        <w:t xml:space="preserve"> receptor (ER), progesterone receptor (PR), androgen receptor (AR) and Ki67 immunohistochemistry (IHC) expression, AR/ER ratio and BCI (H/I) values </w:t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  <w:noProof/>
          <w:lang w:eastAsia="en-IN"/>
        </w:rPr>
        <w:drawing>
          <wp:inline distT="0" distB="0" distL="0" distR="0" wp14:anchorId="167A9B05" wp14:editId="7899D82B">
            <wp:extent cx="5905904" cy="33649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347" r="33815" b="32533"/>
                    <a:stretch/>
                  </pic:blipFill>
                  <pic:spPr bwMode="auto">
                    <a:xfrm>
                      <a:off x="0" y="0"/>
                      <a:ext cx="5905904" cy="336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  <w:b/>
          <w:bCs/>
        </w:rPr>
      </w:pP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  <w:b/>
          <w:bCs/>
        </w:rPr>
        <w:lastRenderedPageBreak/>
        <w:t>Supplemental Table 1: BCI is Prognostic for Late Distant Recurrence</w:t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  <w:r w:rsidRPr="008F4B34">
        <w:rPr>
          <w:rFonts w:ascii="Arial" w:hAnsi="Arial" w:cs="Arial"/>
        </w:rPr>
        <w:t>Prognostic performance of BCI; ER, PR, AR, and Ki67 protein levels; the AR/ER ratio; and ER and PR mRNA.</w:t>
      </w:r>
    </w:p>
    <w:p w:rsidR="00DF1DDC" w:rsidRPr="008F4B34" w:rsidRDefault="00DF1DDC" w:rsidP="00DF1DDC">
      <w:pPr>
        <w:widowControl w:val="0"/>
        <w:spacing w:after="0" w:line="48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2610"/>
        <w:gridCol w:w="2340"/>
      </w:tblGrid>
      <w:tr w:rsidR="00DF1DDC" w:rsidRPr="008F4B34" w:rsidTr="009B6F11">
        <w:trPr>
          <w:jc w:val="center"/>
        </w:trPr>
        <w:tc>
          <w:tcPr>
            <w:tcW w:w="1885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Biomarker</w:t>
            </w:r>
          </w:p>
        </w:tc>
        <w:tc>
          <w:tcPr>
            <w:tcW w:w="261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Inter-quartile HR</w:t>
            </w:r>
          </w:p>
        </w:tc>
        <w:tc>
          <w:tcPr>
            <w:tcW w:w="234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P value</w:t>
            </w:r>
          </w:p>
        </w:tc>
      </w:tr>
      <w:tr w:rsidR="00DF1DDC" w:rsidRPr="008F4B34" w:rsidTr="009B6F11">
        <w:trPr>
          <w:jc w:val="center"/>
        </w:trPr>
        <w:tc>
          <w:tcPr>
            <w:tcW w:w="1885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BCI</w:t>
            </w:r>
          </w:p>
        </w:tc>
        <w:tc>
          <w:tcPr>
            <w:tcW w:w="261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1.37</w:t>
            </w:r>
          </w:p>
        </w:tc>
        <w:tc>
          <w:tcPr>
            <w:tcW w:w="234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&lt;0.001</w:t>
            </w:r>
          </w:p>
        </w:tc>
      </w:tr>
      <w:tr w:rsidR="00DF1DDC" w:rsidRPr="008F4B34" w:rsidTr="009B6F11">
        <w:trPr>
          <w:jc w:val="center"/>
        </w:trPr>
        <w:tc>
          <w:tcPr>
            <w:tcW w:w="1885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ER IHC</w:t>
            </w:r>
          </w:p>
        </w:tc>
        <w:tc>
          <w:tcPr>
            <w:tcW w:w="261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0.92</w:t>
            </w:r>
          </w:p>
        </w:tc>
        <w:tc>
          <w:tcPr>
            <w:tcW w:w="234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0.165</w:t>
            </w:r>
          </w:p>
        </w:tc>
      </w:tr>
      <w:tr w:rsidR="00DF1DDC" w:rsidRPr="008F4B34" w:rsidTr="009B6F11">
        <w:trPr>
          <w:jc w:val="center"/>
        </w:trPr>
        <w:tc>
          <w:tcPr>
            <w:tcW w:w="1885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PR IHC</w:t>
            </w:r>
          </w:p>
        </w:tc>
        <w:tc>
          <w:tcPr>
            <w:tcW w:w="261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0.89</w:t>
            </w:r>
          </w:p>
        </w:tc>
        <w:tc>
          <w:tcPr>
            <w:tcW w:w="234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0.281</w:t>
            </w:r>
          </w:p>
        </w:tc>
      </w:tr>
      <w:tr w:rsidR="00DF1DDC" w:rsidRPr="008F4B34" w:rsidTr="009B6F11">
        <w:trPr>
          <w:jc w:val="center"/>
        </w:trPr>
        <w:tc>
          <w:tcPr>
            <w:tcW w:w="1885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AR IHC</w:t>
            </w:r>
          </w:p>
        </w:tc>
        <w:tc>
          <w:tcPr>
            <w:tcW w:w="261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0.87</w:t>
            </w:r>
          </w:p>
        </w:tc>
        <w:tc>
          <w:tcPr>
            <w:tcW w:w="234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0.120</w:t>
            </w:r>
          </w:p>
        </w:tc>
      </w:tr>
      <w:tr w:rsidR="00DF1DDC" w:rsidRPr="008F4B34" w:rsidTr="009B6F11">
        <w:trPr>
          <w:jc w:val="center"/>
        </w:trPr>
        <w:tc>
          <w:tcPr>
            <w:tcW w:w="1885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Ki67 IHC</w:t>
            </w:r>
          </w:p>
        </w:tc>
        <w:tc>
          <w:tcPr>
            <w:tcW w:w="261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0.96</w:t>
            </w:r>
          </w:p>
        </w:tc>
        <w:tc>
          <w:tcPr>
            <w:tcW w:w="234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0.489</w:t>
            </w:r>
          </w:p>
        </w:tc>
      </w:tr>
      <w:tr w:rsidR="00DF1DDC" w:rsidRPr="008F4B34" w:rsidTr="009B6F11">
        <w:trPr>
          <w:jc w:val="center"/>
        </w:trPr>
        <w:tc>
          <w:tcPr>
            <w:tcW w:w="1885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AR/ER Ratio</w:t>
            </w:r>
          </w:p>
        </w:tc>
        <w:tc>
          <w:tcPr>
            <w:tcW w:w="261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0.99</w:t>
            </w:r>
          </w:p>
        </w:tc>
        <w:tc>
          <w:tcPr>
            <w:tcW w:w="234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0.484</w:t>
            </w:r>
          </w:p>
        </w:tc>
      </w:tr>
      <w:tr w:rsidR="00DF1DDC" w:rsidRPr="008F4B34" w:rsidTr="009B6F11">
        <w:trPr>
          <w:jc w:val="center"/>
        </w:trPr>
        <w:tc>
          <w:tcPr>
            <w:tcW w:w="1885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ER PCR</w:t>
            </w:r>
          </w:p>
        </w:tc>
        <w:tc>
          <w:tcPr>
            <w:tcW w:w="261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1.05</w:t>
            </w:r>
          </w:p>
        </w:tc>
        <w:tc>
          <w:tcPr>
            <w:tcW w:w="234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0.441</w:t>
            </w:r>
          </w:p>
        </w:tc>
      </w:tr>
      <w:tr w:rsidR="00DF1DDC" w:rsidRPr="00931B48" w:rsidTr="009B6F11">
        <w:trPr>
          <w:jc w:val="center"/>
        </w:trPr>
        <w:tc>
          <w:tcPr>
            <w:tcW w:w="1885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PR PCR</w:t>
            </w:r>
          </w:p>
        </w:tc>
        <w:tc>
          <w:tcPr>
            <w:tcW w:w="2610" w:type="dxa"/>
          </w:tcPr>
          <w:p w:rsidR="00DF1DDC" w:rsidRPr="008F4B34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1.02</w:t>
            </w:r>
          </w:p>
        </w:tc>
        <w:tc>
          <w:tcPr>
            <w:tcW w:w="2340" w:type="dxa"/>
          </w:tcPr>
          <w:p w:rsidR="00DF1DDC" w:rsidRPr="00931B48" w:rsidRDefault="00DF1DDC" w:rsidP="009B6F11">
            <w:pPr>
              <w:pStyle w:val="PlainText"/>
              <w:widowControl w:val="0"/>
              <w:spacing w:line="480" w:lineRule="auto"/>
              <w:jc w:val="both"/>
              <w:rPr>
                <w:rFonts w:ascii="Arial" w:hAnsi="Arial" w:cs="Arial"/>
                <w:szCs w:val="22"/>
              </w:rPr>
            </w:pPr>
            <w:r w:rsidRPr="008F4B34">
              <w:rPr>
                <w:rFonts w:ascii="Arial" w:hAnsi="Arial" w:cs="Arial"/>
                <w:szCs w:val="22"/>
              </w:rPr>
              <w:t>0.811</w:t>
            </w:r>
          </w:p>
        </w:tc>
      </w:tr>
    </w:tbl>
    <w:p w:rsidR="003C5AD5" w:rsidRDefault="003C5AD5" w:rsidP="00DF1DDC"/>
    <w:sectPr w:rsidR="003C5AD5" w:rsidSect="008F4B3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09622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4570" w:rsidRDefault="00DF1DDC">
        <w:pPr>
          <w:pStyle w:val="Footer"/>
          <w:jc w:val="right"/>
        </w:pPr>
        <w:r w:rsidRPr="00DC2850">
          <w:rPr>
            <w:rFonts w:ascii="Arial" w:hAnsi="Arial" w:cs="Arial"/>
          </w:rPr>
          <w:fldChar w:fldCharType="begin"/>
        </w:r>
        <w:r w:rsidRPr="001E1D40">
          <w:instrText xml:space="preserve"> PAGE   \* MERGEFORMAT </w:instrText>
        </w:r>
        <w:r w:rsidRPr="00DC2850">
          <w:rPr>
            <w:rFonts w:ascii="Arial" w:hAnsi="Arial" w:cs="Arial"/>
          </w:rPr>
          <w:fldChar w:fldCharType="separate"/>
        </w:r>
        <w:r w:rsidRPr="00DF1DDC">
          <w:rPr>
            <w:rFonts w:ascii="Arial" w:hAnsi="Arial" w:cs="Arial"/>
            <w:noProof/>
          </w:rPr>
          <w:t>5</w:t>
        </w:r>
        <w:r w:rsidRPr="00DC2850">
          <w:rPr>
            <w:rFonts w:ascii="Arial" w:hAnsi="Arial" w:cs="Arial"/>
            <w:noProof/>
          </w:rPr>
          <w:fldChar w:fldCharType="end"/>
        </w:r>
      </w:p>
    </w:sdtContent>
  </w:sdt>
  <w:p w:rsidR="00D64570" w:rsidRDefault="00DF1DD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8AF"/>
    <w:rsid w:val="00065021"/>
    <w:rsid w:val="000973B3"/>
    <w:rsid w:val="000B609C"/>
    <w:rsid w:val="00147A5E"/>
    <w:rsid w:val="001C4207"/>
    <w:rsid w:val="001D2B8A"/>
    <w:rsid w:val="00237CDE"/>
    <w:rsid w:val="002C5EB4"/>
    <w:rsid w:val="002F5EAD"/>
    <w:rsid w:val="003C5AD5"/>
    <w:rsid w:val="003F16D4"/>
    <w:rsid w:val="00476FFB"/>
    <w:rsid w:val="00566A9C"/>
    <w:rsid w:val="005702C9"/>
    <w:rsid w:val="00594AB4"/>
    <w:rsid w:val="005F24BE"/>
    <w:rsid w:val="00710C20"/>
    <w:rsid w:val="007134CE"/>
    <w:rsid w:val="00782769"/>
    <w:rsid w:val="0079612A"/>
    <w:rsid w:val="007B175B"/>
    <w:rsid w:val="00801DFF"/>
    <w:rsid w:val="008C3DE4"/>
    <w:rsid w:val="009708AF"/>
    <w:rsid w:val="009B43D7"/>
    <w:rsid w:val="009B4FF8"/>
    <w:rsid w:val="009D66BD"/>
    <w:rsid w:val="00A82330"/>
    <w:rsid w:val="00B40C35"/>
    <w:rsid w:val="00B40E2C"/>
    <w:rsid w:val="00C301E0"/>
    <w:rsid w:val="00C77389"/>
    <w:rsid w:val="00CA778E"/>
    <w:rsid w:val="00D57364"/>
    <w:rsid w:val="00D87803"/>
    <w:rsid w:val="00DD19AD"/>
    <w:rsid w:val="00DF1DDC"/>
    <w:rsid w:val="00E4156E"/>
    <w:rsid w:val="00E470CB"/>
    <w:rsid w:val="00E70FC5"/>
    <w:rsid w:val="00F654F7"/>
    <w:rsid w:val="00FD47F3"/>
    <w:rsid w:val="00FE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00A0A3-8A38-4252-949B-EE6D2DFA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F1DDC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F1DDC"/>
    <w:rPr>
      <w:lang w:val="en-US"/>
    </w:rPr>
  </w:style>
  <w:style w:type="table" w:styleId="TableGrid">
    <w:name w:val="Table Grid"/>
    <w:basedOn w:val="TableNormal"/>
    <w:uiPriority w:val="39"/>
    <w:rsid w:val="00DF1DD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F1DDC"/>
    <w:pPr>
      <w:spacing w:after="0" w:line="240" w:lineRule="auto"/>
    </w:pPr>
    <w:rPr>
      <w:rFonts w:ascii="Calibri" w:eastAsiaTheme="minorEastAsia" w:hAnsi="Calibr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DF1DDC"/>
    <w:rPr>
      <w:rFonts w:ascii="Calibri" w:eastAsiaTheme="minorEastAsia" w:hAnsi="Calibri"/>
      <w:szCs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280</Words>
  <Characters>1597</Characters>
  <Application>Microsoft Office Word</Application>
  <DocSecurity>0</DocSecurity>
  <Lines>13</Lines>
  <Paragraphs>3</Paragraphs>
  <ScaleCrop>false</ScaleCrop>
  <Company>HP Inc.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Ziaur Rahman Bijli G.</dc:creator>
  <cp:keywords/>
  <dc:description/>
  <cp:lastModifiedBy>Ziaur Rahman Bijli G.</cp:lastModifiedBy>
  <cp:revision>2</cp:revision>
  <dcterms:created xsi:type="dcterms:W3CDTF">2022-12-08T00:58:00Z</dcterms:created>
  <dcterms:modified xsi:type="dcterms:W3CDTF">2022-12-08T00:59:00Z</dcterms:modified>
</cp:coreProperties>
</file>