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64F" w:rsidRPr="00FC18FF" w:rsidRDefault="00F6464F" w:rsidP="00F6464F">
      <w:pPr>
        <w:spacing w:line="480" w:lineRule="auto"/>
        <w:ind w:firstLine="567"/>
        <w:contextualSpacing/>
        <w:jc w:val="both"/>
        <w:rPr>
          <w:color w:val="000000"/>
          <w:shd w:val="clear" w:color="auto" w:fill="FFFFFF"/>
        </w:rPr>
      </w:pPr>
      <w:r w:rsidRPr="003F61E8">
        <w:rPr>
          <w:b/>
          <w:bCs/>
          <w:color w:val="000000"/>
        </w:rPr>
        <w:t>Model</w:t>
      </w:r>
      <w:r w:rsidRPr="00D61DA3">
        <w:rPr>
          <w:b/>
          <w:bCs/>
          <w:color w:val="000000"/>
        </w:rPr>
        <w:t xml:space="preserve"> 4</w:t>
      </w:r>
      <w:r>
        <w:rPr>
          <w:b/>
          <w:bCs/>
          <w:color w:val="000000"/>
        </w:rPr>
        <w:t>.</w:t>
      </w:r>
      <w:r w:rsidRPr="00D61DA3">
        <w:rPr>
          <w:b/>
          <w:bCs/>
          <w:color w:val="000000"/>
        </w:rPr>
        <w:t xml:space="preserve"> </w:t>
      </w:r>
      <w:r w:rsidRPr="00D61DA3">
        <w:rPr>
          <w:bCs/>
          <w:color w:val="000000"/>
        </w:rPr>
        <w:t>"</w:t>
      </w:r>
      <w:r w:rsidRPr="00D61DA3">
        <w:rPr>
          <w:bCs/>
          <w:color w:val="000000"/>
          <w:shd w:val="clear" w:color="auto" w:fill="FFFFFF"/>
        </w:rPr>
        <w:t>Δ</w:t>
      </w:r>
      <w:r w:rsidRPr="00D61DA3">
        <w:rPr>
          <w:bCs/>
          <w:color w:val="000000"/>
        </w:rPr>
        <w:t>StO</w:t>
      </w:r>
      <w:r w:rsidRPr="00D61DA3">
        <w:rPr>
          <w:bCs/>
          <w:color w:val="000000"/>
          <w:vertAlign w:val="subscript"/>
        </w:rPr>
        <w:t>2</w:t>
      </w:r>
      <w:r w:rsidRPr="00D61DA3">
        <w:rPr>
          <w:bCs/>
          <w:color w:val="000000"/>
        </w:rPr>
        <w:t xml:space="preserve">" for </w:t>
      </w:r>
      <w:r w:rsidRPr="00D61DA3">
        <w:rPr>
          <w:color w:val="000000"/>
          <w:shd w:val="clear" w:color="auto" w:fill="FFFFFF"/>
        </w:rPr>
        <w:t xml:space="preserve">prediction </w:t>
      </w:r>
      <w:proofErr w:type="spellStart"/>
      <w:r w:rsidRPr="00D61DA3">
        <w:rPr>
          <w:color w:val="000000"/>
          <w:shd w:val="clear" w:color="auto" w:fill="FFFFFF"/>
        </w:rPr>
        <w:t>pCR</w:t>
      </w:r>
      <w:proofErr w:type="spellEnd"/>
      <w:r w:rsidRPr="00D61DA3">
        <w:rPr>
          <w:color w:val="000000"/>
          <w:shd w:val="clear" w:color="auto" w:fill="FFFFFF"/>
        </w:rPr>
        <w:t xml:space="preserve"> (5</w:t>
      </w:r>
      <w:r w:rsidRPr="00D61DA3">
        <w:rPr>
          <w:color w:val="000000"/>
          <w:shd w:val="clear" w:color="auto" w:fill="FFFFFF"/>
          <w:vertAlign w:val="superscript"/>
        </w:rPr>
        <w:t>th</w:t>
      </w:r>
      <w:r w:rsidRPr="00D61DA3">
        <w:rPr>
          <w:color w:val="000000"/>
          <w:shd w:val="clear" w:color="auto" w:fill="FFFFFF"/>
        </w:rPr>
        <w:t xml:space="preserve"> grade of PTR) in patients with triple-negative and HER2-positive breast ca</w:t>
      </w:r>
      <w:bookmarkStart w:id="0" w:name="_GoBack"/>
      <w:bookmarkEnd w:id="0"/>
      <w:r w:rsidRPr="00D61DA3">
        <w:rPr>
          <w:color w:val="000000"/>
          <w:shd w:val="clear" w:color="auto" w:fill="FFFFFF"/>
        </w:rPr>
        <w:t>ncer</w:t>
      </w:r>
      <w:r w:rsidR="004D2C44" w:rsidRPr="004D2C44">
        <w:rPr>
          <w:color w:val="000000"/>
          <w:shd w:val="clear" w:color="auto" w:fill="FFFFFF"/>
        </w:rPr>
        <w:t xml:space="preserve"> (65 </w:t>
      </w:r>
      <w:r w:rsidR="004D2C44">
        <w:rPr>
          <w:color w:val="000000"/>
          <w:shd w:val="clear" w:color="auto" w:fill="FFFFFF"/>
        </w:rPr>
        <w:t>patients</w:t>
      </w:r>
      <w:r w:rsidR="004D2C44" w:rsidRPr="004D2C44">
        <w:rPr>
          <w:color w:val="000000"/>
          <w:shd w:val="clear" w:color="auto" w:fill="FFFFFF"/>
        </w:rPr>
        <w:t>)</w:t>
      </w:r>
      <w:r w:rsidRPr="00D61DA3">
        <w:rPr>
          <w:color w:val="000000"/>
          <w:shd w:val="clear" w:color="auto" w:fill="FFFFFF"/>
        </w:rPr>
        <w:t>.</w:t>
      </w:r>
    </w:p>
    <w:p w:rsidR="00F6464F" w:rsidRPr="00F6464F" w:rsidRDefault="00F6464F" w:rsidP="00F6464F">
      <w:pPr>
        <w:spacing w:line="480" w:lineRule="auto"/>
        <w:ind w:firstLine="567"/>
        <w:contextualSpacing/>
        <w:outlineLvl w:val="0"/>
        <w:rPr>
          <w:color w:val="000000"/>
        </w:rPr>
      </w:pPr>
      <w:r w:rsidRPr="00A730E9">
        <w:rPr>
          <w:color w:val="000000"/>
        </w:rPr>
        <w:t>Table</w:t>
      </w:r>
      <w:r w:rsidRPr="00F6464F">
        <w:rPr>
          <w:color w:val="000000"/>
        </w:rPr>
        <w:t xml:space="preserve"> </w:t>
      </w:r>
      <w:r>
        <w:rPr>
          <w:color w:val="000000"/>
        </w:rPr>
        <w:t>S1</w:t>
      </w:r>
      <w:r w:rsidRPr="00F6464F">
        <w:rPr>
          <w:color w:val="000000"/>
        </w:rPr>
        <w:t xml:space="preserve">. </w:t>
      </w:r>
      <w:r w:rsidRPr="00A730E9">
        <w:rPr>
          <w:color w:val="000000"/>
        </w:rPr>
        <w:t>Model</w:t>
      </w:r>
      <w:r w:rsidRPr="00F6464F">
        <w:rPr>
          <w:color w:val="000000"/>
        </w:rPr>
        <w:t xml:space="preserve"> 4 </w:t>
      </w:r>
      <w:r w:rsidRPr="00A730E9">
        <w:rPr>
          <w:color w:val="000000"/>
        </w:rPr>
        <w:t>Classification</w:t>
      </w:r>
      <w:r w:rsidRPr="00F6464F">
        <w:rPr>
          <w:color w:val="000000"/>
        </w:rPr>
        <w:t xml:space="preserve"> </w:t>
      </w:r>
      <w:r w:rsidRPr="00A730E9">
        <w:rPr>
          <w:color w:val="000000"/>
        </w:rPr>
        <w:t>Table</w:t>
      </w:r>
      <w:r w:rsidRPr="00F6464F">
        <w:rPr>
          <w:color w:val="000000"/>
        </w:rPr>
        <w:t xml:space="preserve"> (“</w:t>
      </w:r>
      <w:r w:rsidRPr="003F61E8">
        <w:rPr>
          <w:color w:val="000000"/>
          <w:shd w:val="clear" w:color="auto" w:fill="FFFFFF"/>
        </w:rPr>
        <w:t>Δ</w:t>
      </w:r>
      <w:r w:rsidRPr="00A730E9">
        <w:rPr>
          <w:color w:val="000000"/>
        </w:rPr>
        <w:t>StO</w:t>
      </w:r>
      <w:r w:rsidRPr="00F6464F">
        <w:rPr>
          <w:vertAlign w:val="subscript"/>
        </w:rPr>
        <w:t>2</w:t>
      </w:r>
      <w:r w:rsidRPr="00F6464F">
        <w:rPr>
          <w:color w:val="000000"/>
        </w:rPr>
        <w:t>”).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9"/>
        <w:gridCol w:w="1763"/>
        <w:gridCol w:w="1350"/>
        <w:gridCol w:w="2269"/>
      </w:tblGrid>
      <w:tr w:rsidR="00F6464F" w:rsidRPr="00D61DA3" w:rsidTr="0065207F">
        <w:trPr>
          <w:trHeight w:val="201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Observed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Predicted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Percentage of correct</w:t>
            </w:r>
          </w:p>
          <w:p w:rsidR="00F6464F" w:rsidRPr="00D61DA3" w:rsidRDefault="00F6464F" w:rsidP="0065207F">
            <w:pPr>
              <w:spacing w:line="480" w:lineRule="auto"/>
              <w:contextualSpacing/>
            </w:pPr>
          </w:p>
        </w:tc>
      </w:tr>
      <w:tr w:rsidR="00F6464F" w:rsidRPr="00D61DA3" w:rsidTr="0065207F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before="280" w:after="280" w:line="480" w:lineRule="auto"/>
              <w:contextualSpacing/>
              <w:jc w:val="both"/>
            </w:pPr>
            <w:r w:rsidRPr="00D61DA3">
              <w:rPr>
                <w:color w:val="000000"/>
              </w:rPr>
              <w:t>Non-responders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before="280" w:after="280" w:line="480" w:lineRule="auto"/>
              <w:contextualSpacing/>
              <w:jc w:val="both"/>
            </w:pPr>
            <w:r w:rsidRPr="00D61DA3">
              <w:rPr>
                <w:color w:val="000000"/>
              </w:rPr>
              <w:t>Responders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</w:pPr>
          </w:p>
        </w:tc>
      </w:tr>
      <w:tr w:rsidR="00F6464F" w:rsidRPr="00D61DA3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Non-responders (</w:t>
            </w:r>
            <w:r w:rsidR="005F32B0" w:rsidRPr="00FA6786">
              <w:rPr>
                <w:color w:val="000000"/>
              </w:rPr>
              <w:t>n=</w:t>
            </w:r>
            <w:r w:rsidRPr="00D61DA3">
              <w:rPr>
                <w:color w:val="000000"/>
                <w:lang w:val="ru-RU"/>
              </w:rPr>
              <w:t>4</w:t>
            </w:r>
            <w:r w:rsidR="004D2C44">
              <w:rPr>
                <w:color w:val="000000"/>
                <w:lang w:val="ru-RU"/>
              </w:rPr>
              <w:t>2</w:t>
            </w:r>
            <w:r w:rsidRPr="00D61DA3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rPr>
                <w:lang w:val="ru-RU"/>
              </w:rPr>
              <w:t>3</w:t>
            </w:r>
            <w:r w:rsidR="004D2C44"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4D2C44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rPr>
                <w:color w:val="000000"/>
                <w:lang w:val="ru-RU"/>
              </w:rPr>
              <w:t>80</w:t>
            </w:r>
            <w:r w:rsidR="005F32B0">
              <w:rPr>
                <w:color w:val="000000"/>
              </w:rPr>
              <w:t>.</w:t>
            </w:r>
            <w:r w:rsidRPr="00D61DA3">
              <w:rPr>
                <w:color w:val="000000"/>
                <w:lang w:val="ru-RU"/>
              </w:rPr>
              <w:t>9</w:t>
            </w:r>
          </w:p>
        </w:tc>
      </w:tr>
      <w:tr w:rsidR="00F6464F" w:rsidRPr="00D61DA3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Responders (</w:t>
            </w:r>
            <w:r w:rsidR="005F32B0" w:rsidRPr="00FA6786">
              <w:rPr>
                <w:color w:val="000000"/>
              </w:rPr>
              <w:t>n=</w:t>
            </w:r>
            <w:r w:rsidRPr="00D61DA3">
              <w:rPr>
                <w:color w:val="000000"/>
              </w:rPr>
              <w:t>2</w:t>
            </w:r>
            <w:r w:rsidRPr="00D61DA3">
              <w:rPr>
                <w:color w:val="000000"/>
                <w:lang w:val="ru-RU"/>
              </w:rPr>
              <w:t>3</w:t>
            </w:r>
            <w:r w:rsidRPr="00D61DA3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t>1</w:t>
            </w:r>
            <w:r w:rsidRPr="00D61DA3"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t>6</w:t>
            </w:r>
            <w:r w:rsidRPr="00D61DA3">
              <w:rPr>
                <w:lang w:val="ru-RU"/>
              </w:rPr>
              <w:t>0</w:t>
            </w:r>
            <w:r w:rsidR="005F32B0">
              <w:t>.</w:t>
            </w:r>
            <w:r w:rsidRPr="00D61DA3">
              <w:t>9</w:t>
            </w:r>
          </w:p>
        </w:tc>
      </w:tr>
      <w:tr w:rsidR="00F6464F" w:rsidRPr="00D61DA3" w:rsidTr="0065207F">
        <w:trPr>
          <w:trHeight w:val="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Total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rPr>
                <w:color w:val="000000"/>
              </w:rPr>
              <w:t>                                                    7</w:t>
            </w:r>
            <w:r w:rsidRPr="00D61DA3">
              <w:rPr>
                <w:color w:val="000000"/>
                <w:lang w:val="ru-RU"/>
              </w:rPr>
              <w:t>4</w:t>
            </w:r>
            <w:r w:rsidR="005F32B0">
              <w:rPr>
                <w:color w:val="000000"/>
              </w:rPr>
              <w:t>.</w:t>
            </w:r>
            <w:r w:rsidRPr="00D61DA3">
              <w:rPr>
                <w:color w:val="000000"/>
                <w:lang w:val="ru-RU"/>
              </w:rPr>
              <w:t>3</w:t>
            </w:r>
          </w:p>
        </w:tc>
      </w:tr>
    </w:tbl>
    <w:p w:rsidR="00F6464F" w:rsidRPr="00D61DA3" w:rsidRDefault="00F6464F" w:rsidP="00F6464F">
      <w:pPr>
        <w:spacing w:line="480" w:lineRule="auto"/>
      </w:pPr>
    </w:p>
    <w:p w:rsidR="00F6464F" w:rsidRPr="00FC18FF" w:rsidRDefault="00F6464F" w:rsidP="00F6464F">
      <w:pPr>
        <w:spacing w:line="480" w:lineRule="auto"/>
        <w:ind w:firstLine="720"/>
        <w:contextualSpacing/>
        <w:outlineLvl w:val="0"/>
        <w:rPr>
          <w:color w:val="000000"/>
        </w:rPr>
      </w:pPr>
      <w:r w:rsidRPr="00FC18FF">
        <w:rPr>
          <w:color w:val="000000"/>
        </w:rPr>
        <w:t xml:space="preserve">Table </w:t>
      </w:r>
      <w:r>
        <w:rPr>
          <w:color w:val="000000"/>
        </w:rPr>
        <w:t>S2</w:t>
      </w:r>
      <w:r w:rsidRPr="00FC18FF">
        <w:rPr>
          <w:color w:val="000000"/>
        </w:rPr>
        <w:t>. Variables in Model 4 Equation (“ΔStO2”).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850"/>
        <w:gridCol w:w="2037"/>
        <w:gridCol w:w="3134"/>
      </w:tblGrid>
      <w:tr w:rsidR="00F6464F" w:rsidRPr="00D61DA3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color w:val="000000"/>
              </w:rPr>
            </w:pPr>
            <w:r w:rsidRPr="00D61DA3">
              <w:rPr>
                <w:color w:val="000000"/>
              </w:rPr>
              <w:t>Standard deviation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Significance level p</w:t>
            </w:r>
          </w:p>
        </w:tc>
      </w:tr>
      <w:tr w:rsidR="00F6464F" w:rsidRPr="00D61DA3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t>0</w:t>
            </w:r>
            <w:r w:rsidR="005F32B0">
              <w:t>.</w:t>
            </w:r>
            <w:r w:rsidRPr="00D61DA3">
              <w:t>1</w:t>
            </w:r>
            <w:r w:rsidRPr="00D61DA3">
              <w:rPr>
                <w:lang w:val="ru-RU"/>
              </w:rPr>
              <w:t>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t>0</w:t>
            </w:r>
            <w:r w:rsidR="005F32B0">
              <w:t>.</w:t>
            </w:r>
            <w:r w:rsidRPr="00D61DA3">
              <w:t>04</w:t>
            </w:r>
            <w:r w:rsidRPr="00D61DA3">
              <w:rPr>
                <w:lang w:val="ru-RU"/>
              </w:rPr>
              <w:t>2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t>&lt;0</w:t>
            </w:r>
            <w:r w:rsidR="005F32B0">
              <w:t>.</w:t>
            </w:r>
            <w:r w:rsidRPr="00D61DA3">
              <w:t>001</w:t>
            </w:r>
          </w:p>
        </w:tc>
      </w:tr>
      <w:tr w:rsidR="00F6464F" w:rsidRPr="003F61E8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</w:pPr>
            <w:r w:rsidRPr="00D61DA3">
              <w:rPr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t>-</w:t>
            </w:r>
            <w:r w:rsidRPr="00D61DA3">
              <w:rPr>
                <w:lang w:val="ru-RU"/>
              </w:rPr>
              <w:t>2</w:t>
            </w:r>
            <w:r w:rsidR="005F32B0">
              <w:t>.</w:t>
            </w:r>
            <w:r w:rsidRPr="00D61DA3">
              <w:rPr>
                <w:lang w:val="ru-RU"/>
              </w:rPr>
              <w:t>071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D61DA3" w:rsidRDefault="00F6464F" w:rsidP="0065207F">
            <w:pPr>
              <w:spacing w:line="480" w:lineRule="auto"/>
              <w:contextualSpacing/>
              <w:jc w:val="center"/>
              <w:rPr>
                <w:lang w:val="ru-RU"/>
              </w:rPr>
            </w:pPr>
            <w:r w:rsidRPr="00D61DA3">
              <w:t>0</w:t>
            </w:r>
            <w:r w:rsidR="005F32B0">
              <w:t>.</w:t>
            </w:r>
            <w:r w:rsidRPr="00D61DA3">
              <w:t>5</w:t>
            </w:r>
            <w:r w:rsidRPr="00D61DA3">
              <w:rPr>
                <w:lang w:val="ru-RU"/>
              </w:rPr>
              <w:t>32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3F61E8" w:rsidRDefault="00F6464F" w:rsidP="0065207F">
            <w:pPr>
              <w:spacing w:line="480" w:lineRule="auto"/>
              <w:contextualSpacing/>
              <w:jc w:val="center"/>
            </w:pPr>
            <w:r w:rsidRPr="00D61DA3">
              <w:t>&lt;0</w:t>
            </w:r>
            <w:r w:rsidR="005F32B0">
              <w:t>.</w:t>
            </w:r>
            <w:r w:rsidRPr="00D61DA3">
              <w:t>001</w:t>
            </w:r>
          </w:p>
        </w:tc>
      </w:tr>
    </w:tbl>
    <w:p w:rsidR="00F6464F" w:rsidRDefault="00F6464F" w:rsidP="00F6464F">
      <w:pPr>
        <w:spacing w:after="240" w:line="480" w:lineRule="auto"/>
        <w:contextualSpacing/>
        <w:jc w:val="both"/>
        <w:rPr>
          <w:rStyle w:val="rynqvb"/>
          <w:lang w:val="en"/>
        </w:rPr>
      </w:pPr>
    </w:p>
    <w:p w:rsidR="00F6464F" w:rsidRPr="00FA7262" w:rsidRDefault="00F6464F" w:rsidP="00F6464F">
      <w:pPr>
        <w:spacing w:after="240" w:line="480" w:lineRule="auto"/>
        <w:ind w:firstLine="720"/>
        <w:contextualSpacing/>
        <w:jc w:val="both"/>
        <w:rPr>
          <w:color w:val="000000"/>
        </w:rPr>
      </w:pPr>
      <w:r>
        <w:rPr>
          <w:rStyle w:val="rynqvb"/>
          <w:lang w:val="en"/>
        </w:rPr>
        <w:t>Both regression coefficients were statistically significant</w:t>
      </w:r>
      <w:r w:rsidRPr="005131AA">
        <w:rPr>
          <w:rStyle w:val="rynqvb"/>
        </w:rPr>
        <w:t xml:space="preserve">: </w:t>
      </w:r>
      <w:r w:rsidRPr="005131AA">
        <w:rPr>
          <w:color w:val="000000"/>
        </w:rPr>
        <w:t>(</w:t>
      </w:r>
      <w:r w:rsidRPr="007C6B71">
        <w:rPr>
          <w:color w:val="000000"/>
        </w:rPr>
        <w:t xml:space="preserve">Table </w:t>
      </w:r>
      <w:r>
        <w:rPr>
          <w:color w:val="000000"/>
        </w:rPr>
        <w:t>S</w:t>
      </w:r>
      <w:r w:rsidRPr="00796450">
        <w:rPr>
          <w:color w:val="000000"/>
        </w:rPr>
        <w:t>2</w:t>
      </w:r>
      <w:r w:rsidRPr="007C6B71">
        <w:rPr>
          <w:color w:val="000000"/>
        </w:rPr>
        <w:t>):</w:t>
      </w:r>
      <w:r w:rsidRPr="005131AA">
        <w:rPr>
          <w:color w:val="000000"/>
        </w:rPr>
        <w:t xml:space="preserve">  </w:t>
      </w:r>
      <w:r w:rsidRPr="003F61E8">
        <w:rPr>
          <w:color w:val="000000"/>
        </w:rPr>
        <w:t>а</w:t>
      </w:r>
      <w:r w:rsidRPr="005131AA">
        <w:rPr>
          <w:color w:val="000000"/>
        </w:rPr>
        <w:t xml:space="preserve"> = -</w:t>
      </w:r>
      <w:r w:rsidRPr="002F557B">
        <w:rPr>
          <w:color w:val="000000"/>
        </w:rPr>
        <w:t>2</w:t>
      </w:r>
      <w:r w:rsidRPr="005131AA">
        <w:rPr>
          <w:color w:val="000000"/>
        </w:rPr>
        <w:t>.</w:t>
      </w:r>
      <w:r w:rsidRPr="002F557B">
        <w:rPr>
          <w:color w:val="000000"/>
        </w:rPr>
        <w:t>071</w:t>
      </w:r>
      <w:r w:rsidRPr="005131AA">
        <w:rPr>
          <w:color w:val="000000"/>
        </w:rPr>
        <w:t xml:space="preserve"> (</w:t>
      </w:r>
      <w:r w:rsidRPr="003F61E8">
        <w:rPr>
          <w:color w:val="000000"/>
        </w:rPr>
        <w:t>р</w:t>
      </w:r>
      <w:r>
        <w:rPr>
          <w:color w:val="000000"/>
        </w:rPr>
        <w:t>&lt;</w:t>
      </w:r>
      <w:r w:rsidRPr="005131AA">
        <w:rPr>
          <w:color w:val="000000"/>
        </w:rPr>
        <w:t>0.0</w:t>
      </w:r>
      <w:r w:rsidRPr="00FA7262">
        <w:rPr>
          <w:color w:val="000000"/>
        </w:rPr>
        <w:t>01</w:t>
      </w:r>
      <w:r w:rsidRPr="005131AA">
        <w:rPr>
          <w:color w:val="000000"/>
        </w:rPr>
        <w:t xml:space="preserve">) </w:t>
      </w:r>
      <w:r w:rsidR="005F32B0" w:rsidRPr="005F32B0">
        <w:rPr>
          <w:color w:val="000000"/>
        </w:rPr>
        <w:t>and</w:t>
      </w:r>
      <w:r w:rsidRPr="005F32B0">
        <w:rPr>
          <w:color w:val="000000"/>
        </w:rPr>
        <w:t xml:space="preserve"> b = 0</w:t>
      </w:r>
      <w:r w:rsidRPr="005131AA">
        <w:rPr>
          <w:color w:val="000000"/>
        </w:rPr>
        <w:t>.</w:t>
      </w:r>
      <w:r w:rsidRPr="00FA7262">
        <w:rPr>
          <w:color w:val="000000"/>
        </w:rPr>
        <w:t>1</w:t>
      </w:r>
      <w:r>
        <w:rPr>
          <w:color w:val="000000"/>
        </w:rPr>
        <w:t>57</w:t>
      </w:r>
      <w:r w:rsidRPr="005131AA">
        <w:rPr>
          <w:color w:val="000000"/>
        </w:rPr>
        <w:t xml:space="preserve"> (</w:t>
      </w:r>
      <w:r w:rsidRPr="003F61E8">
        <w:rPr>
          <w:color w:val="000000"/>
        </w:rPr>
        <w:t>р</w:t>
      </w:r>
      <w:r>
        <w:rPr>
          <w:color w:val="000000"/>
        </w:rPr>
        <w:t>&lt;</w:t>
      </w:r>
      <w:r w:rsidRPr="005131AA">
        <w:rPr>
          <w:color w:val="000000"/>
        </w:rPr>
        <w:t>0.001).</w:t>
      </w:r>
    </w:p>
    <w:p w:rsidR="00F6464F" w:rsidRPr="007A0B6C" w:rsidRDefault="00F6464F" w:rsidP="00F6464F">
      <w:pPr>
        <w:spacing w:line="480" w:lineRule="auto"/>
        <w:contextualSpacing/>
        <w:jc w:val="both"/>
      </w:pPr>
      <w:r w:rsidRPr="007A0B6C">
        <w:t>z = 0</w:t>
      </w:r>
      <w:r w:rsidR="005F32B0">
        <w:t>.</w:t>
      </w:r>
      <w:r w:rsidRPr="007A0B6C">
        <w:t>1</w:t>
      </w:r>
      <w:r>
        <w:t>57</w:t>
      </w:r>
      <w:r w:rsidRPr="007A0B6C">
        <w:t>×</w:t>
      </w:r>
      <w:proofErr w:type="gramStart"/>
      <w:r>
        <w:t>Х</w:t>
      </w:r>
      <w:r w:rsidRPr="007A0B6C">
        <w:t>(</w:t>
      </w:r>
      <w:proofErr w:type="gramEnd"/>
      <w:r>
        <w:rPr>
          <w:highlight w:val="white"/>
        </w:rPr>
        <w:t>Δ</w:t>
      </w:r>
      <w:r w:rsidRPr="007A0B6C">
        <w:t>StO</w:t>
      </w:r>
      <w:r w:rsidRPr="007A0B6C">
        <w:rPr>
          <w:vertAlign w:val="subscript"/>
        </w:rPr>
        <w:t>2</w:t>
      </w:r>
      <w:r w:rsidRPr="007A0B6C">
        <w:t xml:space="preserve">)  - </w:t>
      </w:r>
      <w:r>
        <w:t>2</w:t>
      </w:r>
      <w:r w:rsidR="005F32B0">
        <w:t>.</w:t>
      </w:r>
      <w:r>
        <w:t xml:space="preserve">071 </w:t>
      </w:r>
      <w:r w:rsidRPr="007A0B6C">
        <w:t xml:space="preserve">(Model </w:t>
      </w:r>
      <w:r>
        <w:t>4</w:t>
      </w:r>
      <w:r w:rsidRPr="007A0B6C">
        <w:t xml:space="preserve"> (“</w:t>
      </w:r>
      <w:r>
        <w:rPr>
          <w:highlight w:val="white"/>
        </w:rPr>
        <w:t>Δ</w:t>
      </w:r>
      <w:r w:rsidRPr="007A0B6C">
        <w:t>StO</w:t>
      </w:r>
      <w:r w:rsidRPr="007A0B6C">
        <w:rPr>
          <w:vertAlign w:val="subscript"/>
        </w:rPr>
        <w:t>2</w:t>
      </w:r>
      <w:r w:rsidRPr="007A0B6C">
        <w:t>”)).</w:t>
      </w:r>
    </w:p>
    <w:p w:rsidR="00F6464F" w:rsidRPr="009044E5" w:rsidRDefault="00F6464F" w:rsidP="00F6464F">
      <w:pPr>
        <w:spacing w:before="280" w:after="280" w:line="480" w:lineRule="auto"/>
        <w:contextualSpacing/>
        <w:jc w:val="center"/>
      </w:pPr>
      <w:r w:rsidRPr="009044E5">
        <w:t>Patient 1 (</w:t>
      </w:r>
      <w:r>
        <w:rPr>
          <w:highlight w:val="white"/>
        </w:rPr>
        <w:t>Δ</w:t>
      </w:r>
      <w:r w:rsidRPr="009044E5">
        <w:t>StO</w:t>
      </w:r>
      <w:r w:rsidRPr="009044E5">
        <w:rPr>
          <w:vertAlign w:val="subscript"/>
        </w:rPr>
        <w:t>2</w:t>
      </w:r>
      <w:r w:rsidRPr="009044E5">
        <w:t xml:space="preserve"> = -1</w:t>
      </w:r>
      <w:r>
        <w:t>3</w:t>
      </w:r>
      <w:r w:rsidRPr="009044E5">
        <w:t>).</w:t>
      </w:r>
    </w:p>
    <w:p w:rsidR="00F6464F" w:rsidRPr="004860F7" w:rsidRDefault="00F6464F" w:rsidP="00F6464F">
      <w:pPr>
        <w:spacing w:before="280" w:after="280" w:line="480" w:lineRule="auto"/>
        <w:contextualSpacing/>
        <w:jc w:val="center"/>
      </w:pPr>
      <w:r>
        <w:t xml:space="preserve">z </w:t>
      </w:r>
      <w:proofErr w:type="gramStart"/>
      <w:r>
        <w:t>=  0</w:t>
      </w:r>
      <w:r w:rsidR="005F32B0">
        <w:t>.</w:t>
      </w:r>
      <w:r>
        <w:t>157</w:t>
      </w:r>
      <w:proofErr w:type="gramEnd"/>
      <w:r>
        <w:t>×(-13) – 2</w:t>
      </w:r>
      <w:r w:rsidR="005F32B0">
        <w:t>.</w:t>
      </w:r>
      <w:r>
        <w:t xml:space="preserve">071 = </w:t>
      </w:r>
      <w:r w:rsidRPr="004860F7">
        <w:t>-</w:t>
      </w:r>
      <w:r>
        <w:t>4</w:t>
      </w:r>
      <w:r w:rsidR="005F32B0">
        <w:t>.</w:t>
      </w:r>
      <w:r>
        <w:t>112</w:t>
      </w:r>
    </w:p>
    <w:p w:rsidR="00F6464F" w:rsidRPr="007B22CA" w:rsidRDefault="00F6464F" w:rsidP="00F6464F">
      <w:pPr>
        <w:spacing w:line="480" w:lineRule="auto"/>
        <w:contextualSpacing/>
        <w:jc w:val="center"/>
        <w:rPr>
          <w:rFonts w:ascii="Cambria Math" w:eastAsia="Cambria Math" w:hAnsi="Cambria Math" w:cs="Cambria Math"/>
          <w:i/>
          <w:color w:val="000000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</w:rPr>
            <m:t>р=</m:t>
          </m:r>
          <m:f>
            <m:f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0000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  <w:color w:val="000000"/>
                </w:rPr>
                <m:t>1+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color w:val="000000"/>
                    </w:rPr>
                    <m:t>e</m:t>
                  </m:r>
                </m:e>
                <m:sup>
                  <m:r>
                    <w:rPr>
                      <w:rFonts w:ascii="Cambria Math" w:eastAsia="Cambria Math" w:hAnsi="Cambria Math" w:cs="Cambria Math"/>
                      <w:color w:val="000000"/>
                    </w:rPr>
                    <m:t>-(-4.112)</m:t>
                  </m:r>
                </m:sup>
              </m:sSup>
            </m:den>
          </m:f>
          <m:r>
            <w:rPr>
              <w:rFonts w:ascii="Cambria Math" w:eastAsia="Cambria Math" w:hAnsi="Cambria Math" w:cs="Cambria Math"/>
              <w:color w:val="000000"/>
            </w:rPr>
            <m:t>=0.016</m:t>
          </m:r>
        </m:oMath>
      </m:oMathPara>
    </w:p>
    <w:p w:rsidR="00F6464F" w:rsidRPr="005131AA" w:rsidRDefault="00F6464F" w:rsidP="00F6464F">
      <w:pPr>
        <w:tabs>
          <w:tab w:val="left" w:pos="426"/>
        </w:tabs>
        <w:spacing w:before="280" w:after="280" w:line="480" w:lineRule="auto"/>
        <w:contextualSpacing/>
        <w:jc w:val="both"/>
      </w:pPr>
      <w:r>
        <w:rPr>
          <w:color w:val="000000"/>
        </w:rPr>
        <w:tab/>
      </w:r>
      <w:r>
        <w:rPr>
          <w:color w:val="000000"/>
        </w:rPr>
        <w:tab/>
      </w:r>
      <w:r w:rsidRPr="005131AA">
        <w:rPr>
          <w:color w:val="000000"/>
        </w:rPr>
        <w:t xml:space="preserve">According to the model the patient will respond to treatment with a probability of </w:t>
      </w:r>
      <w:r>
        <w:rPr>
          <w:color w:val="000000"/>
        </w:rPr>
        <w:t>1.6</w:t>
      </w:r>
      <w:r w:rsidRPr="005131AA">
        <w:rPr>
          <w:color w:val="000000"/>
        </w:rPr>
        <w:t>%. This was confirmed by a pathomorphological study of the residual tumor</w:t>
      </w:r>
      <w:r>
        <w:rPr>
          <w:color w:val="000000"/>
        </w:rPr>
        <w:t xml:space="preserve"> (</w:t>
      </w:r>
      <w:r>
        <w:rPr>
          <w:highlight w:val="white"/>
        </w:rPr>
        <w:t>3rd</w:t>
      </w:r>
      <w:r w:rsidRPr="009044E5">
        <w:rPr>
          <w:highlight w:val="white"/>
        </w:rPr>
        <w:t xml:space="preserve"> </w:t>
      </w:r>
      <w:r>
        <w:rPr>
          <w:highlight w:val="white"/>
        </w:rPr>
        <w:t>grade</w:t>
      </w:r>
      <w:r w:rsidRPr="009044E5">
        <w:rPr>
          <w:highlight w:val="white"/>
        </w:rPr>
        <w:t xml:space="preserve"> of PTR</w:t>
      </w:r>
      <w:r>
        <w:t>).</w:t>
      </w:r>
    </w:p>
    <w:p w:rsidR="00F6464F" w:rsidRDefault="00F6464F" w:rsidP="00F6464F">
      <w:pPr>
        <w:spacing w:before="280" w:after="280" w:line="480" w:lineRule="auto"/>
        <w:contextualSpacing/>
        <w:jc w:val="center"/>
      </w:pPr>
      <w:r>
        <w:t>Patient 2 (</w:t>
      </w:r>
      <w:r>
        <w:rPr>
          <w:highlight w:val="white"/>
        </w:rPr>
        <w:t>Δ</w:t>
      </w:r>
      <w:r>
        <w:t>StO</w:t>
      </w:r>
      <w:r>
        <w:rPr>
          <w:vertAlign w:val="subscript"/>
        </w:rPr>
        <w:t>2</w:t>
      </w:r>
      <w:r>
        <w:t xml:space="preserve"> = 17).</w:t>
      </w:r>
    </w:p>
    <w:p w:rsidR="00F6464F" w:rsidRPr="004860F7" w:rsidRDefault="00F6464F" w:rsidP="00F6464F">
      <w:pPr>
        <w:spacing w:before="280" w:after="280" w:line="480" w:lineRule="auto"/>
        <w:contextualSpacing/>
        <w:jc w:val="center"/>
      </w:pPr>
      <w:r>
        <w:t xml:space="preserve">z </w:t>
      </w:r>
      <w:proofErr w:type="gramStart"/>
      <w:r>
        <w:t>=  0</w:t>
      </w:r>
      <w:r w:rsidR="005F32B0">
        <w:t>.</w:t>
      </w:r>
      <w:r>
        <w:t>157</w:t>
      </w:r>
      <w:proofErr w:type="gramEnd"/>
      <w:r>
        <w:t>×(17) – 2</w:t>
      </w:r>
      <w:r w:rsidR="005F32B0">
        <w:t>.</w:t>
      </w:r>
      <w:r>
        <w:t>071 = 0</w:t>
      </w:r>
      <w:r w:rsidR="005F32B0">
        <w:t>.</w:t>
      </w:r>
      <w:r>
        <w:t>598</w:t>
      </w:r>
    </w:p>
    <w:p w:rsidR="00F6464F" w:rsidRPr="00FC18FF" w:rsidRDefault="00F6464F" w:rsidP="00F6464F">
      <w:pPr>
        <w:spacing w:line="480" w:lineRule="auto"/>
        <w:contextualSpacing/>
        <w:jc w:val="center"/>
        <w:rPr>
          <w:rFonts w:ascii="Cambria Math" w:eastAsia="Cambria Math" w:hAnsi="Cambria Math" w:cs="Cambria Math"/>
          <w:i/>
          <w:color w:val="000000"/>
        </w:rPr>
      </w:pPr>
      <m:oMathPara>
        <m:oMath>
          <m:r>
            <w:rPr>
              <w:rFonts w:ascii="Cambria Math" w:hAnsi="Cambria Math"/>
            </w:rPr>
            <m:t>р=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-0.598</m:t>
                  </m:r>
                </m:sup>
              </m:sSup>
            </m:den>
          </m:f>
          <m:r>
            <w:rPr>
              <w:rFonts w:ascii="Cambria Math" w:hAnsi="Cambria Math"/>
            </w:rPr>
            <m:t>=0.645</m:t>
          </m:r>
        </m:oMath>
      </m:oMathPara>
    </w:p>
    <w:p w:rsidR="00F6464F" w:rsidRPr="009044E5" w:rsidRDefault="00F6464F" w:rsidP="00F6464F">
      <w:pPr>
        <w:spacing w:line="480" w:lineRule="auto"/>
        <w:ind w:firstLine="567"/>
        <w:contextualSpacing/>
        <w:jc w:val="both"/>
      </w:pPr>
      <w:r w:rsidRPr="009044E5">
        <w:lastRenderedPageBreak/>
        <w:t xml:space="preserve">The second patient with a probability of </w:t>
      </w:r>
      <w:r>
        <w:t>64.5</w:t>
      </w:r>
      <w:r w:rsidRPr="009044E5">
        <w:t>% could be attributed to the</w:t>
      </w:r>
      <w:r>
        <w:t xml:space="preserve"> </w:t>
      </w:r>
      <w:r w:rsidRPr="009044E5">
        <w:t>responders group, which was confirmed by a 5</w:t>
      </w:r>
      <w:r w:rsidRPr="009044E5">
        <w:rPr>
          <w:vertAlign w:val="superscript"/>
        </w:rPr>
        <w:t>th</w:t>
      </w:r>
      <w:r w:rsidRPr="009044E5">
        <w:t xml:space="preserve"> </w:t>
      </w:r>
      <w:r>
        <w:rPr>
          <w:highlight w:val="white"/>
        </w:rPr>
        <w:t>grade</w:t>
      </w:r>
      <w:r w:rsidRPr="009044E5">
        <w:t xml:space="preserve"> of PTR. </w:t>
      </w:r>
    </w:p>
    <w:p w:rsidR="00F6464F" w:rsidRPr="00FC18FF" w:rsidRDefault="00F6464F" w:rsidP="00F6464F">
      <w:pPr>
        <w:spacing w:line="480" w:lineRule="auto"/>
        <w:ind w:firstLine="567"/>
        <w:contextualSpacing/>
        <w:jc w:val="both"/>
        <w:rPr>
          <w:color w:val="000000"/>
          <w:shd w:val="clear" w:color="auto" w:fill="FFFFFF"/>
        </w:rPr>
      </w:pPr>
      <w:r w:rsidRPr="001A1D52">
        <w:rPr>
          <w:b/>
          <w:bCs/>
          <w:color w:val="000000"/>
        </w:rPr>
        <w:t xml:space="preserve">Model 5. </w:t>
      </w:r>
      <w:r w:rsidRPr="001A1D52">
        <w:rPr>
          <w:bCs/>
          <w:color w:val="000000"/>
        </w:rPr>
        <w:t>"</w:t>
      </w:r>
      <w:r w:rsidRPr="001A1D52">
        <w:rPr>
          <w:bCs/>
          <w:color w:val="000000"/>
          <w:shd w:val="clear" w:color="auto" w:fill="FFFFFF"/>
        </w:rPr>
        <w:t>Δ</w:t>
      </w:r>
      <w:r w:rsidRPr="001A1D52">
        <w:rPr>
          <w:bCs/>
          <w:color w:val="000000"/>
        </w:rPr>
        <w:t>StO</w:t>
      </w:r>
      <w:r w:rsidRPr="001A1D52">
        <w:rPr>
          <w:bCs/>
          <w:color w:val="000000"/>
          <w:vertAlign w:val="subscript"/>
        </w:rPr>
        <w:t>2</w:t>
      </w:r>
      <w:r w:rsidRPr="001A1D52">
        <w:rPr>
          <w:bCs/>
          <w:color w:val="000000"/>
        </w:rPr>
        <w:t xml:space="preserve">" for </w:t>
      </w:r>
      <w:r w:rsidRPr="001A1D52">
        <w:rPr>
          <w:color w:val="000000"/>
          <w:shd w:val="clear" w:color="auto" w:fill="FFFFFF"/>
        </w:rPr>
        <w:t xml:space="preserve">prediction </w:t>
      </w:r>
      <w:proofErr w:type="spellStart"/>
      <w:r w:rsidRPr="001A1D52">
        <w:rPr>
          <w:color w:val="000000"/>
          <w:shd w:val="clear" w:color="auto" w:fill="FFFFFF"/>
        </w:rPr>
        <w:t>pCR</w:t>
      </w:r>
      <w:proofErr w:type="spellEnd"/>
      <w:r w:rsidRPr="001A1D52">
        <w:rPr>
          <w:color w:val="000000"/>
          <w:shd w:val="clear" w:color="auto" w:fill="FFFFFF"/>
        </w:rPr>
        <w:t xml:space="preserve"> (5</w:t>
      </w:r>
      <w:r w:rsidRPr="001A1D52">
        <w:rPr>
          <w:color w:val="000000"/>
          <w:shd w:val="clear" w:color="auto" w:fill="FFFFFF"/>
          <w:vertAlign w:val="superscript"/>
        </w:rPr>
        <w:t>th</w:t>
      </w:r>
      <w:r w:rsidRPr="001A1D52">
        <w:rPr>
          <w:color w:val="000000"/>
          <w:shd w:val="clear" w:color="auto" w:fill="FFFFFF"/>
        </w:rPr>
        <w:t xml:space="preserve"> grade of PTR) in all 10</w:t>
      </w:r>
      <w:r w:rsidR="004D2C44">
        <w:rPr>
          <w:color w:val="000000"/>
          <w:shd w:val="clear" w:color="auto" w:fill="FFFFFF"/>
        </w:rPr>
        <w:t>3</w:t>
      </w:r>
      <w:r w:rsidRPr="001A1D52">
        <w:rPr>
          <w:color w:val="000000"/>
          <w:shd w:val="clear" w:color="auto" w:fill="FFFFFF"/>
        </w:rPr>
        <w:t xml:space="preserve"> patient including in the study.</w:t>
      </w:r>
    </w:p>
    <w:p w:rsidR="00F6464F" w:rsidRPr="001A1D52" w:rsidRDefault="00F6464F" w:rsidP="00F6464F">
      <w:pPr>
        <w:autoSpaceDE w:val="0"/>
        <w:autoSpaceDN w:val="0"/>
        <w:adjustRightInd w:val="0"/>
        <w:spacing w:line="480" w:lineRule="auto"/>
        <w:ind w:firstLine="567"/>
      </w:pPr>
      <w:r w:rsidRPr="00A730E9">
        <w:rPr>
          <w:color w:val="000000"/>
        </w:rPr>
        <w:t>Table</w:t>
      </w:r>
      <w:r w:rsidRPr="001A1D52">
        <w:rPr>
          <w:color w:val="000000"/>
        </w:rPr>
        <w:t xml:space="preserve"> </w:t>
      </w:r>
      <w:r>
        <w:rPr>
          <w:color w:val="000000"/>
        </w:rPr>
        <w:t>S3</w:t>
      </w:r>
      <w:r w:rsidRPr="001A1D52">
        <w:rPr>
          <w:color w:val="000000"/>
        </w:rPr>
        <w:t xml:space="preserve">. </w:t>
      </w:r>
      <w:r w:rsidRPr="00A730E9">
        <w:rPr>
          <w:color w:val="000000"/>
        </w:rPr>
        <w:t>Model</w:t>
      </w:r>
      <w:r w:rsidRPr="001A1D52">
        <w:rPr>
          <w:color w:val="000000"/>
        </w:rPr>
        <w:t xml:space="preserve"> </w:t>
      </w:r>
      <w:r>
        <w:rPr>
          <w:color w:val="000000"/>
        </w:rPr>
        <w:t>5</w:t>
      </w:r>
      <w:r w:rsidRPr="001A1D52">
        <w:rPr>
          <w:color w:val="000000"/>
        </w:rPr>
        <w:t xml:space="preserve"> </w:t>
      </w:r>
      <w:r w:rsidRPr="00A730E9">
        <w:rPr>
          <w:color w:val="000000"/>
        </w:rPr>
        <w:t>Classification</w:t>
      </w:r>
      <w:r w:rsidRPr="001A1D52">
        <w:rPr>
          <w:color w:val="000000"/>
        </w:rPr>
        <w:t xml:space="preserve"> Table (“</w:t>
      </w:r>
      <w:r w:rsidRPr="001A1D52">
        <w:rPr>
          <w:color w:val="000000"/>
          <w:shd w:val="clear" w:color="auto" w:fill="FFFFFF"/>
        </w:rPr>
        <w:t>Δ</w:t>
      </w:r>
      <w:r w:rsidRPr="001A1D52">
        <w:rPr>
          <w:color w:val="000000"/>
        </w:rPr>
        <w:t>StO</w:t>
      </w:r>
      <w:r w:rsidRPr="001A1D52">
        <w:rPr>
          <w:vertAlign w:val="subscript"/>
        </w:rPr>
        <w:t>2</w:t>
      </w:r>
      <w:r w:rsidRPr="001A1D52">
        <w:rPr>
          <w:color w:val="000000"/>
        </w:rPr>
        <w:t>”).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9"/>
        <w:gridCol w:w="1763"/>
        <w:gridCol w:w="1350"/>
        <w:gridCol w:w="2269"/>
      </w:tblGrid>
      <w:tr w:rsidR="00F6464F" w:rsidRPr="001A1D52" w:rsidTr="0065207F">
        <w:trPr>
          <w:trHeight w:val="201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Observed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Predicted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Percentage of correct</w:t>
            </w:r>
          </w:p>
          <w:p w:rsidR="00F6464F" w:rsidRPr="001A1D52" w:rsidRDefault="00F6464F" w:rsidP="0065207F">
            <w:pPr>
              <w:spacing w:line="480" w:lineRule="auto"/>
              <w:contextualSpacing/>
            </w:pPr>
          </w:p>
        </w:tc>
      </w:tr>
      <w:tr w:rsidR="00F6464F" w:rsidRPr="001A1D52" w:rsidTr="0065207F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before="280" w:after="280" w:line="480" w:lineRule="auto"/>
              <w:contextualSpacing/>
              <w:jc w:val="both"/>
            </w:pPr>
            <w:r w:rsidRPr="001A1D52">
              <w:rPr>
                <w:color w:val="000000"/>
              </w:rPr>
              <w:t>Non-responders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before="280" w:after="280" w:line="480" w:lineRule="auto"/>
              <w:contextualSpacing/>
              <w:jc w:val="both"/>
            </w:pPr>
            <w:r w:rsidRPr="001A1D52">
              <w:rPr>
                <w:color w:val="000000"/>
              </w:rPr>
              <w:t>Responders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</w:pPr>
          </w:p>
        </w:tc>
      </w:tr>
      <w:tr w:rsidR="00F6464F" w:rsidRPr="001A1D52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Non-responders (</w:t>
            </w:r>
            <w:r w:rsidR="005F32B0" w:rsidRPr="00FA6786">
              <w:rPr>
                <w:color w:val="000000"/>
              </w:rPr>
              <w:t>n=</w:t>
            </w:r>
            <w:r w:rsidR="004D2C44">
              <w:rPr>
                <w:color w:val="000000"/>
              </w:rPr>
              <w:t>78</w:t>
            </w:r>
            <w:r w:rsidRPr="001A1D52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7</w:t>
            </w:r>
            <w:r w:rsidR="004D2C44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4D2C44" w:rsidP="0065207F">
            <w:pPr>
              <w:spacing w:line="480" w:lineRule="auto"/>
              <w:contextualSpacing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95</w:t>
            </w:r>
            <w:r w:rsidR="005F32B0">
              <w:rPr>
                <w:color w:val="000000"/>
              </w:rPr>
              <w:t>.</w:t>
            </w:r>
            <w:r w:rsidRPr="001A1D52">
              <w:rPr>
                <w:color w:val="000000"/>
              </w:rPr>
              <w:t>2</w:t>
            </w:r>
          </w:p>
        </w:tc>
      </w:tr>
      <w:tr w:rsidR="00F6464F" w:rsidRPr="001A1D52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Responders (</w:t>
            </w:r>
            <w:r w:rsidR="005F32B0" w:rsidRPr="00FA6786">
              <w:rPr>
                <w:color w:val="000000"/>
              </w:rPr>
              <w:t>n=</w:t>
            </w:r>
            <w:r w:rsidRPr="001A1D52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Pr="001A1D52"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20</w:t>
            </w:r>
            <w:r w:rsidR="005F32B0">
              <w:rPr>
                <w:color w:val="000000"/>
              </w:rPr>
              <w:t>.</w:t>
            </w:r>
            <w:r w:rsidRPr="001A1D52">
              <w:rPr>
                <w:color w:val="000000"/>
              </w:rPr>
              <w:t>0</w:t>
            </w:r>
          </w:p>
        </w:tc>
      </w:tr>
      <w:tr w:rsidR="00F6464F" w:rsidRPr="003F61E8" w:rsidTr="0065207F">
        <w:trPr>
          <w:trHeight w:val="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Total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464F" w:rsidRPr="005A20B8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                                                   </w:t>
            </w:r>
            <w:r>
              <w:rPr>
                <w:color w:val="000000"/>
                <w:lang w:val="ru-RU"/>
              </w:rPr>
              <w:t xml:space="preserve"> </w:t>
            </w:r>
            <w:r w:rsidRPr="001A1D52">
              <w:t>77</w:t>
            </w:r>
            <w:r w:rsidR="005F32B0">
              <w:t>.</w:t>
            </w:r>
            <w:r w:rsidRPr="001A1D52">
              <w:t>8</w:t>
            </w:r>
          </w:p>
        </w:tc>
      </w:tr>
    </w:tbl>
    <w:p w:rsidR="00F6464F" w:rsidRDefault="00F6464F" w:rsidP="00F6464F">
      <w:pPr>
        <w:spacing w:line="480" w:lineRule="auto"/>
      </w:pPr>
    </w:p>
    <w:p w:rsidR="00F6464F" w:rsidRPr="00927D27" w:rsidRDefault="00F6464F" w:rsidP="00F6464F">
      <w:pPr>
        <w:spacing w:line="480" w:lineRule="auto"/>
        <w:ind w:firstLine="720"/>
        <w:jc w:val="both"/>
      </w:pPr>
      <w:r>
        <w:rPr>
          <w:rStyle w:val="rynqvb"/>
          <w:lang w:val="en"/>
        </w:rPr>
        <w:t>Although both regression coefficients again turned out to be statistically significant (Table S4), a large number of false negative results were noteworthy (</w:t>
      </w:r>
      <w:r w:rsidRPr="00A730E9">
        <w:rPr>
          <w:color w:val="000000"/>
        </w:rPr>
        <w:t>Table</w:t>
      </w:r>
      <w:r w:rsidRPr="001A1D52">
        <w:rPr>
          <w:color w:val="000000"/>
        </w:rPr>
        <w:t xml:space="preserve"> </w:t>
      </w:r>
      <w:r>
        <w:rPr>
          <w:color w:val="000000"/>
        </w:rPr>
        <w:t>S3</w:t>
      </w:r>
      <w:r>
        <w:rPr>
          <w:rStyle w:val="rynqvb"/>
          <w:lang w:val="en"/>
        </w:rPr>
        <w:t>).</w:t>
      </w:r>
      <w:r w:rsidRPr="00927D27">
        <w:rPr>
          <w:rStyle w:val="rynqvb"/>
        </w:rPr>
        <w:t xml:space="preserve"> </w:t>
      </w:r>
      <w:r>
        <w:rPr>
          <w:rStyle w:val="rynqvb"/>
          <w:lang w:val="en"/>
        </w:rPr>
        <w:t xml:space="preserve">The percentage of correctly identified patients in the responders group </w:t>
      </w:r>
      <w:r>
        <w:rPr>
          <w:rStyle w:val="rynqvb"/>
        </w:rPr>
        <w:t>was</w:t>
      </w:r>
      <w:r>
        <w:rPr>
          <w:rStyle w:val="rynqvb"/>
          <w:lang w:val="en"/>
        </w:rPr>
        <w:t xml:space="preserve"> only 20%.</w:t>
      </w:r>
      <w:r w:rsidRPr="00927D27">
        <w:rPr>
          <w:rStyle w:val="rynqvb"/>
        </w:rPr>
        <w:t xml:space="preserve"> </w:t>
      </w:r>
      <w:r>
        <w:rPr>
          <w:rStyle w:val="rynqvb"/>
        </w:rPr>
        <w:t>T</w:t>
      </w:r>
      <w:proofErr w:type="spellStart"/>
      <w:r w:rsidRPr="00927D27">
        <w:rPr>
          <w:rStyle w:val="rynqvb"/>
          <w:lang w:val="en"/>
        </w:rPr>
        <w:t>ogether</w:t>
      </w:r>
      <w:proofErr w:type="spellEnd"/>
      <w:r>
        <w:rPr>
          <w:rStyle w:val="rynqvb"/>
          <w:lang w:val="en"/>
        </w:rPr>
        <w:t>, Model 5 showed a high percentage of correct assignment to the group, non-responders – 95.2%.</w:t>
      </w:r>
      <w:r w:rsidRPr="00927D27">
        <w:rPr>
          <w:rStyle w:val="rynqvb"/>
        </w:rPr>
        <w:t xml:space="preserve"> </w:t>
      </w:r>
      <w:r>
        <w:rPr>
          <w:rStyle w:val="rynqvb"/>
          <w:lang w:val="en"/>
        </w:rPr>
        <w:t>It can be assumed that Model 5 will have a drawback in identifying patients in the responders group.</w:t>
      </w:r>
    </w:p>
    <w:p w:rsidR="00F6464F" w:rsidRPr="001A1D52" w:rsidRDefault="00F6464F" w:rsidP="00F6464F">
      <w:pPr>
        <w:spacing w:line="480" w:lineRule="auto"/>
        <w:ind w:firstLine="720"/>
        <w:contextualSpacing/>
        <w:outlineLvl w:val="0"/>
        <w:rPr>
          <w:color w:val="000000"/>
        </w:rPr>
      </w:pPr>
      <w:r w:rsidRPr="00FC18FF">
        <w:rPr>
          <w:color w:val="000000"/>
        </w:rPr>
        <w:t xml:space="preserve">Table </w:t>
      </w:r>
      <w:r>
        <w:rPr>
          <w:color w:val="000000"/>
        </w:rPr>
        <w:t>S4</w:t>
      </w:r>
      <w:r w:rsidRPr="001A1D52">
        <w:rPr>
          <w:color w:val="000000"/>
        </w:rPr>
        <w:t>. Variables in Model 5 Equation (“ΔStO2”).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850"/>
        <w:gridCol w:w="2037"/>
        <w:gridCol w:w="3134"/>
      </w:tblGrid>
      <w:tr w:rsidR="00F6464F" w:rsidRPr="001A1D52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  <w:rPr>
                <w:color w:val="000000"/>
              </w:rPr>
            </w:pPr>
            <w:r w:rsidRPr="001A1D52">
              <w:rPr>
                <w:color w:val="000000"/>
              </w:rPr>
              <w:t>Standard deviation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Significance level p</w:t>
            </w:r>
          </w:p>
        </w:tc>
      </w:tr>
      <w:tr w:rsidR="00F6464F" w:rsidRPr="001A1D52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t>0</w:t>
            </w:r>
            <w:r w:rsidR="005F32B0">
              <w:t>.</w:t>
            </w:r>
            <w:r w:rsidRPr="001A1D52">
              <w:t>111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t>0</w:t>
            </w:r>
            <w:r w:rsidR="005F32B0">
              <w:t>.</w:t>
            </w:r>
            <w:r w:rsidRPr="001A1D52">
              <w:t>030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t>0</w:t>
            </w:r>
            <w:r w:rsidR="005F32B0">
              <w:t>.</w:t>
            </w:r>
            <w:r w:rsidRPr="001A1D52">
              <w:t>001</w:t>
            </w:r>
          </w:p>
        </w:tc>
      </w:tr>
      <w:tr w:rsidR="00F6464F" w:rsidRPr="003F61E8" w:rsidTr="0065207F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rPr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t>-1</w:t>
            </w:r>
            <w:r w:rsidR="005F32B0">
              <w:t>.</w:t>
            </w:r>
            <w:r w:rsidRPr="001A1D52">
              <w:t>963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1A1D52" w:rsidRDefault="00F6464F" w:rsidP="0065207F">
            <w:pPr>
              <w:spacing w:line="480" w:lineRule="auto"/>
              <w:contextualSpacing/>
              <w:jc w:val="center"/>
            </w:pPr>
            <w:r w:rsidRPr="001A1D52">
              <w:t>0</w:t>
            </w:r>
            <w:r w:rsidR="005F32B0">
              <w:t>.</w:t>
            </w:r>
            <w:r w:rsidRPr="001A1D52">
              <w:t>374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464F" w:rsidRPr="003F61E8" w:rsidRDefault="00F6464F" w:rsidP="0065207F">
            <w:pPr>
              <w:spacing w:line="480" w:lineRule="auto"/>
              <w:contextualSpacing/>
              <w:jc w:val="center"/>
            </w:pPr>
            <w:r w:rsidRPr="001A1D52">
              <w:t>0</w:t>
            </w:r>
            <w:r w:rsidR="005F32B0">
              <w:t>.</w:t>
            </w:r>
            <w:r w:rsidRPr="001A1D52">
              <w:t>001</w:t>
            </w:r>
          </w:p>
        </w:tc>
      </w:tr>
    </w:tbl>
    <w:p w:rsidR="00F6464F" w:rsidRPr="007A0B6C" w:rsidRDefault="00F6464F" w:rsidP="00F6464F">
      <w:pPr>
        <w:autoSpaceDE w:val="0"/>
        <w:autoSpaceDN w:val="0"/>
        <w:adjustRightInd w:val="0"/>
        <w:spacing w:line="480" w:lineRule="auto"/>
        <w:contextualSpacing/>
      </w:pPr>
    </w:p>
    <w:p w:rsidR="00F6464F" w:rsidRPr="007A0B6C" w:rsidRDefault="00F6464F" w:rsidP="00F6464F">
      <w:pPr>
        <w:spacing w:line="480" w:lineRule="auto"/>
        <w:contextualSpacing/>
        <w:jc w:val="both"/>
      </w:pPr>
      <w:r w:rsidRPr="007A0B6C">
        <w:t>z = 0</w:t>
      </w:r>
      <w:r w:rsidR="005F32B0">
        <w:t>.</w:t>
      </w:r>
      <w:r w:rsidRPr="007A0B6C">
        <w:t>1</w:t>
      </w:r>
      <w:r w:rsidRPr="00727955">
        <w:t>11</w:t>
      </w:r>
      <w:r w:rsidRPr="007A0B6C">
        <w:t>×</w:t>
      </w:r>
      <w:proofErr w:type="gramStart"/>
      <w:r>
        <w:t>Х</w:t>
      </w:r>
      <w:r w:rsidRPr="007A0B6C">
        <w:t>(</w:t>
      </w:r>
      <w:proofErr w:type="gramEnd"/>
      <w:r>
        <w:rPr>
          <w:highlight w:val="white"/>
        </w:rPr>
        <w:t>Δ</w:t>
      </w:r>
      <w:r w:rsidRPr="007A0B6C">
        <w:t>StO</w:t>
      </w:r>
      <w:r w:rsidRPr="007A0B6C">
        <w:rPr>
          <w:vertAlign w:val="subscript"/>
        </w:rPr>
        <w:t>2</w:t>
      </w:r>
      <w:r w:rsidRPr="007A0B6C">
        <w:t xml:space="preserve">)  - </w:t>
      </w:r>
      <w:r>
        <w:t>1</w:t>
      </w:r>
      <w:r w:rsidR="005F32B0">
        <w:t>.</w:t>
      </w:r>
      <w:r w:rsidRPr="00727955">
        <w:t>963</w:t>
      </w:r>
      <w:r w:rsidRPr="007A0B6C">
        <w:t xml:space="preserve">(Model </w:t>
      </w:r>
      <w:r w:rsidRPr="00727955">
        <w:t>5</w:t>
      </w:r>
      <w:r w:rsidRPr="007A0B6C">
        <w:t xml:space="preserve"> (“</w:t>
      </w:r>
      <w:r>
        <w:rPr>
          <w:highlight w:val="white"/>
        </w:rPr>
        <w:t>Δ</w:t>
      </w:r>
      <w:r w:rsidRPr="007A0B6C">
        <w:t>StO</w:t>
      </w:r>
      <w:r w:rsidRPr="007A0B6C">
        <w:rPr>
          <w:vertAlign w:val="subscript"/>
        </w:rPr>
        <w:t>2</w:t>
      </w:r>
      <w:r w:rsidRPr="007A0B6C">
        <w:t>”)).</w:t>
      </w:r>
    </w:p>
    <w:p w:rsidR="00F6464F" w:rsidRPr="009044E5" w:rsidRDefault="00F6464F" w:rsidP="00F6464F">
      <w:pPr>
        <w:spacing w:before="280" w:after="280" w:line="480" w:lineRule="auto"/>
        <w:contextualSpacing/>
        <w:jc w:val="center"/>
      </w:pPr>
      <w:r w:rsidRPr="009044E5">
        <w:t>Patient 1 (</w:t>
      </w:r>
      <w:r>
        <w:rPr>
          <w:highlight w:val="white"/>
        </w:rPr>
        <w:t>Δ</w:t>
      </w:r>
      <w:r w:rsidRPr="009044E5">
        <w:t>StO</w:t>
      </w:r>
      <w:r w:rsidRPr="009044E5">
        <w:rPr>
          <w:vertAlign w:val="subscript"/>
        </w:rPr>
        <w:t>2</w:t>
      </w:r>
      <w:r w:rsidRPr="009044E5">
        <w:t xml:space="preserve"> = -1</w:t>
      </w:r>
      <w:r>
        <w:t>3</w:t>
      </w:r>
      <w:r w:rsidRPr="009044E5">
        <w:t>).</w:t>
      </w:r>
    </w:p>
    <w:p w:rsidR="00F6464F" w:rsidRPr="004860F7" w:rsidRDefault="00F6464F" w:rsidP="00F6464F">
      <w:pPr>
        <w:spacing w:before="280" w:after="280" w:line="480" w:lineRule="auto"/>
        <w:contextualSpacing/>
        <w:jc w:val="center"/>
      </w:pPr>
      <w:r>
        <w:t xml:space="preserve">z </w:t>
      </w:r>
      <w:proofErr w:type="gramStart"/>
      <w:r>
        <w:t>=  0</w:t>
      </w:r>
      <w:r w:rsidR="005F32B0">
        <w:t>.</w:t>
      </w:r>
      <w:r>
        <w:t>111</w:t>
      </w:r>
      <w:proofErr w:type="gramEnd"/>
      <w:r>
        <w:t>×(-13) – 1</w:t>
      </w:r>
      <w:r w:rsidR="005F32B0">
        <w:t>.</w:t>
      </w:r>
      <w:r>
        <w:t xml:space="preserve">963 = </w:t>
      </w:r>
      <w:r w:rsidRPr="004860F7">
        <w:t>-3</w:t>
      </w:r>
      <w:r w:rsidR="005F32B0">
        <w:t>.</w:t>
      </w:r>
      <w:r>
        <w:t>41</w:t>
      </w:r>
    </w:p>
    <w:p w:rsidR="00F6464F" w:rsidRPr="004860F7" w:rsidRDefault="00F6464F" w:rsidP="00F6464F">
      <w:pPr>
        <w:spacing w:line="480" w:lineRule="auto"/>
        <w:contextualSpacing/>
        <w:jc w:val="center"/>
        <w:rPr>
          <w:rFonts w:ascii="Cambria Math" w:eastAsia="Cambria Math" w:hAnsi="Cambria Math" w:cs="Cambria Math"/>
          <w:i/>
          <w:color w:val="000000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</w:rPr>
            <m:t>р=</m:t>
          </m:r>
          <m:f>
            <m:f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0000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  <w:color w:val="000000"/>
                </w:rPr>
                <m:t>1+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color w:val="000000"/>
                    </w:rPr>
                    <m:t>e</m:t>
                  </m:r>
                </m:e>
                <m:sup>
                  <m:r>
                    <w:rPr>
                      <w:rFonts w:ascii="Cambria Math" w:eastAsia="Cambria Math" w:hAnsi="Cambria Math" w:cs="Cambria Math"/>
                      <w:color w:val="000000"/>
                    </w:rPr>
                    <m:t>-(-3.41)</m:t>
                  </m:r>
                </m:sup>
              </m:sSup>
            </m:den>
          </m:f>
          <m:r>
            <w:rPr>
              <w:rFonts w:ascii="Cambria Math" w:eastAsia="Cambria Math" w:hAnsi="Cambria Math" w:cs="Cambria Math"/>
              <w:color w:val="000000"/>
            </w:rPr>
            <m:t>=0.032</m:t>
          </m:r>
        </m:oMath>
      </m:oMathPara>
    </w:p>
    <w:p w:rsidR="00F6464F" w:rsidRPr="009044E5" w:rsidRDefault="00F6464F" w:rsidP="00F6464F">
      <w:pPr>
        <w:spacing w:before="280" w:after="280" w:line="480" w:lineRule="auto"/>
        <w:ind w:firstLine="567"/>
        <w:contextualSpacing/>
        <w:jc w:val="both"/>
      </w:pPr>
      <w:r w:rsidRPr="009044E5">
        <w:lastRenderedPageBreak/>
        <w:t>This patient w</w:t>
      </w:r>
      <w:r>
        <w:t xml:space="preserve">ill </w:t>
      </w:r>
      <w:r w:rsidRPr="001A1D52">
        <w:t>be in respond</w:t>
      </w:r>
      <w:r>
        <w:t>ers</w:t>
      </w:r>
      <w:r w:rsidRPr="001A1D52">
        <w:t xml:space="preserve"> group to treatment with a probability of 3.2%, which was confirmed by a pathological </w:t>
      </w:r>
      <w:r>
        <w:t xml:space="preserve">tumor </w:t>
      </w:r>
      <w:r w:rsidRPr="001A1D52">
        <w:t xml:space="preserve">response (number of viable malignant cells was </w:t>
      </w:r>
      <w:r>
        <w:t>10</w:t>
      </w:r>
      <w:r w:rsidRPr="001A1D52">
        <w:t xml:space="preserve">0% which corresponded to the 1st </w:t>
      </w:r>
      <w:r w:rsidRPr="001A1D52">
        <w:rPr>
          <w:color w:val="000000"/>
        </w:rPr>
        <w:t>grade</w:t>
      </w:r>
      <w:r w:rsidRPr="001A1D52">
        <w:t xml:space="preserve"> of PTR).</w:t>
      </w:r>
    </w:p>
    <w:p w:rsidR="00F6464F" w:rsidRDefault="00F6464F" w:rsidP="00F6464F">
      <w:pPr>
        <w:spacing w:before="280" w:after="280" w:line="480" w:lineRule="auto"/>
        <w:contextualSpacing/>
        <w:jc w:val="center"/>
      </w:pPr>
      <w:r>
        <w:t>Patient 2 (</w:t>
      </w:r>
      <w:r>
        <w:rPr>
          <w:highlight w:val="white"/>
        </w:rPr>
        <w:t>Δ</w:t>
      </w:r>
      <w:r>
        <w:t>StO</w:t>
      </w:r>
      <w:r>
        <w:rPr>
          <w:vertAlign w:val="subscript"/>
        </w:rPr>
        <w:t>2</w:t>
      </w:r>
      <w:r>
        <w:t xml:space="preserve"> = 17).</w:t>
      </w:r>
    </w:p>
    <w:p w:rsidR="00F6464F" w:rsidRPr="004860F7" w:rsidRDefault="00F6464F" w:rsidP="00F6464F">
      <w:pPr>
        <w:spacing w:before="280" w:after="280" w:line="480" w:lineRule="auto"/>
        <w:contextualSpacing/>
        <w:jc w:val="center"/>
      </w:pPr>
      <w:r>
        <w:t xml:space="preserve">z </w:t>
      </w:r>
      <w:proofErr w:type="gramStart"/>
      <w:r>
        <w:t>=  0</w:t>
      </w:r>
      <w:r w:rsidR="005F32B0">
        <w:t>.</w:t>
      </w:r>
      <w:r>
        <w:t>111</w:t>
      </w:r>
      <w:proofErr w:type="gramEnd"/>
      <w:r>
        <w:t>×(17) – 1</w:t>
      </w:r>
      <w:r w:rsidR="005F32B0">
        <w:t>.</w:t>
      </w:r>
      <w:r>
        <w:t>963= -0</w:t>
      </w:r>
      <w:r w:rsidR="005F32B0">
        <w:t>.</w:t>
      </w:r>
      <w:r>
        <w:t>076</w:t>
      </w:r>
    </w:p>
    <w:p w:rsidR="00F6464F" w:rsidRPr="001A1D52" w:rsidRDefault="00F6464F" w:rsidP="00F6464F">
      <w:pPr>
        <w:spacing w:line="480" w:lineRule="auto"/>
        <w:contextualSpacing/>
        <w:jc w:val="center"/>
        <w:rPr>
          <w:rFonts w:ascii="Cambria Math" w:eastAsia="Cambria Math" w:hAnsi="Cambria Math" w:cs="Cambria Math"/>
          <w:i/>
          <w:color w:val="000000"/>
        </w:rPr>
      </w:pPr>
      <m:oMathPara>
        <m:oMath>
          <m:r>
            <w:rPr>
              <w:rFonts w:ascii="Cambria Math" w:hAnsi="Cambria Math"/>
            </w:rPr>
            <m:t>р=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-0.076</m:t>
                  </m:r>
                </m:sup>
              </m:sSup>
            </m:den>
          </m:f>
          <m:r>
            <w:rPr>
              <w:rFonts w:ascii="Cambria Math" w:hAnsi="Cambria Math"/>
            </w:rPr>
            <m:t>=0.481</m:t>
          </m:r>
        </m:oMath>
      </m:oMathPara>
    </w:p>
    <w:p w:rsidR="001D509B" w:rsidRDefault="00F6464F" w:rsidP="0044662E">
      <w:pPr>
        <w:spacing w:line="480" w:lineRule="auto"/>
        <w:ind w:firstLine="567"/>
        <w:contextualSpacing/>
        <w:jc w:val="both"/>
      </w:pPr>
      <w:r w:rsidRPr="001A1D52">
        <w:rPr>
          <w:rStyle w:val="rynqvb"/>
          <w:lang w:val="en"/>
        </w:rPr>
        <w:t>For the second patient</w:t>
      </w:r>
      <w:r w:rsidRPr="001A1D52">
        <w:t xml:space="preserve"> with </w:t>
      </w:r>
      <w:proofErr w:type="spellStart"/>
      <w:r>
        <w:t>pCR</w:t>
      </w:r>
      <w:proofErr w:type="spellEnd"/>
      <w:r>
        <w:t xml:space="preserve"> (</w:t>
      </w:r>
      <w:r w:rsidRPr="001A1D52">
        <w:t xml:space="preserve">5th </w:t>
      </w:r>
      <w:r w:rsidRPr="001A1D52">
        <w:rPr>
          <w:color w:val="000000"/>
        </w:rPr>
        <w:t>grade</w:t>
      </w:r>
      <w:r w:rsidRPr="001A1D52">
        <w:t xml:space="preserve"> of PTR</w:t>
      </w:r>
      <w:r>
        <w:t>)</w:t>
      </w:r>
      <w:r>
        <w:rPr>
          <w:rStyle w:val="rynqvb"/>
          <w:lang w:val="en"/>
        </w:rPr>
        <w:t xml:space="preserve">, the </w:t>
      </w:r>
      <w:r w:rsidRPr="009044E5">
        <w:t xml:space="preserve">probability </w:t>
      </w:r>
      <w:r>
        <w:rPr>
          <w:rStyle w:val="rynqvb"/>
          <w:lang w:val="en"/>
        </w:rPr>
        <w:t>of being assigned to the responders group was 48</w:t>
      </w:r>
      <w:r w:rsidRPr="001B0D20">
        <w:rPr>
          <w:rStyle w:val="rynqvb"/>
        </w:rPr>
        <w:t>.1</w:t>
      </w:r>
      <w:r>
        <w:rPr>
          <w:rStyle w:val="rynqvb"/>
          <w:lang w:val="en"/>
        </w:rPr>
        <w:t xml:space="preserve"> </w:t>
      </w:r>
      <w:r w:rsidRPr="001B0D20">
        <w:rPr>
          <w:rStyle w:val="rynqvb"/>
        </w:rPr>
        <w:t>%</w:t>
      </w:r>
      <w:r>
        <w:rPr>
          <w:rStyle w:val="rynqvb"/>
          <w:lang w:val="en"/>
        </w:rPr>
        <w:t>.</w:t>
      </w:r>
      <w:r w:rsidRPr="009044E5">
        <w:t xml:space="preserve"> </w:t>
      </w:r>
      <w:r>
        <w:rPr>
          <w:rStyle w:val="rynqvb"/>
          <w:lang w:val="en"/>
        </w:rPr>
        <w:t>Therefore, it can be concluded that Model 5 had insufficient power to identify patients from the responders group.</w:t>
      </w:r>
      <w:r w:rsidRPr="001B0D20">
        <w:rPr>
          <w:rStyle w:val="rynqvb"/>
          <w:lang w:val="en"/>
        </w:rPr>
        <w:t xml:space="preserve"> </w:t>
      </w:r>
      <w:r>
        <w:rPr>
          <w:rStyle w:val="rynqvb"/>
          <w:lang w:val="en"/>
        </w:rPr>
        <w:t>At the same time, Model 5 clearly identified patients in the non-responders group.</w:t>
      </w:r>
      <w:r w:rsidRPr="00927D27">
        <w:rPr>
          <w:rStyle w:val="rynqvb"/>
        </w:rPr>
        <w:t xml:space="preserve"> </w:t>
      </w:r>
      <w:r>
        <w:rPr>
          <w:rStyle w:val="rynqvb"/>
          <w:lang w:val="en"/>
        </w:rPr>
        <w:t>These calculations confirmed the conclusions presented for Table S3.</w:t>
      </w:r>
    </w:p>
    <w:sectPr w:rsidR="001D509B" w:rsidSect="0058741F">
      <w:footerReference w:type="even" r:id="rId6"/>
      <w:footerReference w:type="default" r:id="rId7"/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68B" w:rsidRDefault="001B168B">
      <w:r>
        <w:separator/>
      </w:r>
    </w:p>
  </w:endnote>
  <w:endnote w:type="continuationSeparator" w:id="0">
    <w:p w:rsidR="001B168B" w:rsidRDefault="001B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951519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53F34" w:rsidRDefault="00F6464F" w:rsidP="00970D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53F34" w:rsidRDefault="005874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2087922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53F34" w:rsidRDefault="00F6464F" w:rsidP="00970D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8741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753F34" w:rsidRDefault="005874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68B" w:rsidRDefault="001B168B">
      <w:r>
        <w:separator/>
      </w:r>
    </w:p>
  </w:footnote>
  <w:footnote w:type="continuationSeparator" w:id="0">
    <w:p w:rsidR="001B168B" w:rsidRDefault="001B1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64F"/>
    <w:rsid w:val="00093238"/>
    <w:rsid w:val="001B168B"/>
    <w:rsid w:val="0044662E"/>
    <w:rsid w:val="004D2C44"/>
    <w:rsid w:val="0058741F"/>
    <w:rsid w:val="005F32B0"/>
    <w:rsid w:val="006B0962"/>
    <w:rsid w:val="007E76E4"/>
    <w:rsid w:val="00835838"/>
    <w:rsid w:val="00961179"/>
    <w:rsid w:val="009E3BFF"/>
    <w:rsid w:val="00D375C5"/>
    <w:rsid w:val="00F6464F"/>
    <w:rsid w:val="00F7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B7567C-F90F-F443-B67C-799144AF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64F"/>
    <w:rPr>
      <w:rFonts w:ascii="Times New Roman" w:eastAsia="Times New Roman" w:hAnsi="Times New Roman" w:cs="Times New Roman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6464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64F"/>
    <w:rPr>
      <w:rFonts w:ascii="Times New Roman" w:eastAsia="Times New Roman" w:hAnsi="Times New Roman" w:cs="Times New Roman"/>
      <w:lang w:val="en-US" w:eastAsia="ru-RU"/>
    </w:rPr>
  </w:style>
  <w:style w:type="character" w:styleId="PageNumber">
    <w:name w:val="page number"/>
    <w:basedOn w:val="DefaultParagraphFont"/>
    <w:uiPriority w:val="99"/>
    <w:semiHidden/>
    <w:unhideWhenUsed/>
    <w:rsid w:val="00F6464F"/>
  </w:style>
  <w:style w:type="character" w:customStyle="1" w:styleId="rynqvb">
    <w:name w:val="rynqvb"/>
    <w:basedOn w:val="DefaultParagraphFont"/>
    <w:rsid w:val="00F6464F"/>
  </w:style>
  <w:style w:type="character" w:styleId="LineNumber">
    <w:name w:val="line number"/>
    <w:basedOn w:val="DefaultParagraphFont"/>
    <w:uiPriority w:val="99"/>
    <w:semiHidden/>
    <w:unhideWhenUsed/>
    <w:rsid w:val="00F6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Павлов</dc:creator>
  <cp:keywords/>
  <dc:description/>
  <cp:lastModifiedBy>Dhivya K.</cp:lastModifiedBy>
  <cp:revision>5</cp:revision>
  <dcterms:created xsi:type="dcterms:W3CDTF">2022-11-23T04:03:00Z</dcterms:created>
  <dcterms:modified xsi:type="dcterms:W3CDTF">2023-01-20T03:34:00Z</dcterms:modified>
</cp:coreProperties>
</file>