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4BC" w:rsidRPr="00C444BC" w:rsidRDefault="00C444BC" w:rsidP="00C444BC">
      <w:pPr>
        <w:keepNext/>
        <w:keepLines/>
        <w:spacing w:before="240" w:after="0" w:line="480" w:lineRule="auto"/>
        <w:outlineLvl w:val="0"/>
        <w:rPr>
          <w:rFonts w:ascii="Calibri Light" w:eastAsia="Times New Roman" w:hAnsi="Calibri Light" w:cs="Times New Roman"/>
          <w:color w:val="2E74B5"/>
          <w:sz w:val="32"/>
          <w:szCs w:val="32"/>
          <w:lang w:val="en-GB"/>
        </w:rPr>
      </w:pPr>
      <w:r w:rsidRPr="00C444BC">
        <w:rPr>
          <w:rFonts w:ascii="Calibri Light" w:eastAsia="Times New Roman" w:hAnsi="Calibri Light" w:cs="Times New Roman"/>
          <w:color w:val="2E74B5"/>
          <w:sz w:val="32"/>
          <w:szCs w:val="32"/>
          <w:lang w:val="en-GB"/>
        </w:rPr>
        <w:t>Supplemental Files</w:t>
      </w:r>
    </w:p>
    <w:p w:rsidR="00C444BC" w:rsidRPr="00C444BC" w:rsidRDefault="00C444BC" w:rsidP="00C444BC">
      <w:pPr>
        <w:keepNext/>
        <w:spacing w:after="200" w:line="240" w:lineRule="auto"/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</w:pP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  <w:t xml:space="preserve">Supplemental Table </w:t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</w:rPr>
        <w:fldChar w:fldCharType="begin"/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  <w:instrText xml:space="preserve"> SEQ Supplemental_Table \* ARABIC </w:instrText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</w:rPr>
        <w:fldChar w:fldCharType="separate"/>
      </w:r>
      <w:r w:rsidRPr="00C444BC">
        <w:rPr>
          <w:rFonts w:ascii="Calibri" w:eastAsia="Calibri" w:hAnsi="Calibri" w:cs="Times New Roman"/>
          <w:i/>
          <w:iCs/>
          <w:noProof/>
          <w:color w:val="44546A"/>
          <w:sz w:val="18"/>
          <w:szCs w:val="18"/>
          <w:lang w:val="en-GB"/>
        </w:rPr>
        <w:t>1</w:t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</w:rPr>
        <w:fldChar w:fldCharType="end"/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  <w:t>: Breast cancer specific characteristics of the MARIE cases</w:t>
      </w:r>
    </w:p>
    <w:tbl>
      <w:tblPr>
        <w:tblW w:w="6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398"/>
        <w:gridCol w:w="1480"/>
      </w:tblGrid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t> </w:t>
            </w:r>
          </w:p>
        </w:tc>
        <w:tc>
          <w:tcPr>
            <w:tcW w:w="28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Cases</w:t>
            </w:r>
          </w:p>
        </w:tc>
      </w:tr>
      <w:tr w:rsidR="00C444BC" w:rsidRPr="00C444BC" w:rsidTr="00C86876">
        <w:trPr>
          <w:trHeight w:val="576"/>
        </w:trPr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&lt; 65 years (%)</w:t>
            </w: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br/>
              <w:t>n=2123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≥ 65 years (%)</w:t>
            </w: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br/>
              <w:t xml:space="preserve">n=1432 </w:t>
            </w:r>
          </w:p>
        </w:tc>
      </w:tr>
      <w:tr w:rsidR="00C444BC" w:rsidRPr="00C444BC" w:rsidTr="00C86876">
        <w:trPr>
          <w:trHeight w:val="576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Stage</w:t>
            </w: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br/>
              <w:t>(missing=0)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in situ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138 (6.5%)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93 (6.5%)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962 (45.3%)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604 (42.2%)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821 (38.7%)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569 (39.7%)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202 (9.5%)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166 (11.6%)</w:t>
            </w:r>
          </w:p>
        </w:tc>
      </w:tr>
      <w:tr w:rsidR="00C444BC" w:rsidRPr="00C444BC" w:rsidTr="00C86876">
        <w:trPr>
          <w:trHeight w:val="576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Grade</w:t>
            </w: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br/>
              <w:t>(missing=17)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420 (19.9%)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245 (17.2%)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1015 (48.1%)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745 (52.2%)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537 (25.5%)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345 (24.2%)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in situ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138 (6.5%)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93 (6.5%)</w:t>
            </w:r>
          </w:p>
        </w:tc>
      </w:tr>
      <w:tr w:rsidR="00C444BC" w:rsidRPr="00C444BC" w:rsidTr="00C86876">
        <w:trPr>
          <w:trHeight w:val="576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Hormone receptor status</w:t>
            </w: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br/>
              <w:t>(missing=1)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both pos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1343 (63.3%)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949 (66.3%)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t>one pos or hormone therapy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314 (14.8%)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215 (15.0%)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both neg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328 (15.4%)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174 (12.2%)</w:t>
            </w:r>
          </w:p>
        </w:tc>
      </w:tr>
      <w:tr w:rsidR="00C444BC" w:rsidRPr="00C444BC" w:rsidTr="00C86876">
        <w:trPr>
          <w:trHeight w:val="444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in situ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138 (6.5%)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93 (6.5%)</w:t>
            </w:r>
          </w:p>
        </w:tc>
      </w:tr>
      <w:tr w:rsidR="00C444BC" w:rsidRPr="00C444BC" w:rsidTr="00C86876">
        <w:trPr>
          <w:trHeight w:val="576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Chemotherapy</w:t>
            </w: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br/>
              <w:t>(missing=49)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1090 (52.1%)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533 (37.7%)</w:t>
            </w:r>
          </w:p>
        </w:tc>
      </w:tr>
      <w:tr w:rsidR="00C444BC" w:rsidRPr="00C444BC" w:rsidTr="00C86876">
        <w:trPr>
          <w:trHeight w:val="576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Radiotherapy</w:t>
            </w: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br/>
              <w:t>(missing=41)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1653 (78.8%)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1073 (75.8%)</w:t>
            </w:r>
          </w:p>
        </w:tc>
      </w:tr>
      <w:tr w:rsidR="00C444BC" w:rsidRPr="00707079" w:rsidTr="00C86876">
        <w:trPr>
          <w:trHeight w:val="5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t>Tamoxifen or aromatase inhibitor</w:t>
            </w: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br/>
              <w:t>(missing=171)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t> 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402 (19.9%)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235 (17.2%)</w:t>
            </w:r>
          </w:p>
        </w:tc>
      </w:tr>
      <w:tr w:rsidR="00C444BC" w:rsidRPr="00C444BC" w:rsidTr="00C86876">
        <w:trPr>
          <w:trHeight w:val="288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either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1618 (80.1%)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1129 (82.8%)</w:t>
            </w:r>
          </w:p>
        </w:tc>
      </w:tr>
    </w:tbl>
    <w:p w:rsidR="00C444BC" w:rsidRPr="00C444BC" w:rsidRDefault="00C444BC" w:rsidP="00C444BC">
      <w:pPr>
        <w:keepNext/>
        <w:spacing w:after="200" w:line="480" w:lineRule="auto"/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</w:pPr>
    </w:p>
    <w:p w:rsidR="00C444BC" w:rsidRPr="00C444BC" w:rsidRDefault="00C444BC" w:rsidP="00C444BC">
      <w:pPr>
        <w:keepNext/>
        <w:spacing w:after="200" w:line="480" w:lineRule="auto"/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</w:pP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  <w:t xml:space="preserve">Supplemental Table </w:t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</w:rPr>
        <w:fldChar w:fldCharType="begin"/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  <w:instrText xml:space="preserve"> SEQ Supplemental_Table \* ARABIC </w:instrText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</w:rPr>
        <w:fldChar w:fldCharType="separate"/>
      </w:r>
      <w:r w:rsidRPr="00C444BC">
        <w:rPr>
          <w:rFonts w:ascii="Calibri" w:eastAsia="Calibri" w:hAnsi="Calibri" w:cs="Times New Roman"/>
          <w:i/>
          <w:iCs/>
          <w:noProof/>
          <w:color w:val="44546A"/>
          <w:sz w:val="18"/>
          <w:szCs w:val="18"/>
          <w:lang w:val="en-GB"/>
        </w:rPr>
        <w:t>2</w:t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</w:rPr>
        <w:fldChar w:fldCharType="end"/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  <w:t xml:space="preserve">: Hazard Ratios and 95% confidence intervals for all-cause mortality and cancer mortality </w:t>
      </w:r>
    </w:p>
    <w:tbl>
      <w:tblPr>
        <w:tblW w:w="7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900"/>
        <w:gridCol w:w="955"/>
        <w:gridCol w:w="581"/>
        <w:gridCol w:w="550"/>
        <w:gridCol w:w="550"/>
        <w:gridCol w:w="642"/>
        <w:gridCol w:w="740"/>
        <w:gridCol w:w="570"/>
        <w:gridCol w:w="570"/>
        <w:gridCol w:w="531"/>
      </w:tblGrid>
      <w:tr w:rsidR="00C444BC" w:rsidRPr="00C444BC" w:rsidTr="00C86876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val="en-GB" w:eastAsia="de-DE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&lt;65 years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≥65 years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324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Endpoint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Group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HR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a</w:t>
            </w: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95% CI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b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c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HR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a</w:t>
            </w: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95% CI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b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c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All-cause mortality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Cases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No CVD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0.021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0.68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CVD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1.41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1.11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1.77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1.63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1.36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1.94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Controls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No CVD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533286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CVD</w:t>
            </w:r>
          </w:p>
        </w:tc>
        <w:tc>
          <w:tcPr>
            <w:tcW w:w="426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2.04</w:t>
            </w:r>
          </w:p>
        </w:tc>
        <w:tc>
          <w:tcPr>
            <w:tcW w:w="55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1.64</w:t>
            </w:r>
          </w:p>
        </w:tc>
        <w:tc>
          <w:tcPr>
            <w:tcW w:w="55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2.54</w:t>
            </w:r>
          </w:p>
        </w:tc>
        <w:tc>
          <w:tcPr>
            <w:tcW w:w="64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1.71</w:t>
            </w:r>
          </w:p>
        </w:tc>
        <w:tc>
          <w:tcPr>
            <w:tcW w:w="57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1.48</w:t>
            </w:r>
          </w:p>
        </w:tc>
        <w:tc>
          <w:tcPr>
            <w:tcW w:w="57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1.96</w:t>
            </w:r>
          </w:p>
        </w:tc>
        <w:tc>
          <w:tcPr>
            <w:tcW w:w="53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Cancer mortality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Cases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No CVD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0.42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0.23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CVD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1.15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0.86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1.54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1.53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1.21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1.93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Controls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No CVD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CVD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1.39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0.98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1.97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1.22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0.92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1.62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324"/>
        </w:trPr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SHR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d</w:t>
            </w: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95% CI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b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c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SHR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d</w:t>
            </w: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95% CI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b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P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c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Cancer mortality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Cases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No CVD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0.47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0.26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CVD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1.13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0.84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1.50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1.41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1.11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1.79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Controls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No CVD</w:t>
            </w:r>
          </w:p>
        </w:tc>
        <w:tc>
          <w:tcPr>
            <w:tcW w:w="15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CVD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1.33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0.94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1.89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1.14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0.85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1.51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300"/>
        </w:trPr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de-DE"/>
              </w:rPr>
              <w:t xml:space="preserve">a </w:t>
            </w: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HR: hazard ratio  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300"/>
        </w:trPr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de-DE"/>
              </w:rPr>
              <w:t xml:space="preserve">b </w:t>
            </w: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CI: confidence interval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C444BC" w:rsidRPr="00707079" w:rsidTr="00C86876">
        <w:trPr>
          <w:trHeight w:val="300"/>
        </w:trPr>
        <w:tc>
          <w:tcPr>
            <w:tcW w:w="57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GB" w:eastAsia="de-DE"/>
              </w:rPr>
              <w:t xml:space="preserve">c </w:t>
            </w: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P value for interaction between case-control status and CVD 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t> </w:t>
            </w:r>
          </w:p>
        </w:tc>
      </w:tr>
      <w:tr w:rsidR="00C444BC" w:rsidRPr="00707079" w:rsidTr="00C86876">
        <w:trPr>
          <w:trHeight w:val="300"/>
        </w:trPr>
        <w:tc>
          <w:tcPr>
            <w:tcW w:w="32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GB" w:eastAsia="de-DE"/>
              </w:rPr>
              <w:t>d</w:t>
            </w: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SHR: subdistribution hazard ratios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t> </w:t>
            </w:r>
          </w:p>
        </w:tc>
      </w:tr>
    </w:tbl>
    <w:p w:rsidR="00C444BC" w:rsidRPr="00C444BC" w:rsidRDefault="00C444BC" w:rsidP="00C444BC">
      <w:pPr>
        <w:spacing w:line="480" w:lineRule="auto"/>
        <w:rPr>
          <w:rFonts w:ascii="Calibri" w:eastAsia="Calibri" w:hAnsi="Calibri" w:cs="Times New Roman"/>
          <w:lang w:val="en-GB"/>
        </w:rPr>
      </w:pPr>
    </w:p>
    <w:p w:rsidR="00C444BC" w:rsidRPr="00C444BC" w:rsidRDefault="00C444BC" w:rsidP="00C444BC">
      <w:pPr>
        <w:keepNext/>
        <w:spacing w:after="200" w:line="480" w:lineRule="auto"/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</w:pPr>
    </w:p>
    <w:p w:rsidR="00C444BC" w:rsidRPr="00C444BC" w:rsidRDefault="00C444BC" w:rsidP="00C444BC">
      <w:pPr>
        <w:keepNext/>
        <w:spacing w:after="200" w:line="480" w:lineRule="auto"/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</w:pP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  <w:t xml:space="preserve">Supplemental Table </w:t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</w:rPr>
        <w:fldChar w:fldCharType="begin"/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  <w:instrText xml:space="preserve"> SEQ Supplemental_Table \* ARABIC </w:instrText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</w:rPr>
        <w:fldChar w:fldCharType="separate"/>
      </w:r>
      <w:r w:rsidRPr="00C444BC">
        <w:rPr>
          <w:rFonts w:ascii="Calibri" w:eastAsia="Calibri" w:hAnsi="Calibri" w:cs="Times New Roman"/>
          <w:i/>
          <w:iCs/>
          <w:noProof/>
          <w:color w:val="44546A"/>
          <w:sz w:val="18"/>
          <w:szCs w:val="18"/>
          <w:lang w:val="en-GB"/>
        </w:rPr>
        <w:t>3</w:t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</w:rPr>
        <w:fldChar w:fldCharType="end"/>
      </w:r>
      <w:r w:rsidRPr="00C444BC">
        <w:rPr>
          <w:rFonts w:ascii="Calibri" w:eastAsia="Calibri" w:hAnsi="Calibri" w:cs="Times New Roman"/>
          <w:i/>
          <w:iCs/>
          <w:color w:val="44546A"/>
          <w:sz w:val="18"/>
          <w:szCs w:val="18"/>
          <w:lang w:val="en-GB"/>
        </w:rPr>
        <w:t>: Cause-specific and subdistributional Hazard Ratios and 95% confidence intervals for CVD mortality</w:t>
      </w:r>
    </w:p>
    <w:tbl>
      <w:tblPr>
        <w:tblW w:w="5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900"/>
        <w:gridCol w:w="566"/>
        <w:gridCol w:w="550"/>
        <w:gridCol w:w="550"/>
        <w:gridCol w:w="740"/>
        <w:gridCol w:w="570"/>
        <w:gridCol w:w="570"/>
      </w:tblGrid>
      <w:tr w:rsidR="00C444BC" w:rsidRPr="00C444BC" w:rsidTr="00C86876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val="en-GB" w:eastAsia="de-D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val="en-GB" w:eastAsia="de-DE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&lt;65 years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≥65 years</w:t>
            </w:r>
          </w:p>
        </w:tc>
      </w:tr>
      <w:tr w:rsidR="00C444BC" w:rsidRPr="00C444BC" w:rsidTr="00C86876">
        <w:trPr>
          <w:trHeight w:val="324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Endpoint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Group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HR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a</w:t>
            </w: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95% CI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b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HR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a</w:t>
            </w: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95% CI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b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CVD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Controls</w:t>
            </w:r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dotted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Cases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1.51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1.08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2.13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0.97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0.79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1.21</w:t>
            </w:r>
          </w:p>
        </w:tc>
      </w:tr>
      <w:tr w:rsidR="00C444BC" w:rsidRPr="00C444BC" w:rsidTr="00C86876">
        <w:trPr>
          <w:trHeight w:val="324"/>
        </w:trPr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SHR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c</w:t>
            </w: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95% CI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b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SHR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c</w:t>
            </w: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95% CI</w:t>
            </w:r>
            <w:r w:rsidRPr="00C444BC">
              <w:rPr>
                <w:rFonts w:ascii="Calibri" w:eastAsia="Times New Roman" w:hAnsi="Calibri" w:cs="Calibri"/>
                <w:color w:val="000000"/>
                <w:vertAlign w:val="superscript"/>
                <w:lang w:eastAsia="de-DE"/>
              </w:rPr>
              <w:t>b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CVD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Controls</w:t>
            </w:r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dotted" w:sz="4" w:space="0" w:color="000000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Ref.</w:t>
            </w:r>
          </w:p>
        </w:tc>
      </w:tr>
      <w:tr w:rsidR="00C444BC" w:rsidRPr="00C444BC" w:rsidTr="00C86876">
        <w:trPr>
          <w:trHeight w:val="288"/>
        </w:trPr>
        <w:tc>
          <w:tcPr>
            <w:tcW w:w="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Cases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1.33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0.95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1.87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0.85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0.68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1.05</w:t>
            </w:r>
          </w:p>
        </w:tc>
      </w:tr>
      <w:tr w:rsidR="00C444BC" w:rsidRPr="00707079" w:rsidTr="00C86876">
        <w:trPr>
          <w:trHeight w:val="816"/>
        </w:trPr>
        <w:tc>
          <w:tcPr>
            <w:tcW w:w="54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Models adjusted for the baseline variables age, BMI, education, living with a partner, smoking status, alcohol consumption, </w:t>
            </w:r>
            <w:proofErr w:type="gramStart"/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physical</w:t>
            </w:r>
            <w:proofErr w:type="gramEnd"/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 xml:space="preserve"> activity, CVD at baseline, diabetes and tumors other than breast cancer. </w:t>
            </w:r>
          </w:p>
        </w:tc>
      </w:tr>
      <w:tr w:rsidR="00C444BC" w:rsidRPr="00707079" w:rsidTr="00C86876">
        <w:trPr>
          <w:trHeight w:val="300"/>
        </w:trPr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GB" w:eastAsia="de-DE"/>
              </w:rPr>
              <w:t>a</w:t>
            </w: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HR: hazard ratio (cause-specific)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de-DE"/>
              </w:rPr>
              <w:t> </w:t>
            </w:r>
          </w:p>
        </w:tc>
      </w:tr>
      <w:tr w:rsidR="00C444BC" w:rsidRPr="00C444BC" w:rsidTr="00C86876">
        <w:trPr>
          <w:trHeight w:val="300"/>
        </w:trPr>
        <w:tc>
          <w:tcPr>
            <w:tcW w:w="2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de-DE"/>
              </w:rPr>
              <w:t>b</w:t>
            </w: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CI: confidence interval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C444BC" w:rsidRPr="00C444BC" w:rsidTr="00C86876">
        <w:trPr>
          <w:trHeight w:val="300"/>
        </w:trPr>
        <w:tc>
          <w:tcPr>
            <w:tcW w:w="35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de-DE"/>
              </w:rPr>
              <w:t>c</w:t>
            </w:r>
            <w:r w:rsidRPr="00C444B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SHR: subdistribution hazard ratios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444BC" w:rsidRPr="00C444BC" w:rsidRDefault="00C444BC" w:rsidP="00C444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C444B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</w:tbl>
    <w:p w:rsidR="00C444BC" w:rsidRPr="00C444BC" w:rsidRDefault="00C444BC" w:rsidP="00C444BC">
      <w:pPr>
        <w:spacing w:line="480" w:lineRule="auto"/>
        <w:rPr>
          <w:rFonts w:ascii="Calibri" w:eastAsia="Calibri" w:hAnsi="Calibri" w:cs="Times New Roman"/>
          <w:lang w:val="en-GB"/>
        </w:rPr>
      </w:pPr>
      <w:bookmarkStart w:id="0" w:name="_GoBack"/>
      <w:bookmarkEnd w:id="0"/>
    </w:p>
    <w:sectPr w:rsidR="00C444BC" w:rsidRPr="00C444BC" w:rsidSect="003B46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3D5" w:rsidRDefault="006373D5">
      <w:pPr>
        <w:spacing w:after="0" w:line="240" w:lineRule="auto"/>
      </w:pPr>
      <w:r>
        <w:separator/>
      </w:r>
    </w:p>
  </w:endnote>
  <w:endnote w:type="continuationSeparator" w:id="0">
    <w:p w:rsidR="006373D5" w:rsidRDefault="00637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2081" w:rsidRDefault="006373D5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9801161"/>
      <w:docPartObj>
        <w:docPartGallery w:val="Page Numbers (Bottom of Page)"/>
        <w:docPartUnique/>
      </w:docPartObj>
    </w:sdtPr>
    <w:sdtEndPr/>
    <w:sdtContent>
      <w:p w:rsidR="009C2081" w:rsidRDefault="00C444B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286">
          <w:rPr>
            <w:noProof/>
          </w:rPr>
          <w:t>1</w:t>
        </w:r>
        <w:r>
          <w:fldChar w:fldCharType="end"/>
        </w:r>
      </w:p>
    </w:sdtContent>
  </w:sdt>
  <w:p w:rsidR="009C2081" w:rsidRDefault="006373D5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2081" w:rsidRDefault="006373D5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3D5" w:rsidRDefault="006373D5">
      <w:pPr>
        <w:spacing w:after="0" w:line="240" w:lineRule="auto"/>
      </w:pPr>
      <w:r>
        <w:separator/>
      </w:r>
    </w:p>
  </w:footnote>
  <w:footnote w:type="continuationSeparator" w:id="0">
    <w:p w:rsidR="006373D5" w:rsidRDefault="00637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2081" w:rsidRDefault="006373D5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2081" w:rsidRDefault="00C444BC">
    <w:pPr>
      <w:pStyle w:val="Kopfzeile"/>
    </w:pP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2081" w:rsidRDefault="006373D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4BC"/>
    <w:rsid w:val="00017FF9"/>
    <w:rsid w:val="0005693F"/>
    <w:rsid w:val="00533286"/>
    <w:rsid w:val="005861CA"/>
    <w:rsid w:val="006373D5"/>
    <w:rsid w:val="00707079"/>
    <w:rsid w:val="00AB1B49"/>
    <w:rsid w:val="00C444BC"/>
    <w:rsid w:val="00EA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4947A-5328-4FB1-8974-5E4C132D6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44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444BC"/>
  </w:style>
  <w:style w:type="paragraph" w:styleId="Fuzeile">
    <w:name w:val="footer"/>
    <w:basedOn w:val="Standard"/>
    <w:link w:val="FuzeileZchn"/>
    <w:uiPriority w:val="99"/>
    <w:unhideWhenUsed/>
    <w:rsid w:val="00C44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444BC"/>
  </w:style>
  <w:style w:type="character" w:styleId="Zeilennummer">
    <w:name w:val="line number"/>
    <w:basedOn w:val="Absatz-Standardschriftart"/>
    <w:uiPriority w:val="99"/>
    <w:semiHidden/>
    <w:unhideWhenUsed/>
    <w:rsid w:val="00C44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Möhl</dc:creator>
  <cp:keywords/>
  <dc:description/>
  <cp:lastModifiedBy>Annika Möhl</cp:lastModifiedBy>
  <cp:revision>3</cp:revision>
  <dcterms:created xsi:type="dcterms:W3CDTF">2023-07-13T14:46:00Z</dcterms:created>
  <dcterms:modified xsi:type="dcterms:W3CDTF">2023-07-13T14:46:00Z</dcterms:modified>
</cp:coreProperties>
</file>