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9214D" w14:textId="3FA668F3" w:rsidR="003F270F" w:rsidRPr="00BE3387" w:rsidRDefault="00E12E34" w:rsidP="00B05408">
      <w:r w:rsidRPr="00BE3387">
        <w:rPr>
          <w:b/>
          <w:bCs/>
        </w:rPr>
        <w:t>Additional File 1</w:t>
      </w:r>
      <w:r w:rsidR="003F270F" w:rsidRPr="00BE3387">
        <w:t xml:space="preserve"> </w:t>
      </w:r>
      <w:r w:rsidR="00A100DF">
        <w:t>Supplementary Materials and Methods</w:t>
      </w:r>
      <w:r w:rsidR="00A100DF">
        <w:t xml:space="preserve"> </w:t>
      </w:r>
      <w:r w:rsidR="00A3778F" w:rsidRPr="00BE3387">
        <w:t xml:space="preserve">to </w:t>
      </w:r>
      <w:r w:rsidR="00A3778F" w:rsidRPr="00BE3387">
        <w:rPr>
          <w:i/>
          <w:iCs/>
        </w:rPr>
        <w:t xml:space="preserve">Steenbruggen et al. </w:t>
      </w:r>
      <w:r w:rsidR="00BE3387" w:rsidRPr="00BE3387">
        <w:t>B</w:t>
      </w:r>
      <w:r w:rsidR="00E56293">
        <w:t>-</w:t>
      </w:r>
      <w:r w:rsidR="00BE3387" w:rsidRPr="00BE3387">
        <w:t>cells and regulatory T</w:t>
      </w:r>
      <w:r w:rsidR="00E56293">
        <w:t>-</w:t>
      </w:r>
      <w:r w:rsidR="00BE3387" w:rsidRPr="00BE3387">
        <w:t>cells in the microenvironment of HER2+ breast cancer are associated with decreased survival: a real-world analysis of women with HER2+ metastatic breast cancer</w:t>
      </w:r>
    </w:p>
    <w:p w14:paraId="010AC0EE" w14:textId="4C716BB7" w:rsidR="003F270F" w:rsidRDefault="003F270F" w:rsidP="003F270F">
      <w:pPr>
        <w:spacing w:line="360" w:lineRule="auto"/>
        <w:rPr>
          <w:rFonts w:ascii="Calibri" w:hAnsi="Calibri" w:cs="Arial"/>
          <w:b/>
          <w:bCs/>
        </w:rPr>
      </w:pPr>
    </w:p>
    <w:p w14:paraId="363E3594" w14:textId="77777777" w:rsidR="007160B5" w:rsidRDefault="007160B5" w:rsidP="003F270F">
      <w:pPr>
        <w:spacing w:line="360" w:lineRule="auto"/>
        <w:rPr>
          <w:rFonts w:ascii="Calibri" w:hAnsi="Calibri" w:cs="Arial"/>
          <w:b/>
          <w:bCs/>
        </w:rPr>
      </w:pPr>
    </w:p>
    <w:p w14:paraId="5E6648D5" w14:textId="7D9E0136" w:rsidR="0067765D" w:rsidRPr="007160B5" w:rsidRDefault="0067765D" w:rsidP="007160B5">
      <w:pPr>
        <w:rPr>
          <w:b/>
          <w:bCs/>
        </w:rPr>
      </w:pPr>
      <w:bookmarkStart w:id="0" w:name="_Toc98441654"/>
      <w:r w:rsidRPr="007160B5">
        <w:rPr>
          <w:b/>
          <w:bCs/>
        </w:rPr>
        <w:t xml:space="preserve">Supplementary </w:t>
      </w:r>
      <w:r w:rsidR="00C803C3" w:rsidRPr="007160B5">
        <w:rPr>
          <w:b/>
          <w:bCs/>
        </w:rPr>
        <w:t>Materials and Methods</w:t>
      </w:r>
      <w:bookmarkEnd w:id="0"/>
    </w:p>
    <w:p w14:paraId="6F5FE209" w14:textId="77777777" w:rsidR="005D3379" w:rsidRDefault="005D3379" w:rsidP="00C803C3">
      <w:pPr>
        <w:spacing w:line="360" w:lineRule="auto"/>
        <w:jc w:val="both"/>
        <w:rPr>
          <w:rFonts w:ascii="Calibri" w:hAnsi="Calibri" w:cs="Arial"/>
        </w:rPr>
      </w:pPr>
    </w:p>
    <w:p w14:paraId="3CC0C20D" w14:textId="0E68FA63" w:rsidR="005D3379" w:rsidRPr="005D3379" w:rsidRDefault="005D3379" w:rsidP="00C803C3">
      <w:pPr>
        <w:spacing w:line="360" w:lineRule="auto"/>
        <w:jc w:val="both"/>
        <w:rPr>
          <w:rFonts w:ascii="Calibri" w:hAnsi="Calibri" w:cs="Arial"/>
          <w:bCs/>
          <w:i/>
          <w:iCs/>
        </w:rPr>
      </w:pPr>
      <w:r w:rsidRPr="00CA354C">
        <w:rPr>
          <w:rFonts w:ascii="Calibri" w:hAnsi="Calibri" w:cs="Arial"/>
          <w:bCs/>
          <w:i/>
          <w:iCs/>
        </w:rPr>
        <w:t>Next-generation</w:t>
      </w:r>
      <w:r w:rsidRPr="00CA354C">
        <w:rPr>
          <w:rFonts w:ascii="Calibri" w:hAnsi="Calibri" w:cs="Arial"/>
          <w:bCs/>
        </w:rPr>
        <w:t xml:space="preserve"> </w:t>
      </w:r>
      <w:r w:rsidRPr="00CA354C">
        <w:rPr>
          <w:rFonts w:ascii="Calibri" w:hAnsi="Calibri" w:cs="Arial"/>
          <w:bCs/>
          <w:i/>
          <w:iCs/>
        </w:rPr>
        <w:t xml:space="preserve">RNA sequencing </w:t>
      </w:r>
    </w:p>
    <w:p w14:paraId="6A2C6099" w14:textId="653D7EC5" w:rsidR="005D3379" w:rsidRDefault="005D3379" w:rsidP="00C803C3">
      <w:pPr>
        <w:spacing w:line="360" w:lineRule="auto"/>
        <w:jc w:val="both"/>
        <w:rPr>
          <w:rFonts w:ascii="Calibri" w:hAnsi="Calibri" w:cs="Arial"/>
        </w:rPr>
      </w:pPr>
      <w:r>
        <w:rPr>
          <w:rFonts w:ascii="Calibri" w:hAnsi="Calibri" w:cs="Arial"/>
        </w:rPr>
        <w:t xml:space="preserve">RNA was isolated </w:t>
      </w:r>
      <w:r w:rsidRPr="00001505">
        <w:rPr>
          <w:rFonts w:ascii="Calibri" w:hAnsi="Calibri" w:cs="Arial"/>
        </w:rPr>
        <w:t xml:space="preserve">using the </w:t>
      </w:r>
      <w:proofErr w:type="spellStart"/>
      <w:r w:rsidRPr="00001505">
        <w:rPr>
          <w:rFonts w:ascii="Calibri" w:hAnsi="Calibri" w:cs="Arial"/>
        </w:rPr>
        <w:t>Qiagen</w:t>
      </w:r>
      <w:proofErr w:type="spellEnd"/>
      <w:r w:rsidRPr="00001505">
        <w:rPr>
          <w:rFonts w:ascii="Calibri" w:hAnsi="Calibri" w:cs="Arial"/>
        </w:rPr>
        <w:t xml:space="preserve"> </w:t>
      </w:r>
      <w:proofErr w:type="spellStart"/>
      <w:r w:rsidRPr="000A5977">
        <w:rPr>
          <w:rFonts w:ascii="Calibri" w:hAnsi="Calibri" w:cs="Arial"/>
        </w:rPr>
        <w:t>AllPrep</w:t>
      </w:r>
      <w:proofErr w:type="spellEnd"/>
      <w:r w:rsidRPr="000A5977">
        <w:rPr>
          <w:rFonts w:ascii="Calibri" w:hAnsi="Calibri" w:cs="Arial"/>
        </w:rPr>
        <w:t xml:space="preserve"> DNA/RNA FFPE Kit</w:t>
      </w:r>
      <w:r w:rsidRPr="000A5977" w:rsidDel="000A5977">
        <w:rPr>
          <w:rFonts w:ascii="Calibri" w:hAnsi="Calibri" w:cs="Arial"/>
        </w:rPr>
        <w:t xml:space="preserve"> </w:t>
      </w:r>
      <w:r>
        <w:rPr>
          <w:rFonts w:ascii="Calibri" w:hAnsi="Calibri" w:cs="Arial"/>
        </w:rPr>
        <w:t xml:space="preserve">(cat. No 80234) using the </w:t>
      </w:r>
      <w:proofErr w:type="spellStart"/>
      <w:r>
        <w:rPr>
          <w:rFonts w:ascii="Calibri" w:hAnsi="Calibri" w:cs="Arial"/>
        </w:rPr>
        <w:t>QiaCube</w:t>
      </w:r>
      <w:proofErr w:type="spellEnd"/>
      <w:r w:rsidRPr="00001505">
        <w:rPr>
          <w:rFonts w:ascii="Calibri" w:hAnsi="Calibri" w:cs="Arial"/>
        </w:rPr>
        <w:t xml:space="preserve">. Samples having sufficient RNA yield (200 ng) were processed with </w:t>
      </w:r>
      <w:proofErr w:type="spellStart"/>
      <w:r w:rsidRPr="00001505">
        <w:rPr>
          <w:rFonts w:ascii="Calibri" w:hAnsi="Calibri" w:cs="Arial"/>
        </w:rPr>
        <w:t>TruSeq</w:t>
      </w:r>
      <w:proofErr w:type="spellEnd"/>
      <w:r w:rsidRPr="00001505">
        <w:rPr>
          <w:rFonts w:ascii="Calibri" w:hAnsi="Calibri" w:cs="Arial"/>
        </w:rPr>
        <w:t xml:space="preserve"> RNA Exome Library Prep </w:t>
      </w:r>
      <w:r>
        <w:rPr>
          <w:rFonts w:ascii="Calibri" w:hAnsi="Calibri" w:cs="Arial"/>
        </w:rPr>
        <w:t>k</w:t>
      </w:r>
      <w:r w:rsidRPr="00001505">
        <w:rPr>
          <w:rFonts w:ascii="Calibri" w:hAnsi="Calibri" w:cs="Arial"/>
        </w:rPr>
        <w:t xml:space="preserve">it </w:t>
      </w:r>
      <w:r>
        <w:rPr>
          <w:rFonts w:ascii="Calibri" w:hAnsi="Calibri" w:cs="Arial"/>
        </w:rPr>
        <w:t xml:space="preserve">(Illumina) </w:t>
      </w:r>
      <w:r w:rsidRPr="00001505">
        <w:rPr>
          <w:rFonts w:ascii="Calibri" w:hAnsi="Calibri" w:cs="Arial"/>
        </w:rPr>
        <w:t xml:space="preserve">according to the manufacturer’s instructions. </w:t>
      </w:r>
      <w:r>
        <w:rPr>
          <w:rFonts w:ascii="Calibri" w:hAnsi="Calibri" w:cs="Arial"/>
        </w:rPr>
        <w:t>S</w:t>
      </w:r>
      <w:r w:rsidRPr="00001505">
        <w:rPr>
          <w:rFonts w:ascii="Calibri" w:hAnsi="Calibri" w:cs="Arial"/>
        </w:rPr>
        <w:t xml:space="preserve">amples were sequenced with 65-bp single-end reads on a HiSeq2500 in high-output mode using V4 chemistry (Illumina). Median sequencing depth was </w:t>
      </w:r>
      <w:r>
        <w:rPr>
          <w:rFonts w:ascii="Calibri" w:hAnsi="Calibri" w:cs="Arial"/>
        </w:rPr>
        <w:t xml:space="preserve">18.9 million reads. Two samples had too few unique reads for further analysis (less than 0.5 million unique reads) and were excluded. Transcripts </w:t>
      </w:r>
      <w:r w:rsidRPr="00001505">
        <w:rPr>
          <w:rFonts w:ascii="Calibri" w:hAnsi="Calibri" w:cs="Arial"/>
        </w:rPr>
        <w:t xml:space="preserve">were quantified </w:t>
      </w:r>
      <w:r>
        <w:rPr>
          <w:rFonts w:ascii="Calibri" w:hAnsi="Calibri" w:cs="Arial"/>
        </w:rPr>
        <w:t xml:space="preserve">from the reads </w:t>
      </w:r>
      <w:r w:rsidRPr="00001505">
        <w:rPr>
          <w:rFonts w:ascii="Calibri" w:hAnsi="Calibri" w:cs="Arial"/>
        </w:rPr>
        <w:t>using Salmon v1.0.0, using GC-bias correction and a k-</w:t>
      </w:r>
      <w:proofErr w:type="spellStart"/>
      <w:r w:rsidRPr="00001505">
        <w:rPr>
          <w:rFonts w:ascii="Calibri" w:hAnsi="Calibri" w:cs="Arial"/>
        </w:rPr>
        <w:t>mer</w:t>
      </w:r>
      <w:proofErr w:type="spellEnd"/>
      <w:r w:rsidRPr="00001505">
        <w:rPr>
          <w:rFonts w:ascii="Calibri" w:hAnsi="Calibri" w:cs="Arial"/>
        </w:rPr>
        <w:t xml:space="preserve"> size of 29, against the </w:t>
      </w:r>
      <w:proofErr w:type="spellStart"/>
      <w:r w:rsidRPr="00001505">
        <w:rPr>
          <w:rFonts w:ascii="Calibri" w:hAnsi="Calibri" w:cs="Arial"/>
        </w:rPr>
        <w:t>Gencode</w:t>
      </w:r>
      <w:proofErr w:type="spellEnd"/>
      <w:r w:rsidRPr="00001505">
        <w:rPr>
          <w:rFonts w:ascii="Calibri" w:hAnsi="Calibri" w:cs="Arial"/>
        </w:rPr>
        <w:t xml:space="preserve"> v32 reference transcriptome. The transcript-level transcript-per-million values reported by Salmon were summed for each gene to give the final gene expression values. </w:t>
      </w:r>
      <w:r>
        <w:rPr>
          <w:rFonts w:ascii="Calibri" w:hAnsi="Calibri" w:cs="Arial"/>
        </w:rPr>
        <w:t>Pre-treatment primary tumor samples were selected for evaluation of expression data (excluding 17 patients</w:t>
      </w:r>
      <w:r w:rsidR="004752E4">
        <w:rPr>
          <w:rFonts w:ascii="Calibri" w:hAnsi="Calibri" w:cs="Arial"/>
        </w:rPr>
        <w:t xml:space="preserve"> with only post-treatment samples</w:t>
      </w:r>
      <w:r>
        <w:rPr>
          <w:rFonts w:ascii="Calibri" w:hAnsi="Calibri" w:cs="Arial"/>
        </w:rPr>
        <w:t>).</w:t>
      </w:r>
    </w:p>
    <w:p w14:paraId="076EBFA0" w14:textId="77777777" w:rsidR="005D3379" w:rsidRDefault="005D3379" w:rsidP="00C803C3">
      <w:pPr>
        <w:spacing w:line="360" w:lineRule="auto"/>
        <w:jc w:val="both"/>
        <w:rPr>
          <w:rFonts w:ascii="Calibri" w:hAnsi="Calibri" w:cs="Arial"/>
        </w:rPr>
      </w:pPr>
    </w:p>
    <w:p w14:paraId="00F9107E" w14:textId="6D42D73B" w:rsidR="00C803C3" w:rsidRPr="005D3379" w:rsidRDefault="005D3379" w:rsidP="00C803C3">
      <w:pPr>
        <w:spacing w:line="360" w:lineRule="auto"/>
        <w:jc w:val="both"/>
        <w:rPr>
          <w:rFonts w:ascii="Calibri" w:hAnsi="Calibri" w:cs="Arial"/>
          <w:i/>
          <w:iCs/>
        </w:rPr>
      </w:pPr>
      <w:r w:rsidRPr="005D3379">
        <w:rPr>
          <w:rFonts w:ascii="Calibri" w:hAnsi="Calibri" w:cs="Arial"/>
          <w:i/>
          <w:iCs/>
        </w:rPr>
        <w:t>70-gene and 80-gene signatures</w:t>
      </w:r>
    </w:p>
    <w:p w14:paraId="66F6D7D3" w14:textId="4B0AD6EA" w:rsidR="005D3379" w:rsidRDefault="00C803C3" w:rsidP="00C803C3">
      <w:pPr>
        <w:spacing w:line="360" w:lineRule="auto"/>
        <w:jc w:val="both"/>
        <w:rPr>
          <w:rFonts w:ascii="Calibri" w:hAnsi="Calibri" w:cs="Arial"/>
        </w:rPr>
      </w:pPr>
      <w:r w:rsidRPr="009A607B">
        <w:rPr>
          <w:rFonts w:ascii="Calibri" w:hAnsi="Calibri" w:cs="Arial"/>
        </w:rPr>
        <w:t xml:space="preserve">70-gene high was defined as </w:t>
      </w:r>
      <w:r w:rsidRPr="002F1FD2">
        <w:rPr>
          <w:rFonts w:ascii="Calibri" w:hAnsi="Calibri" w:cs="Arial"/>
        </w:rPr>
        <w:t>ind</w:t>
      </w:r>
      <w:r w:rsidRPr="00CA354C">
        <w:rPr>
          <w:rFonts w:ascii="Calibri" w:hAnsi="Calibri" w:cs="Arial"/>
        </w:rPr>
        <w:t>ex</w:t>
      </w:r>
      <w:r w:rsidRPr="00CA354C">
        <w:rPr>
          <w:rFonts w:ascii="Calibri" w:hAnsi="Calibri" w:cs="Calibri"/>
        </w:rPr>
        <w:t xml:space="preserve"> equal or below </w:t>
      </w:r>
      <w:r w:rsidRPr="00CA354C">
        <w:rPr>
          <w:rFonts w:ascii="Calibri" w:hAnsi="Calibri" w:cs="Arial"/>
        </w:rPr>
        <w:t>0.00 and 70-gene low as index</w:t>
      </w:r>
      <w:r w:rsidRPr="00A343C9">
        <w:rPr>
          <w:rFonts w:ascii="Calibri" w:hAnsi="Calibri" w:cs="Calibri"/>
        </w:rPr>
        <w:t xml:space="preserve"> above </w:t>
      </w:r>
      <w:r w:rsidRPr="00A343C9">
        <w:rPr>
          <w:rFonts w:ascii="Calibri" w:hAnsi="Calibri" w:cs="Arial"/>
        </w:rPr>
        <w:t>0.00</w:t>
      </w:r>
      <w:r w:rsidRPr="004009E8">
        <w:rPr>
          <w:rFonts w:ascii="Calibri" w:hAnsi="Calibri" w:cs="Arial"/>
        </w:rPr>
        <w:t xml:space="preserve">. The final 80-gene result was the highest </w:t>
      </w:r>
      <w:r w:rsidRPr="00A02F02">
        <w:rPr>
          <w:rFonts w:ascii="Calibri" w:hAnsi="Calibri" w:cs="Arial"/>
        </w:rPr>
        <w:t>score among the three subtype scores</w:t>
      </w:r>
      <w:r w:rsidRPr="003739CF">
        <w:rPr>
          <w:rFonts w:ascii="Calibri" w:hAnsi="Calibri" w:cs="Arial"/>
        </w:rPr>
        <w:t xml:space="preserve"> (Luminal-, HER2- and </w:t>
      </w:r>
      <w:r w:rsidRPr="009A607B">
        <w:rPr>
          <w:rFonts w:ascii="Calibri" w:hAnsi="Calibri" w:cs="Arial"/>
        </w:rPr>
        <w:t>Basal-type index) per sample.</w:t>
      </w:r>
      <w:r w:rsidR="00254E92" w:rsidRPr="00254E92">
        <w:rPr>
          <w:rFonts w:ascii="Calibri" w:hAnsi="Calibri" w:cs="Arial"/>
          <w:noProof/>
        </w:rPr>
        <w:t>(1)</w:t>
      </w:r>
      <w:r w:rsidRPr="009A607B">
        <w:rPr>
          <w:rFonts w:ascii="Calibri" w:hAnsi="Calibri" w:cs="Arial"/>
        </w:rPr>
        <w:t xml:space="preserve"> By combining the 70-gene and 80-gene results, luminal type breast cancer could be divided into Luminal A (80-gene Luminal and 70-gene low) and Luminal B (80-gene Luminal and 70-gene high).</w:t>
      </w:r>
      <w:r w:rsidR="00254E92" w:rsidRPr="00254E92">
        <w:rPr>
          <w:rFonts w:ascii="Calibri" w:hAnsi="Calibri" w:cs="Arial"/>
          <w:noProof/>
        </w:rPr>
        <w:t>(2,3)</w:t>
      </w:r>
      <w:r w:rsidRPr="009A607B">
        <w:rPr>
          <w:rFonts w:ascii="Calibri" w:hAnsi="Calibri" w:cs="Arial"/>
        </w:rPr>
        <w:t xml:space="preserve"> In addition to the subtype, we used the continuous 70-gene index and the</w:t>
      </w:r>
      <w:r w:rsidRPr="002F1FD2">
        <w:rPr>
          <w:rFonts w:ascii="Calibri" w:hAnsi="Calibri" w:cs="Arial"/>
        </w:rPr>
        <w:t xml:space="preserve"> Luminal-, </w:t>
      </w:r>
      <w:r w:rsidR="001624EA">
        <w:rPr>
          <w:rFonts w:ascii="Calibri" w:hAnsi="Calibri" w:cs="Arial"/>
        </w:rPr>
        <w:t>human epithelial growth factor receptor 2 (</w:t>
      </w:r>
      <w:r w:rsidRPr="002F1FD2">
        <w:rPr>
          <w:rFonts w:ascii="Calibri" w:hAnsi="Calibri" w:cs="Arial"/>
        </w:rPr>
        <w:t>HER2</w:t>
      </w:r>
      <w:r w:rsidR="001624EA">
        <w:rPr>
          <w:rFonts w:ascii="Calibri" w:hAnsi="Calibri" w:cs="Arial"/>
        </w:rPr>
        <w:t>)</w:t>
      </w:r>
      <w:r w:rsidRPr="00CA354C">
        <w:rPr>
          <w:rFonts w:ascii="Calibri" w:hAnsi="Calibri" w:cs="Arial"/>
        </w:rPr>
        <w:t xml:space="preserve">-, and Basal-type </w:t>
      </w:r>
      <w:r w:rsidRPr="00A343C9">
        <w:rPr>
          <w:rFonts w:ascii="Calibri" w:hAnsi="Calibri" w:cs="Arial"/>
        </w:rPr>
        <w:t xml:space="preserve">score. </w:t>
      </w:r>
    </w:p>
    <w:p w14:paraId="74E65DFF" w14:textId="4A5605CC" w:rsidR="00C803C3" w:rsidRDefault="00C803C3" w:rsidP="00C803C3">
      <w:pPr>
        <w:spacing w:line="360" w:lineRule="auto"/>
        <w:jc w:val="both"/>
        <w:rPr>
          <w:rFonts w:ascii="Calibri" w:eastAsia="Times New Roman" w:hAnsi="Calibri" w:cs="Arial"/>
          <w:color w:val="000000"/>
        </w:rPr>
      </w:pPr>
    </w:p>
    <w:p w14:paraId="612936F4" w14:textId="7BBB207D" w:rsidR="00A100DF" w:rsidRDefault="00A100DF" w:rsidP="00C803C3">
      <w:pPr>
        <w:spacing w:line="360" w:lineRule="auto"/>
        <w:jc w:val="both"/>
        <w:rPr>
          <w:rFonts w:ascii="Calibri" w:eastAsia="Times New Roman" w:hAnsi="Calibri" w:cs="Arial"/>
          <w:color w:val="000000"/>
        </w:rPr>
      </w:pPr>
    </w:p>
    <w:p w14:paraId="54DA516C" w14:textId="77777777" w:rsidR="00A100DF" w:rsidRPr="009A607B" w:rsidRDefault="00A100DF" w:rsidP="00C803C3">
      <w:pPr>
        <w:spacing w:line="360" w:lineRule="auto"/>
        <w:jc w:val="both"/>
        <w:rPr>
          <w:rFonts w:ascii="Calibri" w:eastAsia="Times New Roman" w:hAnsi="Calibri" w:cs="Arial"/>
          <w:color w:val="000000"/>
        </w:rPr>
      </w:pPr>
      <w:bookmarkStart w:id="1" w:name="_GoBack"/>
      <w:bookmarkEnd w:id="1"/>
    </w:p>
    <w:p w14:paraId="44B0F49A" w14:textId="32DD3963" w:rsidR="00C803C3" w:rsidRPr="009A607B" w:rsidRDefault="005B5AC3" w:rsidP="00C803C3">
      <w:pPr>
        <w:spacing w:line="360" w:lineRule="auto"/>
        <w:jc w:val="both"/>
        <w:rPr>
          <w:rFonts w:ascii="Calibri" w:hAnsi="Calibri" w:cs="Arial"/>
          <w:i/>
          <w:iCs/>
        </w:rPr>
      </w:pPr>
      <w:r>
        <w:rPr>
          <w:rFonts w:ascii="Calibri" w:hAnsi="Calibri" w:cs="Arial"/>
          <w:i/>
          <w:iCs/>
        </w:rPr>
        <w:lastRenderedPageBreak/>
        <w:t>T</w:t>
      </w:r>
      <w:r w:rsidRPr="005B5AC3">
        <w:rPr>
          <w:rFonts w:ascii="Calibri" w:hAnsi="Calibri" w:cs="Arial"/>
          <w:i/>
          <w:iCs/>
        </w:rPr>
        <w:t>issue micro array</w:t>
      </w:r>
      <w:r w:rsidRPr="009A607B">
        <w:rPr>
          <w:rFonts w:ascii="Calibri" w:hAnsi="Calibri" w:cs="Arial"/>
        </w:rPr>
        <w:t xml:space="preserve"> </w:t>
      </w:r>
      <w:r>
        <w:rPr>
          <w:rFonts w:ascii="Calibri" w:hAnsi="Calibri" w:cs="Arial"/>
        </w:rPr>
        <w:t>(</w:t>
      </w:r>
      <w:r w:rsidR="00C803C3" w:rsidRPr="009A607B">
        <w:rPr>
          <w:rFonts w:ascii="Calibri" w:hAnsi="Calibri" w:cs="Arial"/>
          <w:i/>
          <w:iCs/>
        </w:rPr>
        <w:t>TMA</w:t>
      </w:r>
      <w:r>
        <w:rPr>
          <w:rFonts w:ascii="Calibri" w:hAnsi="Calibri" w:cs="Arial"/>
          <w:i/>
          <w:iCs/>
        </w:rPr>
        <w:t>)</w:t>
      </w:r>
      <w:r w:rsidR="00C803C3" w:rsidRPr="009A607B">
        <w:rPr>
          <w:rFonts w:ascii="Calibri" w:hAnsi="Calibri" w:cs="Arial"/>
          <w:i/>
          <w:iCs/>
        </w:rPr>
        <w:t xml:space="preserve"> construction </w:t>
      </w:r>
    </w:p>
    <w:p w14:paraId="53A48040" w14:textId="56C3DDD4" w:rsidR="00C803C3" w:rsidRDefault="00C803C3" w:rsidP="00C803C3">
      <w:pPr>
        <w:spacing w:line="360" w:lineRule="auto"/>
        <w:jc w:val="both"/>
        <w:rPr>
          <w:rFonts w:ascii="Calibri" w:hAnsi="Calibri" w:cs="Arial"/>
        </w:rPr>
      </w:pPr>
      <w:r w:rsidRPr="009A607B">
        <w:rPr>
          <w:rFonts w:ascii="Calibri" w:hAnsi="Calibri" w:cs="Arial"/>
        </w:rPr>
        <w:t xml:space="preserve">Two independent pathologists screened the H&amp;E slides of all tissue blocks for the </w:t>
      </w:r>
      <w:r>
        <w:rPr>
          <w:rFonts w:ascii="Calibri" w:hAnsi="Calibri" w:cs="Arial"/>
        </w:rPr>
        <w:t xml:space="preserve">infiltration </w:t>
      </w:r>
      <w:r w:rsidRPr="009A607B">
        <w:rPr>
          <w:rFonts w:ascii="Calibri" w:hAnsi="Calibri" w:cs="Arial"/>
        </w:rPr>
        <w:t>of breast cancer tissue and lymphocytic infiltrate in the tumor. Tissue blocks with sufficient amount of tumor were selected for TMAs preparation. We used three 0.6 mm cores from the primary breast tumor per patient, if available one 0.6 mm core of a pre-treatment biopsy of the primary tumor per patient, and, if available, one 1 mm core from metastases. In total 5 TMAs were constructed, consisting of 205 cores</w:t>
      </w:r>
      <w:r>
        <w:rPr>
          <w:rFonts w:ascii="Calibri" w:hAnsi="Calibri" w:cs="Arial"/>
        </w:rPr>
        <w:t xml:space="preserve"> of 135 patients</w:t>
      </w:r>
      <w:r w:rsidRPr="003739CF">
        <w:rPr>
          <w:rFonts w:ascii="Calibri" w:hAnsi="Calibri" w:cs="Arial"/>
        </w:rPr>
        <w:t xml:space="preserve">. </w:t>
      </w:r>
    </w:p>
    <w:p w14:paraId="54C5C6B2" w14:textId="2CE3F858" w:rsidR="00C803C3" w:rsidRDefault="00C803C3" w:rsidP="00C803C3">
      <w:pPr>
        <w:spacing w:line="360" w:lineRule="auto"/>
        <w:jc w:val="both"/>
        <w:rPr>
          <w:rFonts w:ascii="Calibri" w:hAnsi="Calibri" w:cs="Arial"/>
        </w:rPr>
      </w:pPr>
    </w:p>
    <w:p w14:paraId="40BB1765" w14:textId="7E164003" w:rsidR="00C803C3" w:rsidRPr="00C803C3" w:rsidRDefault="00C803C3" w:rsidP="00C803C3">
      <w:pPr>
        <w:spacing w:line="360" w:lineRule="auto"/>
        <w:jc w:val="both"/>
        <w:rPr>
          <w:rFonts w:ascii="Calibri" w:hAnsi="Calibri" w:cs="Arial"/>
          <w:i/>
          <w:iCs/>
        </w:rPr>
      </w:pPr>
      <w:r w:rsidRPr="009A607B">
        <w:rPr>
          <w:rFonts w:ascii="Calibri" w:hAnsi="Calibri" w:cs="Arial"/>
          <w:i/>
          <w:iCs/>
        </w:rPr>
        <w:t>Multispectral immunofluorescence</w:t>
      </w:r>
      <w:r w:rsidR="005B5AC3">
        <w:rPr>
          <w:rFonts w:ascii="Calibri" w:hAnsi="Calibri" w:cs="Arial"/>
          <w:i/>
          <w:iCs/>
        </w:rPr>
        <w:t xml:space="preserve"> (MIF)</w:t>
      </w:r>
      <w:r w:rsidRPr="009A607B">
        <w:rPr>
          <w:rFonts w:ascii="Calibri" w:hAnsi="Calibri" w:cs="Arial"/>
          <w:i/>
          <w:iCs/>
        </w:rPr>
        <w:t xml:space="preserve"> </w:t>
      </w:r>
    </w:p>
    <w:p w14:paraId="3712193B" w14:textId="17A52FB0" w:rsidR="00C803C3" w:rsidRPr="00A02F02" w:rsidRDefault="00C803C3" w:rsidP="00C803C3">
      <w:pPr>
        <w:spacing w:line="360" w:lineRule="auto"/>
        <w:jc w:val="both"/>
        <w:rPr>
          <w:rFonts w:ascii="Calibri" w:hAnsi="Calibri" w:cs="Arial"/>
          <w:bCs/>
        </w:rPr>
      </w:pPr>
      <w:r w:rsidRPr="009A607B">
        <w:rPr>
          <w:rFonts w:ascii="Calibri" w:eastAsia="Times New Roman" w:hAnsi="Calibri" w:cs="Arial"/>
          <w:color w:val="000000"/>
        </w:rPr>
        <w:t>Freshly-cut four-</w:t>
      </w:r>
      <w:r w:rsidRPr="009A607B">
        <w:rPr>
          <w:rFonts w:ascii="Calibri" w:hAnsi="Calibri" w:cs="Arial"/>
        </w:rPr>
        <w:sym w:font="Symbol" w:char="F06D"/>
      </w:r>
      <w:r w:rsidRPr="009A607B">
        <w:rPr>
          <w:rFonts w:ascii="Calibri" w:eastAsia="Times New Roman" w:hAnsi="Calibri" w:cs="Arial"/>
          <w:color w:val="000000"/>
        </w:rPr>
        <w:t>m sections from paraffin TMA blocks</w:t>
      </w:r>
      <w:r w:rsidRPr="009A607B">
        <w:rPr>
          <w:rFonts w:ascii="Calibri" w:hAnsi="Calibri" w:cs="Arial"/>
          <w:bCs/>
        </w:rPr>
        <w:t xml:space="preserve"> and tonsil sections were stained on a Discovery Ultra instrument (Ventana). Sections were subjected to sequential rounds of staining with each primary antibody fol</w:t>
      </w:r>
      <w:r w:rsidRPr="002F1FD2">
        <w:rPr>
          <w:rFonts w:ascii="Calibri" w:hAnsi="Calibri" w:cs="Arial"/>
          <w:bCs/>
        </w:rPr>
        <w:t>lowed by a secondary HRP-conjugated polymer. Signal amplification was achieved with TSA-Opal fluorophores (Akoya Biosciences). In between each round, a heat-induced epitope retrieval (HI</w:t>
      </w:r>
      <w:r w:rsidRPr="00CA354C">
        <w:rPr>
          <w:rFonts w:ascii="Calibri" w:hAnsi="Calibri" w:cs="Arial"/>
          <w:bCs/>
        </w:rPr>
        <w:t xml:space="preserve">ER) step was performed to remove primary and secondary antibodies before staining with the next primary antibody. </w:t>
      </w:r>
      <w:r w:rsidRPr="00A343C9">
        <w:rPr>
          <w:rFonts w:ascii="Calibri" w:hAnsi="Calibri" w:cs="Arial"/>
          <w:bCs/>
        </w:rPr>
        <w:t xml:space="preserve">After all sequential antibody stains were complete, the slides were counterstained with spectral DAPI (Akoya Biosciences) and mounted with </w:t>
      </w:r>
      <w:proofErr w:type="spellStart"/>
      <w:r w:rsidRPr="00A343C9">
        <w:rPr>
          <w:rFonts w:ascii="Calibri" w:hAnsi="Calibri" w:cs="Arial"/>
          <w:bCs/>
        </w:rPr>
        <w:t>Vectashield</w:t>
      </w:r>
      <w:proofErr w:type="spellEnd"/>
      <w:r w:rsidRPr="00A343C9">
        <w:rPr>
          <w:rFonts w:ascii="Calibri" w:hAnsi="Calibri" w:cs="Arial"/>
          <w:bCs/>
        </w:rPr>
        <w:t xml:space="preserve"> mounting medium</w:t>
      </w:r>
      <w:r w:rsidRPr="004009E8">
        <w:rPr>
          <w:rFonts w:ascii="Calibri" w:hAnsi="Calibri" w:cs="Arial"/>
          <w:bCs/>
        </w:rPr>
        <w:t xml:space="preserve"> (</w:t>
      </w:r>
      <w:r w:rsidR="00B84A34">
        <w:rPr>
          <w:rFonts w:ascii="Calibri" w:hAnsi="Calibri" w:cs="Arial"/>
          <w:bCs/>
        </w:rPr>
        <w:t>Supplementary</w:t>
      </w:r>
      <w:r w:rsidRPr="004009E8">
        <w:rPr>
          <w:rFonts w:ascii="Calibri" w:hAnsi="Calibri" w:cs="Arial"/>
          <w:bCs/>
        </w:rPr>
        <w:t xml:space="preserve"> Table</w:t>
      </w:r>
      <w:r w:rsidR="00B84A34">
        <w:rPr>
          <w:rFonts w:ascii="Calibri" w:hAnsi="Calibri" w:cs="Arial"/>
          <w:bCs/>
        </w:rPr>
        <w:t xml:space="preserve"> S</w:t>
      </w:r>
      <w:r w:rsidR="004752E4">
        <w:rPr>
          <w:rFonts w:ascii="Calibri" w:hAnsi="Calibri" w:cs="Arial"/>
          <w:bCs/>
        </w:rPr>
        <w:t>2</w:t>
      </w:r>
      <w:r w:rsidRPr="004009E8">
        <w:rPr>
          <w:rFonts w:ascii="Calibri" w:hAnsi="Calibri" w:cs="Arial"/>
          <w:bCs/>
        </w:rPr>
        <w:t>).</w:t>
      </w:r>
    </w:p>
    <w:p w14:paraId="4C5EAB5F" w14:textId="77777777" w:rsidR="00C803C3" w:rsidRPr="00A02F02" w:rsidRDefault="00C803C3" w:rsidP="00C803C3">
      <w:pPr>
        <w:spacing w:line="360" w:lineRule="auto"/>
        <w:jc w:val="both"/>
        <w:rPr>
          <w:rFonts w:ascii="Calibri" w:hAnsi="Calibri" w:cs="Arial"/>
          <w:bCs/>
        </w:rPr>
      </w:pPr>
    </w:p>
    <w:p w14:paraId="66E14B87" w14:textId="250CFCF6" w:rsidR="00C803C3" w:rsidRPr="009A607B" w:rsidRDefault="00C803C3" w:rsidP="00C803C3">
      <w:pPr>
        <w:spacing w:line="360" w:lineRule="auto"/>
        <w:jc w:val="both"/>
        <w:rPr>
          <w:rFonts w:ascii="Calibri" w:hAnsi="Calibri" w:cs="Arial"/>
          <w:bCs/>
        </w:rPr>
      </w:pPr>
      <w:r w:rsidRPr="00A02F02">
        <w:rPr>
          <w:rFonts w:ascii="Calibri" w:hAnsi="Calibri" w:cs="Arial"/>
          <w:bCs/>
        </w:rPr>
        <w:t>Slides were scanned us</w:t>
      </w:r>
      <w:r w:rsidRPr="003739CF">
        <w:rPr>
          <w:rFonts w:ascii="Calibri" w:hAnsi="Calibri" w:cs="Arial"/>
          <w:bCs/>
        </w:rPr>
        <w:t>ing the Vectra 3.0</w:t>
      </w:r>
      <w:r w:rsidRPr="009A607B">
        <w:rPr>
          <w:rFonts w:ascii="Calibri" w:hAnsi="Calibri" w:cs="Arial"/>
          <w:bCs/>
        </w:rPr>
        <w:t xml:space="preserve"> slide scanner (PerkinElmer). The tonsil section was used as a positive control for the various markers. TMA cores were annotated using the </w:t>
      </w:r>
      <w:proofErr w:type="spellStart"/>
      <w:r w:rsidRPr="009A607B">
        <w:rPr>
          <w:rFonts w:ascii="Calibri" w:hAnsi="Calibri" w:cs="Arial"/>
          <w:bCs/>
        </w:rPr>
        <w:t>Phenochart</w:t>
      </w:r>
      <w:proofErr w:type="spellEnd"/>
      <w:r w:rsidRPr="009A607B">
        <w:rPr>
          <w:rFonts w:ascii="Calibri" w:hAnsi="Calibri" w:cs="Arial"/>
          <w:bCs/>
        </w:rPr>
        <w:t xml:space="preserve"> whole slide viewer (PerkinElmer) to scan at high resolution (20x). Image analysis was performed using the </w:t>
      </w:r>
      <w:proofErr w:type="spellStart"/>
      <w:r w:rsidRPr="009A607B">
        <w:rPr>
          <w:rFonts w:ascii="Calibri" w:hAnsi="Calibri" w:cs="Arial"/>
          <w:bCs/>
        </w:rPr>
        <w:t>inForm</w:t>
      </w:r>
      <w:proofErr w:type="spellEnd"/>
      <w:r w:rsidRPr="009A607B">
        <w:rPr>
          <w:rFonts w:ascii="Calibri" w:hAnsi="Calibri" w:cs="Arial"/>
          <w:bCs/>
        </w:rPr>
        <w:t xml:space="preserve"> automated image analysis software package (Akoya Biosciences) to identify cells, their spatial location, and the expression of the above markers on a cell by cell basis. </w:t>
      </w:r>
      <w:r w:rsidR="00254E92" w:rsidRPr="00254E92">
        <w:rPr>
          <w:rFonts w:ascii="Calibri" w:hAnsi="Calibri" w:cs="Arial"/>
          <w:bCs/>
          <w:noProof/>
        </w:rPr>
        <w:t>(4)</w:t>
      </w:r>
      <w:r w:rsidRPr="009A607B">
        <w:rPr>
          <w:rFonts w:ascii="Calibri" w:hAnsi="Calibri" w:cs="Arial"/>
          <w:bCs/>
        </w:rPr>
        <w:t xml:space="preserve"> All cores were manually checked, with supervision of a pathologist, for evaluability to the following criteria: 1) a minimum of 25% of the core is scanned; 2) the core contains at least 200 tumor cells (CK-positive cells); and 3) the segmentation of cells is representative for both the tumor cells </w:t>
      </w:r>
      <w:r w:rsidRPr="002F1FD2">
        <w:rPr>
          <w:rFonts w:ascii="Calibri" w:hAnsi="Calibri" w:cs="Arial"/>
          <w:bCs/>
        </w:rPr>
        <w:t>and</w:t>
      </w:r>
      <w:r w:rsidRPr="00CA354C">
        <w:rPr>
          <w:rFonts w:ascii="Calibri" w:hAnsi="Calibri" w:cs="Arial"/>
          <w:bCs/>
        </w:rPr>
        <w:t xml:space="preserve"> the stromal cells. Cell phenotypes were assigned using auto-thresholding algorithms</w:t>
      </w:r>
      <w:r w:rsidRPr="00A343C9">
        <w:rPr>
          <w:rFonts w:ascii="Calibri" w:hAnsi="Calibri" w:cs="Arial"/>
          <w:bCs/>
        </w:rPr>
        <w:t xml:space="preserve"> of mean fluorescence intensity per cell for the individual markers</w:t>
      </w:r>
      <w:proofErr w:type="gramStart"/>
      <w:r w:rsidRPr="00A343C9">
        <w:rPr>
          <w:rFonts w:ascii="Calibri" w:hAnsi="Calibri" w:cs="Arial"/>
          <w:bCs/>
        </w:rPr>
        <w:t>.</w:t>
      </w:r>
      <w:r w:rsidR="00254E92" w:rsidRPr="00254E92">
        <w:rPr>
          <w:rFonts w:ascii="Calibri" w:hAnsi="Calibri" w:cs="Arial"/>
          <w:bCs/>
          <w:noProof/>
        </w:rPr>
        <w:t>(</w:t>
      </w:r>
      <w:proofErr w:type="gramEnd"/>
      <w:r w:rsidR="00254E92" w:rsidRPr="00254E92">
        <w:rPr>
          <w:rFonts w:ascii="Calibri" w:hAnsi="Calibri" w:cs="Arial"/>
          <w:bCs/>
          <w:noProof/>
        </w:rPr>
        <w:t>5–7)</w:t>
      </w:r>
      <w:r w:rsidRPr="009A607B">
        <w:rPr>
          <w:rFonts w:ascii="Calibri" w:hAnsi="Calibri" w:cs="Arial"/>
          <w:bCs/>
        </w:rPr>
        <w:t xml:space="preserve"> Results for the different cell populations are presented as a percentage of the total cell count within the core image. We and </w:t>
      </w:r>
      <w:r w:rsidRPr="009A607B">
        <w:rPr>
          <w:rFonts w:ascii="Calibri" w:hAnsi="Calibri" w:cs="Arial"/>
          <w:bCs/>
        </w:rPr>
        <w:lastRenderedPageBreak/>
        <w:t>other have previously shown that the staining data are reproducible, reliable, and of high quality</w:t>
      </w:r>
      <w:proofErr w:type="gramStart"/>
      <w:r w:rsidRPr="009A607B">
        <w:rPr>
          <w:rFonts w:ascii="Calibri" w:hAnsi="Calibri" w:cs="Arial"/>
          <w:bCs/>
        </w:rPr>
        <w:t>.</w:t>
      </w:r>
      <w:r w:rsidR="00254E92" w:rsidRPr="00254E92">
        <w:rPr>
          <w:rFonts w:ascii="Calibri" w:hAnsi="Calibri" w:cs="Arial"/>
          <w:bCs/>
          <w:noProof/>
        </w:rPr>
        <w:t>(</w:t>
      </w:r>
      <w:proofErr w:type="gramEnd"/>
      <w:r w:rsidR="00254E92" w:rsidRPr="00254E92">
        <w:rPr>
          <w:rFonts w:ascii="Calibri" w:hAnsi="Calibri" w:cs="Arial"/>
          <w:bCs/>
          <w:noProof/>
        </w:rPr>
        <w:t>8,9)</w:t>
      </w:r>
    </w:p>
    <w:p w14:paraId="079B1DA9" w14:textId="77777777" w:rsidR="004752E4" w:rsidRDefault="004752E4" w:rsidP="005D3379">
      <w:pPr>
        <w:spacing w:line="360" w:lineRule="auto"/>
        <w:jc w:val="both"/>
        <w:rPr>
          <w:rFonts w:ascii="Calibri" w:hAnsi="Calibri" w:cs="Arial"/>
        </w:rPr>
      </w:pPr>
    </w:p>
    <w:p w14:paraId="73DDB6D8" w14:textId="560136AB" w:rsidR="005D3379" w:rsidRPr="00CA354C" w:rsidRDefault="005D3379" w:rsidP="005D3379">
      <w:pPr>
        <w:spacing w:line="360" w:lineRule="auto"/>
        <w:jc w:val="both"/>
        <w:rPr>
          <w:rFonts w:ascii="Calibri" w:hAnsi="Calibri" w:cs="Arial"/>
          <w:bCs/>
          <w:i/>
        </w:rPr>
      </w:pPr>
      <w:r w:rsidRPr="009A607B">
        <w:rPr>
          <w:rFonts w:ascii="Calibri" w:hAnsi="Calibri" w:cs="Arial"/>
          <w:bCs/>
          <w:i/>
        </w:rPr>
        <w:t>Spatial distribution analysis</w:t>
      </w:r>
      <w:r w:rsidRPr="002F1FD2">
        <w:rPr>
          <w:rFonts w:ascii="Calibri" w:hAnsi="Calibri" w:cs="Arial"/>
          <w:bCs/>
          <w:i/>
        </w:rPr>
        <w:t xml:space="preserve"> (colocalization)</w:t>
      </w:r>
    </w:p>
    <w:p w14:paraId="0802678D" w14:textId="231D29EA" w:rsidR="006A3965" w:rsidRPr="005D3379" w:rsidRDefault="005D3379" w:rsidP="006A3965">
      <w:pPr>
        <w:spacing w:line="360" w:lineRule="auto"/>
        <w:jc w:val="both"/>
        <w:rPr>
          <w:rFonts w:ascii="Calibri" w:hAnsi="Calibri" w:cs="Arial"/>
        </w:rPr>
      </w:pPr>
      <w:r>
        <w:rPr>
          <w:rFonts w:ascii="Calibri" w:hAnsi="Calibri" w:cs="Arial"/>
          <w:bCs/>
        </w:rPr>
        <w:t>T</w:t>
      </w:r>
      <w:r w:rsidRPr="009A607B">
        <w:rPr>
          <w:rFonts w:ascii="Calibri" w:hAnsi="Calibri" w:cs="Arial"/>
          <w:bCs/>
        </w:rPr>
        <w:t xml:space="preserve">he spatial relationships of different cells in the tumor microenvironment </w:t>
      </w:r>
      <w:r>
        <w:rPr>
          <w:rFonts w:ascii="Calibri" w:hAnsi="Calibri" w:cs="Arial"/>
          <w:bCs/>
        </w:rPr>
        <w:t xml:space="preserve">was </w:t>
      </w:r>
      <w:r w:rsidR="00271F8F">
        <w:rPr>
          <w:rFonts w:ascii="Calibri" w:hAnsi="Calibri" w:cs="Arial"/>
          <w:bCs/>
        </w:rPr>
        <w:t xml:space="preserve">also </w:t>
      </w:r>
      <w:r>
        <w:rPr>
          <w:rFonts w:ascii="Calibri" w:hAnsi="Calibri" w:cs="Arial"/>
          <w:bCs/>
        </w:rPr>
        <w:t xml:space="preserve">evaluated </w:t>
      </w:r>
      <w:r w:rsidRPr="009A607B">
        <w:rPr>
          <w:rFonts w:ascii="Calibri" w:hAnsi="Calibri" w:cs="Arial"/>
          <w:bCs/>
        </w:rPr>
        <w:t>using the nearest neighbor distance distribution function G(r).</w:t>
      </w:r>
      <w:r w:rsidRPr="009A607B">
        <w:rPr>
          <w:rFonts w:ascii="Calibri" w:hAnsi="Calibri" w:cs="Arial"/>
          <w:color w:val="000000"/>
          <w:shd w:val="clear" w:color="auto" w:fill="FFFFFF"/>
        </w:rPr>
        <w:t xml:space="preserve"> </w:t>
      </w:r>
      <w:r w:rsidR="006A3965" w:rsidRPr="009A607B">
        <w:rPr>
          <w:rFonts w:ascii="Calibri" w:hAnsi="Calibri" w:cs="Arial"/>
          <w:bCs/>
        </w:rPr>
        <w:t xml:space="preserve">G(r) is a spatial metric that represents the probability of finding at least one cell of any given type within a radius (r) of another cell of a given type. </w:t>
      </w:r>
      <w:proofErr w:type="gramStart"/>
      <w:r w:rsidR="006A3965" w:rsidRPr="009A607B">
        <w:rPr>
          <w:rFonts w:ascii="Calibri" w:hAnsi="Calibri" w:cs="Arial"/>
          <w:bCs/>
        </w:rPr>
        <w:t>This probability distribution can be applied to quantify the relative colocalization of any two types of cells, for example the fraction of tumor cells with at least one T-cell with a given radius (see Supplementary Figure S</w:t>
      </w:r>
      <w:r w:rsidR="00334CE5">
        <w:rPr>
          <w:rFonts w:ascii="Calibri" w:hAnsi="Calibri" w:cs="Arial"/>
          <w:bCs/>
        </w:rPr>
        <w:t>3</w:t>
      </w:r>
      <w:r w:rsidR="006A3965" w:rsidRPr="009A607B">
        <w:rPr>
          <w:rFonts w:ascii="Calibri" w:hAnsi="Calibri" w:cs="Arial"/>
          <w:bCs/>
        </w:rPr>
        <w:t>B).</w:t>
      </w:r>
      <w:r w:rsidR="00254E92" w:rsidRPr="00254E92">
        <w:rPr>
          <w:rFonts w:ascii="Calibri" w:hAnsi="Calibri" w:cs="Arial"/>
          <w:bCs/>
          <w:noProof/>
        </w:rPr>
        <w:t>(8)</w:t>
      </w:r>
      <w:r w:rsidR="006A3965" w:rsidRPr="009A607B">
        <w:rPr>
          <w:rFonts w:ascii="Calibri" w:hAnsi="Calibri" w:cs="Arial"/>
          <w:bCs/>
        </w:rPr>
        <w:t xml:space="preserve"> For this study, we defined a Spatial Proximity Score (SPS</w:t>
      </w:r>
      <w:r w:rsidR="006A3965" w:rsidRPr="009A607B">
        <w:rPr>
          <w:rFonts w:ascii="Calibri" w:hAnsi="Calibri" w:cs="Arial"/>
          <w:bCs/>
          <w:vertAlign w:val="subscript"/>
        </w:rPr>
        <w:t>20</w:t>
      </w:r>
      <w:r w:rsidR="006A3965" w:rsidRPr="009A607B">
        <w:rPr>
          <w:rFonts w:ascii="Calibri" w:hAnsi="Calibri" w:cs="Arial"/>
          <w:bCs/>
        </w:rPr>
        <w:t>) as the area under the G(r) curve where r ranges from 0 to 20</w:t>
      </w:r>
      <w:r w:rsidR="006A3965" w:rsidRPr="002F1FD2">
        <w:rPr>
          <w:rFonts w:ascii="Symbol" w:hAnsi="Symbol" w:cs="Arial"/>
          <w:bCs/>
        </w:rPr>
        <w:t></w:t>
      </w:r>
      <w:r w:rsidR="006A3965" w:rsidRPr="00CA354C">
        <w:rPr>
          <w:rFonts w:ascii="Calibri" w:hAnsi="Calibri" w:cs="Arial"/>
          <w:bCs/>
        </w:rPr>
        <w:t>m.</w:t>
      </w:r>
      <w:proofErr w:type="gramEnd"/>
    </w:p>
    <w:p w14:paraId="5F4B49F6" w14:textId="77777777" w:rsidR="006A3965" w:rsidRPr="00CA354C" w:rsidRDefault="006A3965" w:rsidP="006A3965">
      <w:pPr>
        <w:spacing w:line="360" w:lineRule="auto"/>
        <w:jc w:val="both"/>
        <w:rPr>
          <w:rFonts w:ascii="Calibri" w:hAnsi="Calibri" w:cs="Arial"/>
          <w:bCs/>
        </w:rPr>
      </w:pPr>
    </w:p>
    <w:p w14:paraId="666155FB" w14:textId="5CD3F027" w:rsidR="006A3965" w:rsidRDefault="006A3965" w:rsidP="006A3965">
      <w:pPr>
        <w:spacing w:line="360" w:lineRule="auto"/>
        <w:jc w:val="both"/>
        <w:rPr>
          <w:rFonts w:ascii="Calibri" w:hAnsi="Calibri" w:cs="Arial"/>
          <w:bCs/>
        </w:rPr>
      </w:pPr>
      <w:r w:rsidRPr="00A343C9">
        <w:rPr>
          <w:rFonts w:ascii="Calibri" w:hAnsi="Calibri" w:cs="Arial"/>
          <w:bCs/>
        </w:rPr>
        <w:t xml:space="preserve">Finally, we </w:t>
      </w:r>
      <w:r w:rsidRPr="004009E8">
        <w:rPr>
          <w:rFonts w:ascii="Calibri" w:hAnsi="Calibri" w:cs="Arial"/>
          <w:bCs/>
        </w:rPr>
        <w:t xml:space="preserve">calculated an </w:t>
      </w:r>
      <w:proofErr w:type="spellStart"/>
      <w:proofErr w:type="gramStart"/>
      <w:r w:rsidRPr="004009E8">
        <w:rPr>
          <w:rFonts w:ascii="Calibri" w:hAnsi="Calibri" w:cs="Arial"/>
          <w:bCs/>
        </w:rPr>
        <w:t>Ecoscore</w:t>
      </w:r>
      <w:proofErr w:type="spellEnd"/>
      <w:r w:rsidR="00254E92" w:rsidRPr="00254E92">
        <w:rPr>
          <w:rFonts w:ascii="Calibri" w:hAnsi="Calibri" w:cs="Arial"/>
          <w:bCs/>
          <w:noProof/>
        </w:rPr>
        <w:t>(</w:t>
      </w:r>
      <w:proofErr w:type="gramEnd"/>
      <w:r w:rsidR="00254E92" w:rsidRPr="00254E92">
        <w:rPr>
          <w:rFonts w:ascii="Calibri" w:hAnsi="Calibri" w:cs="Arial"/>
          <w:bCs/>
          <w:noProof/>
        </w:rPr>
        <w:t>10)</w:t>
      </w:r>
      <w:r w:rsidRPr="009A607B">
        <w:rPr>
          <w:rFonts w:ascii="Calibri" w:hAnsi="Calibri" w:cs="Arial"/>
          <w:bCs/>
        </w:rPr>
        <w:t xml:space="preserve"> to spatially describe the balance of stromal and immune cells in the TME. E</w:t>
      </w:r>
      <w:r w:rsidRPr="002F1FD2">
        <w:rPr>
          <w:rFonts w:ascii="Calibri" w:hAnsi="Calibri" w:cs="Arial"/>
          <w:bCs/>
        </w:rPr>
        <w:t xml:space="preserve">ach </w:t>
      </w:r>
      <w:r w:rsidRPr="00CA354C">
        <w:rPr>
          <w:rFonts w:ascii="Calibri" w:hAnsi="Calibri" w:cs="Arial"/>
          <w:bCs/>
        </w:rPr>
        <w:t xml:space="preserve">image was divided into squares of 100 </w:t>
      </w:r>
      <w:proofErr w:type="spellStart"/>
      <w:r w:rsidRPr="00CA354C">
        <w:rPr>
          <w:rFonts w:ascii="Calibri" w:hAnsi="Calibri" w:cs="Arial"/>
          <w:bCs/>
        </w:rPr>
        <w:t>μm</w:t>
      </w:r>
      <w:proofErr w:type="spellEnd"/>
      <w:r w:rsidRPr="00CA354C">
        <w:rPr>
          <w:rFonts w:ascii="Calibri" w:hAnsi="Calibri" w:cs="Arial"/>
          <w:bCs/>
        </w:rPr>
        <w:t xml:space="preserve"> and</w:t>
      </w:r>
      <w:r w:rsidRPr="00A343C9">
        <w:rPr>
          <w:rFonts w:ascii="Calibri" w:hAnsi="Calibri" w:cs="Arial"/>
          <w:bCs/>
        </w:rPr>
        <w:t xml:space="preserve"> each square wa</w:t>
      </w:r>
      <w:r w:rsidRPr="004009E8">
        <w:rPr>
          <w:rFonts w:ascii="Calibri" w:hAnsi="Calibri" w:cs="Arial"/>
          <w:bCs/>
        </w:rPr>
        <w:t xml:space="preserve">s classified as having high or low numbers of stromal cells or TILs relative to the number of tumor cells in that </w:t>
      </w:r>
      <w:r w:rsidRPr="00A02F02">
        <w:rPr>
          <w:rFonts w:ascii="Calibri" w:hAnsi="Calibri" w:cs="Arial"/>
          <w:bCs/>
        </w:rPr>
        <w:t xml:space="preserve">square. An </w:t>
      </w:r>
      <w:proofErr w:type="spellStart"/>
      <w:r w:rsidRPr="00A02F02">
        <w:rPr>
          <w:rFonts w:ascii="Calibri" w:hAnsi="Calibri" w:cs="Arial"/>
          <w:bCs/>
        </w:rPr>
        <w:t>Ecoscore</w:t>
      </w:r>
      <w:proofErr w:type="spellEnd"/>
      <w:r w:rsidRPr="00A02F02">
        <w:rPr>
          <w:rFonts w:ascii="Calibri" w:hAnsi="Calibri" w:cs="Arial"/>
          <w:bCs/>
        </w:rPr>
        <w:t xml:space="preserve"> was calculated as the ratio of stroma-</w:t>
      </w:r>
      <w:r w:rsidRPr="003739CF">
        <w:rPr>
          <w:rFonts w:ascii="Calibri" w:hAnsi="Calibri" w:cs="Arial"/>
          <w:bCs/>
        </w:rPr>
        <w:t xml:space="preserve">low/TIL-high squares to stroma-high/TIL-high plus stroma-high/TIL-low squares. Evaluation of the </w:t>
      </w:r>
      <w:proofErr w:type="spellStart"/>
      <w:r w:rsidRPr="003739CF">
        <w:rPr>
          <w:rFonts w:ascii="Calibri" w:hAnsi="Calibri" w:cs="Arial"/>
          <w:bCs/>
        </w:rPr>
        <w:t>Ecoscore</w:t>
      </w:r>
      <w:proofErr w:type="spellEnd"/>
      <w:r w:rsidRPr="003739CF">
        <w:rPr>
          <w:rFonts w:ascii="Calibri" w:hAnsi="Calibri" w:cs="Arial"/>
          <w:bCs/>
        </w:rPr>
        <w:t xml:space="preserve"> assumes: </w:t>
      </w:r>
      <w:r w:rsidRPr="009A607B">
        <w:rPr>
          <w:rFonts w:ascii="Calibri" w:hAnsi="Calibri" w:cs="Arial"/>
          <w:bCs/>
        </w:rPr>
        <w:t xml:space="preserve">1) stromal cells aid tumor growth while TILs inhibit tumor growth, and 2) high stromal cell density inhibits TIL anti-tumor activity. Therefore, the </w:t>
      </w:r>
      <w:proofErr w:type="spellStart"/>
      <w:r w:rsidRPr="009A607B">
        <w:rPr>
          <w:rFonts w:ascii="Calibri" w:hAnsi="Calibri" w:cs="Arial"/>
          <w:bCs/>
        </w:rPr>
        <w:t>Ecoscore</w:t>
      </w:r>
      <w:proofErr w:type="spellEnd"/>
      <w:r w:rsidRPr="009A607B">
        <w:rPr>
          <w:rFonts w:ascii="Calibri" w:hAnsi="Calibri" w:cs="Arial"/>
          <w:bCs/>
        </w:rPr>
        <w:t xml:space="preserve"> represents the ratio of anti-tumor niches to pro-tumor niches; a higher value represents a more anti-tumor milieu (see Supplementary Figure S</w:t>
      </w:r>
      <w:r w:rsidR="00334CE5">
        <w:rPr>
          <w:rFonts w:ascii="Calibri" w:hAnsi="Calibri" w:cs="Arial"/>
          <w:bCs/>
        </w:rPr>
        <w:t>3</w:t>
      </w:r>
      <w:r w:rsidRPr="009A607B">
        <w:rPr>
          <w:rFonts w:ascii="Calibri" w:hAnsi="Calibri" w:cs="Arial"/>
          <w:bCs/>
        </w:rPr>
        <w:t xml:space="preserve">C). Note that this </w:t>
      </w:r>
      <w:proofErr w:type="spellStart"/>
      <w:r w:rsidRPr="009A607B">
        <w:rPr>
          <w:rFonts w:ascii="Calibri" w:hAnsi="Calibri" w:cs="Arial"/>
          <w:bCs/>
        </w:rPr>
        <w:t>Ecoscore</w:t>
      </w:r>
      <w:proofErr w:type="spellEnd"/>
      <w:r w:rsidRPr="009A607B">
        <w:rPr>
          <w:rFonts w:ascii="Calibri" w:hAnsi="Calibri" w:cs="Arial"/>
          <w:bCs/>
        </w:rPr>
        <w:t xml:space="preserve"> is the inverse of that calculated by Nawaz et al, where a higher value represents a more pro-tumor microenvironment</w:t>
      </w:r>
      <w:proofErr w:type="gramStart"/>
      <w:r w:rsidRPr="009A607B">
        <w:rPr>
          <w:rFonts w:ascii="Calibri" w:hAnsi="Calibri" w:cs="Arial"/>
          <w:bCs/>
        </w:rPr>
        <w:t>.</w:t>
      </w:r>
      <w:r w:rsidR="00254E92" w:rsidRPr="00254E92">
        <w:rPr>
          <w:rFonts w:ascii="Calibri" w:hAnsi="Calibri" w:cs="Arial"/>
          <w:bCs/>
          <w:noProof/>
        </w:rPr>
        <w:t>(</w:t>
      </w:r>
      <w:proofErr w:type="gramEnd"/>
      <w:r w:rsidR="00254E92" w:rsidRPr="00254E92">
        <w:rPr>
          <w:rFonts w:ascii="Calibri" w:hAnsi="Calibri" w:cs="Arial"/>
          <w:bCs/>
          <w:noProof/>
        </w:rPr>
        <w:t>10)</w:t>
      </w:r>
    </w:p>
    <w:p w14:paraId="2602AE0A" w14:textId="4FDB7433" w:rsidR="006A3965" w:rsidRDefault="006A3965" w:rsidP="006A3965">
      <w:pPr>
        <w:spacing w:line="360" w:lineRule="auto"/>
        <w:jc w:val="both"/>
        <w:rPr>
          <w:rFonts w:ascii="Calibri" w:hAnsi="Calibri" w:cs="Arial"/>
          <w:bCs/>
        </w:rPr>
      </w:pPr>
    </w:p>
    <w:p w14:paraId="3E4CF7AD" w14:textId="0C47688E" w:rsidR="006A3965" w:rsidRPr="009A607B" w:rsidRDefault="006A3965" w:rsidP="006A3965">
      <w:pPr>
        <w:spacing w:line="360" w:lineRule="auto"/>
        <w:jc w:val="both"/>
        <w:rPr>
          <w:rFonts w:ascii="Calibri" w:hAnsi="Calibri" w:cs="Arial"/>
          <w:i/>
          <w:iCs/>
        </w:rPr>
      </w:pPr>
      <w:r w:rsidRPr="009A607B">
        <w:rPr>
          <w:rFonts w:ascii="Calibri" w:hAnsi="Calibri" w:cs="Arial"/>
          <w:i/>
          <w:iCs/>
        </w:rPr>
        <w:t>Immunohistochemistry</w:t>
      </w:r>
      <w:r w:rsidR="005B5AC3">
        <w:rPr>
          <w:rFonts w:ascii="Calibri" w:hAnsi="Calibri" w:cs="Arial"/>
          <w:i/>
          <w:iCs/>
        </w:rPr>
        <w:t xml:space="preserve"> (IHC)</w:t>
      </w:r>
      <w:r w:rsidRPr="009A607B">
        <w:rPr>
          <w:rFonts w:ascii="Calibri" w:hAnsi="Calibri" w:cs="Arial"/>
          <w:i/>
          <w:iCs/>
        </w:rPr>
        <w:t xml:space="preserve"> and expression scoring </w:t>
      </w:r>
    </w:p>
    <w:p w14:paraId="29C68728" w14:textId="5A0FA77B" w:rsidR="006A3965" w:rsidRPr="009A607B" w:rsidRDefault="006A3965" w:rsidP="006A3965">
      <w:pPr>
        <w:spacing w:line="360" w:lineRule="auto"/>
        <w:jc w:val="both"/>
        <w:rPr>
          <w:rFonts w:ascii="Calibri" w:hAnsi="Calibri" w:cs="Arial"/>
          <w:color w:val="000000"/>
          <w:shd w:val="clear" w:color="auto" w:fill="FFFFFF"/>
        </w:rPr>
      </w:pPr>
      <w:r w:rsidRPr="009A607B">
        <w:rPr>
          <w:rFonts w:ascii="Calibri" w:eastAsia="Times New Roman" w:hAnsi="Calibri" w:cs="Arial"/>
          <w:color w:val="000000"/>
        </w:rPr>
        <w:t>FFPE-tissue sections were used for H&amp;E and</w:t>
      </w:r>
      <w:r w:rsidR="001624EA">
        <w:rPr>
          <w:rFonts w:ascii="Calibri" w:eastAsia="Times New Roman" w:hAnsi="Calibri" w:cs="Arial"/>
          <w:color w:val="000000"/>
        </w:rPr>
        <w:t xml:space="preserve"> </w:t>
      </w:r>
      <w:r w:rsidRPr="009A607B">
        <w:rPr>
          <w:rFonts w:ascii="Calibri" w:eastAsia="Times New Roman" w:hAnsi="Calibri" w:cs="Arial"/>
          <w:color w:val="000000"/>
        </w:rPr>
        <w:t>IHC</w:t>
      </w:r>
      <w:r w:rsidR="005B5AC3">
        <w:rPr>
          <w:rFonts w:ascii="Calibri" w:eastAsia="Times New Roman" w:hAnsi="Calibri" w:cs="Arial"/>
          <w:color w:val="000000"/>
        </w:rPr>
        <w:t xml:space="preserve"> staining</w:t>
      </w:r>
      <w:r w:rsidRPr="009A607B">
        <w:rPr>
          <w:rFonts w:ascii="Calibri" w:eastAsia="Times New Roman" w:hAnsi="Calibri" w:cs="Arial"/>
          <w:color w:val="000000"/>
        </w:rPr>
        <w:t>. IHC o</w:t>
      </w:r>
      <w:r w:rsidR="005B5AC3">
        <w:rPr>
          <w:rFonts w:ascii="Calibri" w:eastAsia="Times New Roman" w:hAnsi="Calibri" w:cs="Arial"/>
          <w:color w:val="000000"/>
        </w:rPr>
        <w:t>f</w:t>
      </w:r>
      <w:r w:rsidRPr="009A607B">
        <w:rPr>
          <w:rFonts w:ascii="Calibri" w:eastAsia="Times New Roman" w:hAnsi="Calibri" w:cs="Arial"/>
          <w:color w:val="000000"/>
        </w:rPr>
        <w:t xml:space="preserve"> TMAs was performed on a </w:t>
      </w:r>
      <w:proofErr w:type="spellStart"/>
      <w:r w:rsidRPr="009A607B">
        <w:rPr>
          <w:rFonts w:ascii="Calibri" w:eastAsia="Times New Roman" w:hAnsi="Calibri" w:cs="Arial"/>
          <w:color w:val="000000"/>
        </w:rPr>
        <w:t>BenchMark</w:t>
      </w:r>
      <w:proofErr w:type="spellEnd"/>
      <w:r w:rsidRPr="009A607B">
        <w:rPr>
          <w:rFonts w:ascii="Calibri" w:eastAsia="Times New Roman" w:hAnsi="Calibri" w:cs="Arial"/>
          <w:color w:val="000000"/>
        </w:rPr>
        <w:t xml:space="preserve"> Ultra </w:t>
      </w:r>
      <w:proofErr w:type="spellStart"/>
      <w:r w:rsidRPr="009A607B">
        <w:rPr>
          <w:rFonts w:ascii="Calibri" w:eastAsia="Times New Roman" w:hAnsi="Calibri" w:cs="Arial"/>
          <w:color w:val="000000"/>
        </w:rPr>
        <w:t>autostainer</w:t>
      </w:r>
      <w:proofErr w:type="spellEnd"/>
      <w:r w:rsidRPr="009A607B">
        <w:rPr>
          <w:rFonts w:ascii="Calibri" w:eastAsia="Times New Roman" w:hAnsi="Calibri" w:cs="Arial"/>
          <w:color w:val="000000"/>
        </w:rPr>
        <w:t xml:space="preserve"> (Roche Ventana Medical Systems). Freshly-cut four-</w:t>
      </w:r>
      <w:proofErr w:type="spellStart"/>
      <w:r w:rsidRPr="009A607B">
        <w:rPr>
          <w:rFonts w:ascii="Calibri" w:hAnsi="Calibri" w:cs="Arial"/>
          <w:bCs/>
        </w:rPr>
        <w:t>μm</w:t>
      </w:r>
      <w:proofErr w:type="spellEnd"/>
      <w:r w:rsidRPr="009A607B">
        <w:rPr>
          <w:rFonts w:ascii="Calibri" w:eastAsia="Times New Roman" w:hAnsi="Calibri" w:cs="Arial"/>
          <w:color w:val="000000"/>
        </w:rPr>
        <w:t xml:space="preserve"> sections from paraffin TMA blocks; slides were de-paraffinized by routine techniques and then incubated with the primary antibody. The TMAs were labeled by IHC for </w:t>
      </w:r>
      <w:r w:rsidR="001624EA">
        <w:rPr>
          <w:rFonts w:ascii="Calibri" w:eastAsia="Times New Roman" w:hAnsi="Calibri" w:cs="Arial"/>
          <w:color w:val="000000"/>
        </w:rPr>
        <w:t>androgen receptor (</w:t>
      </w:r>
      <w:r w:rsidRPr="009A607B">
        <w:rPr>
          <w:rFonts w:ascii="Calibri" w:eastAsia="Times New Roman" w:hAnsi="Calibri" w:cs="Arial"/>
          <w:color w:val="000000"/>
        </w:rPr>
        <w:t>AR</w:t>
      </w:r>
      <w:r w:rsidR="001624EA">
        <w:rPr>
          <w:rFonts w:ascii="Calibri" w:eastAsia="Times New Roman" w:hAnsi="Calibri" w:cs="Arial"/>
          <w:color w:val="000000"/>
        </w:rPr>
        <w:t>)</w:t>
      </w:r>
      <w:r w:rsidRPr="009A607B">
        <w:rPr>
          <w:rFonts w:ascii="Calibri" w:eastAsia="Times New Roman" w:hAnsi="Calibri" w:cs="Arial"/>
          <w:color w:val="000000"/>
        </w:rPr>
        <w:t xml:space="preserve">, </w:t>
      </w:r>
      <w:r w:rsidR="005B5AC3">
        <w:rPr>
          <w:rFonts w:ascii="Calibri" w:eastAsia="Times New Roman" w:hAnsi="Calibri" w:cs="Arial"/>
          <w:color w:val="000000"/>
        </w:rPr>
        <w:t>estrogen receptor (</w:t>
      </w:r>
      <w:r w:rsidRPr="009A607B">
        <w:rPr>
          <w:rFonts w:ascii="Calibri" w:eastAsia="Times New Roman" w:hAnsi="Calibri" w:cs="Arial"/>
          <w:color w:val="000000"/>
        </w:rPr>
        <w:t>ER</w:t>
      </w:r>
      <w:r w:rsidR="005B5AC3">
        <w:rPr>
          <w:rFonts w:ascii="Calibri" w:eastAsia="Times New Roman" w:hAnsi="Calibri" w:cs="Arial"/>
          <w:color w:val="000000"/>
        </w:rPr>
        <w:t>)</w:t>
      </w:r>
      <w:r w:rsidRPr="009A607B">
        <w:rPr>
          <w:rFonts w:ascii="Calibri" w:eastAsia="Times New Roman" w:hAnsi="Calibri" w:cs="Arial"/>
          <w:color w:val="000000"/>
        </w:rPr>
        <w:t xml:space="preserve">, </w:t>
      </w:r>
      <w:r w:rsidR="00334CE5">
        <w:rPr>
          <w:rFonts w:ascii="Calibri" w:eastAsia="Times New Roman" w:hAnsi="Calibri" w:cs="Arial"/>
          <w:color w:val="000000"/>
        </w:rPr>
        <w:t>progesterone</w:t>
      </w:r>
      <w:r w:rsidR="005B5AC3">
        <w:rPr>
          <w:rFonts w:ascii="Calibri" w:eastAsia="Times New Roman" w:hAnsi="Calibri" w:cs="Arial"/>
          <w:color w:val="000000"/>
        </w:rPr>
        <w:t xml:space="preserve"> receptor (</w:t>
      </w:r>
      <w:r w:rsidRPr="009A607B">
        <w:rPr>
          <w:rFonts w:ascii="Calibri" w:eastAsia="Times New Roman" w:hAnsi="Calibri" w:cs="Arial"/>
          <w:color w:val="000000"/>
        </w:rPr>
        <w:t>PR</w:t>
      </w:r>
      <w:r w:rsidR="005B5AC3">
        <w:rPr>
          <w:rFonts w:ascii="Calibri" w:eastAsia="Times New Roman" w:hAnsi="Calibri" w:cs="Arial"/>
          <w:color w:val="000000"/>
        </w:rPr>
        <w:t>)</w:t>
      </w:r>
      <w:r w:rsidRPr="009A607B">
        <w:rPr>
          <w:rFonts w:ascii="Calibri" w:eastAsia="Times New Roman" w:hAnsi="Calibri" w:cs="Arial"/>
          <w:color w:val="000000"/>
        </w:rPr>
        <w:t>, HER2, HER2</w:t>
      </w:r>
      <w:r w:rsidR="00161EA4">
        <w:rPr>
          <w:rFonts w:ascii="Calibri" w:eastAsia="Times New Roman" w:hAnsi="Calibri" w:cs="Arial"/>
          <w:color w:val="000000"/>
        </w:rPr>
        <w:t xml:space="preserve"> </w:t>
      </w:r>
      <w:r w:rsidR="00161EA4">
        <w:rPr>
          <w:rFonts w:ascii="Calibri" w:hAnsi="Calibri" w:cs="Arial"/>
        </w:rPr>
        <w:t>silver in-situ hybridization</w:t>
      </w:r>
      <w:r w:rsidR="00161EA4" w:rsidRPr="009A607B">
        <w:rPr>
          <w:rFonts w:ascii="Calibri" w:eastAsia="Times New Roman" w:hAnsi="Calibri" w:cs="Arial"/>
          <w:color w:val="000000"/>
        </w:rPr>
        <w:t xml:space="preserve"> </w:t>
      </w:r>
      <w:r w:rsidR="00161EA4">
        <w:rPr>
          <w:rFonts w:ascii="Calibri" w:eastAsia="Times New Roman" w:hAnsi="Calibri" w:cs="Arial"/>
          <w:color w:val="000000"/>
        </w:rPr>
        <w:t>(</w:t>
      </w:r>
      <w:proofErr w:type="spellStart"/>
      <w:r w:rsidRPr="009A607B">
        <w:rPr>
          <w:rFonts w:ascii="Calibri" w:eastAsia="Times New Roman" w:hAnsi="Calibri" w:cs="Arial"/>
          <w:color w:val="000000"/>
        </w:rPr>
        <w:t>sish</w:t>
      </w:r>
      <w:proofErr w:type="spellEnd"/>
      <w:r w:rsidR="00161EA4">
        <w:rPr>
          <w:rFonts w:ascii="Calibri" w:eastAsia="Times New Roman" w:hAnsi="Calibri" w:cs="Arial"/>
          <w:color w:val="000000"/>
        </w:rPr>
        <w:t>)</w:t>
      </w:r>
      <w:r w:rsidRPr="009A607B">
        <w:rPr>
          <w:rFonts w:ascii="Calibri" w:eastAsia="Times New Roman" w:hAnsi="Calibri" w:cs="Arial"/>
          <w:color w:val="000000"/>
        </w:rPr>
        <w:t xml:space="preserve">, CD3, </w:t>
      </w:r>
      <w:r w:rsidRPr="009A607B">
        <w:rPr>
          <w:rFonts w:ascii="Calibri" w:eastAsia="Times New Roman" w:hAnsi="Calibri" w:cs="Arial"/>
          <w:color w:val="000000"/>
        </w:rPr>
        <w:lastRenderedPageBreak/>
        <w:t xml:space="preserve">CD8, CD20, CD56, CD68, and </w:t>
      </w:r>
      <w:r w:rsidR="005B5AC3">
        <w:rPr>
          <w:rFonts w:ascii="Calibri" w:eastAsia="Times New Roman" w:hAnsi="Calibri" w:cs="Arial"/>
          <w:color w:val="000000"/>
        </w:rPr>
        <w:t>programmed death ligand 1 (</w:t>
      </w:r>
      <w:r w:rsidRPr="009A607B">
        <w:rPr>
          <w:rFonts w:ascii="Calibri" w:eastAsia="Times New Roman" w:hAnsi="Calibri" w:cs="Arial"/>
          <w:color w:val="000000"/>
        </w:rPr>
        <w:t>PDL1</w:t>
      </w:r>
      <w:r w:rsidR="005B5AC3">
        <w:rPr>
          <w:rFonts w:ascii="Calibri" w:eastAsia="Times New Roman" w:hAnsi="Calibri" w:cs="Arial"/>
          <w:color w:val="000000"/>
        </w:rPr>
        <w:t>)</w:t>
      </w:r>
      <w:r w:rsidRPr="009A607B">
        <w:rPr>
          <w:rFonts w:ascii="Calibri" w:eastAsia="Times New Roman" w:hAnsi="Calibri" w:cs="Arial"/>
          <w:color w:val="000000"/>
        </w:rPr>
        <w:t xml:space="preserve">. </w:t>
      </w:r>
      <w:r w:rsidRPr="009A607B">
        <w:rPr>
          <w:rFonts w:ascii="Calibri" w:hAnsi="Calibri" w:cs="Arial"/>
          <w:color w:val="000000"/>
          <w:shd w:val="clear" w:color="auto" w:fill="FFFFFF"/>
        </w:rPr>
        <w:t xml:space="preserve">Specific antibody clones, dilutions, and incubation times used are listed in </w:t>
      </w:r>
      <w:r>
        <w:rPr>
          <w:rFonts w:ascii="Calibri" w:hAnsi="Calibri" w:cs="Arial"/>
          <w:color w:val="000000"/>
          <w:shd w:val="clear" w:color="auto" w:fill="FFFFFF"/>
        </w:rPr>
        <w:t>Supplementary</w:t>
      </w:r>
      <w:r w:rsidRPr="009A607B">
        <w:rPr>
          <w:rFonts w:ascii="Calibri" w:hAnsi="Calibri" w:cs="Arial"/>
          <w:color w:val="000000"/>
          <w:shd w:val="clear" w:color="auto" w:fill="FFFFFF"/>
        </w:rPr>
        <w:t xml:space="preserve"> Table</w:t>
      </w:r>
      <w:r>
        <w:rPr>
          <w:rFonts w:ascii="Calibri" w:hAnsi="Calibri" w:cs="Arial"/>
          <w:color w:val="000000"/>
          <w:shd w:val="clear" w:color="auto" w:fill="FFFFFF"/>
        </w:rPr>
        <w:t xml:space="preserve"> S</w:t>
      </w:r>
      <w:r w:rsidR="004752E4">
        <w:rPr>
          <w:rFonts w:ascii="Calibri" w:hAnsi="Calibri" w:cs="Arial"/>
          <w:color w:val="000000"/>
          <w:shd w:val="clear" w:color="auto" w:fill="FFFFFF"/>
        </w:rPr>
        <w:t>2</w:t>
      </w:r>
      <w:r w:rsidRPr="009A607B">
        <w:rPr>
          <w:rFonts w:ascii="Calibri" w:hAnsi="Calibri" w:cs="Arial"/>
          <w:color w:val="000000"/>
          <w:shd w:val="clear" w:color="auto" w:fill="FFFFFF"/>
        </w:rPr>
        <w:t xml:space="preserve">. </w:t>
      </w:r>
    </w:p>
    <w:p w14:paraId="403BE52B" w14:textId="77777777" w:rsidR="006A3965" w:rsidRPr="009A607B" w:rsidRDefault="006A3965" w:rsidP="006A3965">
      <w:pPr>
        <w:spacing w:line="360" w:lineRule="auto"/>
        <w:jc w:val="both"/>
        <w:rPr>
          <w:rFonts w:ascii="Calibri" w:eastAsia="Times New Roman" w:hAnsi="Calibri" w:cs="Arial"/>
          <w:color w:val="000000"/>
        </w:rPr>
      </w:pPr>
    </w:p>
    <w:p w14:paraId="54D38214" w14:textId="77777777" w:rsidR="006A3965" w:rsidRPr="009A607B" w:rsidRDefault="006A3965" w:rsidP="006A3965">
      <w:pPr>
        <w:spacing w:line="360" w:lineRule="auto"/>
        <w:jc w:val="both"/>
        <w:rPr>
          <w:rFonts w:ascii="Calibri" w:eastAsia="Times New Roman" w:hAnsi="Calibri" w:cs="Arial"/>
          <w:color w:val="000000"/>
        </w:rPr>
      </w:pPr>
      <w:r w:rsidRPr="009A607B">
        <w:rPr>
          <w:rFonts w:ascii="Calibri" w:eastAsia="Times New Roman" w:hAnsi="Calibri" w:cs="Arial"/>
          <w:color w:val="000000"/>
        </w:rPr>
        <w:t xml:space="preserve">Slides were scanned at Leica </w:t>
      </w:r>
      <w:proofErr w:type="spellStart"/>
      <w:r w:rsidRPr="009A607B">
        <w:rPr>
          <w:rFonts w:ascii="Calibri" w:eastAsia="Times New Roman" w:hAnsi="Calibri" w:cs="Arial"/>
          <w:color w:val="000000"/>
        </w:rPr>
        <w:t>Aperio</w:t>
      </w:r>
      <w:proofErr w:type="spellEnd"/>
      <w:r w:rsidRPr="009A607B">
        <w:rPr>
          <w:rFonts w:ascii="Calibri" w:eastAsia="Times New Roman" w:hAnsi="Calibri" w:cs="Arial"/>
          <w:color w:val="000000"/>
        </w:rPr>
        <w:t xml:space="preserve"> </w:t>
      </w:r>
      <w:proofErr w:type="spellStart"/>
      <w:r w:rsidRPr="009A607B">
        <w:rPr>
          <w:rFonts w:ascii="Calibri" w:eastAsia="Times New Roman" w:hAnsi="Calibri" w:cs="Arial"/>
          <w:color w:val="000000"/>
        </w:rPr>
        <w:t>ScanScope</w:t>
      </w:r>
      <w:proofErr w:type="spellEnd"/>
      <w:r w:rsidRPr="009A607B">
        <w:rPr>
          <w:rFonts w:ascii="Calibri" w:eastAsia="Times New Roman" w:hAnsi="Calibri" w:cs="Arial"/>
          <w:color w:val="000000"/>
        </w:rPr>
        <w:t xml:space="preserve"> and uploaded on to the </w:t>
      </w:r>
      <w:r w:rsidRPr="009A607B">
        <w:rPr>
          <w:rFonts w:ascii="Calibri" w:hAnsi="Calibri" w:cs="Arial"/>
          <w:color w:val="000000"/>
          <w:shd w:val="clear" w:color="auto" w:fill="FFFFFF"/>
        </w:rPr>
        <w:t xml:space="preserve">online pathology platform </w:t>
      </w:r>
      <w:proofErr w:type="spellStart"/>
      <w:r w:rsidRPr="009A607B">
        <w:rPr>
          <w:rFonts w:ascii="Calibri" w:eastAsia="Times New Roman" w:hAnsi="Calibri" w:cs="Arial"/>
          <w:color w:val="000000"/>
        </w:rPr>
        <w:t>SlideScore</w:t>
      </w:r>
      <w:proofErr w:type="spellEnd"/>
      <w:r w:rsidRPr="009A607B">
        <w:rPr>
          <w:rFonts w:ascii="Calibri" w:eastAsia="Times New Roman" w:hAnsi="Calibri" w:cs="Arial"/>
          <w:color w:val="000000"/>
        </w:rPr>
        <w:t xml:space="preserve"> (www.slidescore.com). Two pathologists, who were blinded for outcomes, evaluated the stained slides digitally and independently. ER, PR and AR were scored by percentage of nuclear labeling (0-100%). HER2 expression was scored using labeling intensity (0-3+) of proportion of complete membranous staining. </w:t>
      </w:r>
      <w:r>
        <w:rPr>
          <w:rFonts w:ascii="Calibri" w:eastAsia="Times New Roman" w:hAnsi="Calibri" w:cs="Arial"/>
          <w:color w:val="000000"/>
        </w:rPr>
        <w:t xml:space="preserve">HER2 amplification by SISH-probe analysis was scored as: no amplification, low amplification or high amplification. </w:t>
      </w:r>
      <w:r w:rsidRPr="009A607B">
        <w:rPr>
          <w:rFonts w:ascii="Calibri" w:eastAsia="Times New Roman" w:hAnsi="Calibri" w:cs="Arial"/>
          <w:color w:val="000000"/>
        </w:rPr>
        <w:t xml:space="preserve">CD3, CD8, CD20, CD56, CD68, and PDL1 </w:t>
      </w:r>
      <w:r w:rsidRPr="009A607B">
        <w:rPr>
          <w:rFonts w:ascii="Calibri" w:hAnsi="Calibri" w:cs="Arial"/>
          <w:color w:val="000000"/>
          <w:shd w:val="clear" w:color="auto" w:fill="FFFFFF"/>
        </w:rPr>
        <w:t>were assessed as the percentage of the total stromal area.</w:t>
      </w:r>
      <w:r w:rsidRPr="009A607B">
        <w:rPr>
          <w:rFonts w:ascii="Calibri" w:eastAsia="Times New Roman" w:hAnsi="Calibri" w:cs="Arial"/>
          <w:color w:val="000000"/>
        </w:rPr>
        <w:t xml:space="preserve"> The level of expression was scored for each TMA core separately, the maximum score per sample (3 cores) was used.</w:t>
      </w:r>
    </w:p>
    <w:p w14:paraId="513222D7" w14:textId="77777777" w:rsidR="006A3965" w:rsidRPr="009A607B" w:rsidRDefault="006A3965" w:rsidP="006A3965">
      <w:pPr>
        <w:spacing w:line="360" w:lineRule="auto"/>
        <w:jc w:val="both"/>
        <w:rPr>
          <w:rFonts w:ascii="Calibri" w:hAnsi="Calibri" w:cs="Arial"/>
        </w:rPr>
      </w:pPr>
    </w:p>
    <w:p w14:paraId="361A4E99" w14:textId="77777777" w:rsidR="00484B42" w:rsidRDefault="00484B42">
      <w:pPr>
        <w:rPr>
          <w:rFonts w:ascii="Calibri" w:hAnsi="Calibri" w:cs="Arial"/>
          <w:b/>
          <w:bCs/>
          <w:color w:val="000000"/>
          <w:shd w:val="clear" w:color="auto" w:fill="FFFFFF"/>
        </w:rPr>
      </w:pPr>
      <w:r>
        <w:rPr>
          <w:rFonts w:ascii="Calibri" w:hAnsi="Calibri" w:cs="Arial"/>
          <w:b/>
          <w:bCs/>
          <w:color w:val="000000"/>
          <w:shd w:val="clear" w:color="auto" w:fill="FFFFFF"/>
        </w:rPr>
        <w:br w:type="page"/>
      </w:r>
    </w:p>
    <w:p w14:paraId="0CCE9D77" w14:textId="31925124" w:rsidR="00B05408" w:rsidRDefault="005D3379" w:rsidP="00B05408">
      <w:pPr>
        <w:rPr>
          <w:b/>
          <w:bCs/>
          <w:shd w:val="clear" w:color="auto" w:fill="FFFFFF"/>
        </w:rPr>
      </w:pPr>
      <w:bookmarkStart w:id="2" w:name="_Toc98441655"/>
      <w:r w:rsidRPr="00E56293">
        <w:rPr>
          <w:b/>
          <w:bCs/>
          <w:shd w:val="clear" w:color="auto" w:fill="FFFFFF"/>
        </w:rPr>
        <w:lastRenderedPageBreak/>
        <w:t>References Supplementary Materials and Methods</w:t>
      </w:r>
      <w:bookmarkEnd w:id="2"/>
    </w:p>
    <w:p w14:paraId="553F8D6C" w14:textId="77777777" w:rsidR="00E56293" w:rsidRPr="00E56293" w:rsidRDefault="00E56293" w:rsidP="00B05408">
      <w:pPr>
        <w:rPr>
          <w:b/>
          <w:bCs/>
          <w:shd w:val="clear" w:color="auto" w:fill="FFFFFF"/>
        </w:rPr>
      </w:pPr>
    </w:p>
    <w:p w14:paraId="57EB1268" w14:textId="783D952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E56293">
        <w:rPr>
          <w:rFonts w:ascii="Calibri" w:hAnsi="Calibri" w:cs="Calibri"/>
          <w:noProof/>
          <w:sz w:val="22"/>
          <w:szCs w:val="22"/>
        </w:rPr>
        <w:t xml:space="preserve">1. </w:t>
      </w:r>
      <w:r w:rsidRPr="00E56293">
        <w:rPr>
          <w:rFonts w:ascii="Calibri" w:hAnsi="Calibri" w:cs="Calibri"/>
          <w:noProof/>
          <w:sz w:val="22"/>
          <w:szCs w:val="22"/>
        </w:rPr>
        <w:tab/>
      </w:r>
      <w:r w:rsidRPr="00A100DF">
        <w:rPr>
          <w:rFonts w:ascii="Calibri" w:hAnsi="Calibri" w:cs="Calibri"/>
          <w:noProof/>
          <w:sz w:val="22"/>
          <w:szCs w:val="22"/>
          <w:lang w:val="nl-NL"/>
        </w:rPr>
        <w:t xml:space="preserve">Krijgsman O, Roepman P, Zwart W, Carroll JS, Tian S, de Snoo FA, et al. </w:t>
      </w:r>
      <w:r w:rsidRPr="00E56293">
        <w:rPr>
          <w:rFonts w:ascii="Calibri" w:hAnsi="Calibri" w:cs="Calibri"/>
          <w:noProof/>
          <w:sz w:val="22"/>
          <w:szCs w:val="22"/>
        </w:rPr>
        <w:t xml:space="preserve">A diagnostic gene profile for molecular subtyping of breast cancer associated with treatment response. Breast Cancer Res Treat. Netherlands; 2012;133:37–47. </w:t>
      </w:r>
    </w:p>
    <w:p w14:paraId="702DFFD6" w14:textId="7777777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E56293">
        <w:rPr>
          <w:rFonts w:ascii="Calibri" w:hAnsi="Calibri" w:cs="Calibri"/>
          <w:noProof/>
          <w:sz w:val="22"/>
          <w:szCs w:val="22"/>
        </w:rPr>
        <w:t xml:space="preserve">2. </w:t>
      </w:r>
      <w:r w:rsidRPr="00E56293">
        <w:rPr>
          <w:rFonts w:ascii="Calibri" w:hAnsi="Calibri" w:cs="Calibri"/>
          <w:noProof/>
          <w:sz w:val="22"/>
          <w:szCs w:val="22"/>
        </w:rPr>
        <w:tab/>
        <w:t xml:space="preserve">Agendia N V. Agendia NV. MammaPrint and BluePrint Breast Cancer Recurrence and Molecular Subtyping Kit - Package Insert. 2020. </w:t>
      </w:r>
    </w:p>
    <w:p w14:paraId="2FBCAFB3" w14:textId="7777777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E56293">
        <w:rPr>
          <w:rFonts w:ascii="Calibri" w:hAnsi="Calibri" w:cs="Calibri"/>
          <w:noProof/>
          <w:sz w:val="22"/>
          <w:szCs w:val="22"/>
        </w:rPr>
        <w:t xml:space="preserve">3. </w:t>
      </w:r>
      <w:r w:rsidRPr="00E56293">
        <w:rPr>
          <w:rFonts w:ascii="Calibri" w:hAnsi="Calibri" w:cs="Calibri"/>
          <w:noProof/>
          <w:sz w:val="22"/>
          <w:szCs w:val="22"/>
        </w:rPr>
        <w:tab/>
        <w:t xml:space="preserve">Mittempergher L, Delahaye LJMJ, Witteveen AT, Spangler JB, Hassenmahomed F, Mee S, et al. MammaPrint and BluePrint Molecular Diagnostics Using Targeted RNA Next-Generation  Sequencing Technology. J Mol Diagn. United States; 2019;21:808–23. </w:t>
      </w:r>
    </w:p>
    <w:p w14:paraId="74AD42B6" w14:textId="7777777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E56293">
        <w:rPr>
          <w:rFonts w:ascii="Calibri" w:hAnsi="Calibri" w:cs="Calibri"/>
          <w:noProof/>
          <w:sz w:val="22"/>
          <w:szCs w:val="22"/>
        </w:rPr>
        <w:t xml:space="preserve">4. </w:t>
      </w:r>
      <w:r w:rsidRPr="00E56293">
        <w:rPr>
          <w:rFonts w:ascii="Calibri" w:hAnsi="Calibri" w:cs="Calibri"/>
          <w:noProof/>
          <w:sz w:val="22"/>
          <w:szCs w:val="22"/>
        </w:rPr>
        <w:tab/>
        <w:t xml:space="preserve">Stack EC, Wang C, Roman KA, Hoyt CC. Multiplexed immunohistochemistry, imaging, and quantitation: A review, with an assessment of Tyramide signal amplification, multispectral imaging and multiplex analysis. Methods. 2014;70:46–58. </w:t>
      </w:r>
    </w:p>
    <w:p w14:paraId="35E53468" w14:textId="77777777" w:rsidR="00254E92" w:rsidRPr="00A100DF" w:rsidRDefault="00254E92" w:rsidP="00254E92">
      <w:pPr>
        <w:widowControl w:val="0"/>
        <w:autoSpaceDE w:val="0"/>
        <w:autoSpaceDN w:val="0"/>
        <w:adjustRightInd w:val="0"/>
        <w:spacing w:line="360" w:lineRule="auto"/>
        <w:ind w:left="640" w:hanging="640"/>
        <w:rPr>
          <w:rFonts w:ascii="Calibri" w:hAnsi="Calibri" w:cs="Calibri"/>
          <w:noProof/>
          <w:sz w:val="22"/>
          <w:szCs w:val="22"/>
          <w:lang w:val="nl-NL"/>
        </w:rPr>
      </w:pPr>
      <w:r w:rsidRPr="00E56293">
        <w:rPr>
          <w:rFonts w:ascii="Calibri" w:hAnsi="Calibri" w:cs="Calibri"/>
          <w:noProof/>
          <w:sz w:val="22"/>
          <w:szCs w:val="22"/>
        </w:rPr>
        <w:t xml:space="preserve">5. </w:t>
      </w:r>
      <w:r w:rsidRPr="00E56293">
        <w:rPr>
          <w:rFonts w:ascii="Calibri" w:hAnsi="Calibri" w:cs="Calibri"/>
          <w:noProof/>
          <w:sz w:val="22"/>
          <w:szCs w:val="22"/>
        </w:rPr>
        <w:tab/>
        <w:t xml:space="preserve">Otsu N. A threshold selection method from gray-level histograms. </w:t>
      </w:r>
      <w:r w:rsidRPr="00A100DF">
        <w:rPr>
          <w:rFonts w:ascii="Calibri" w:hAnsi="Calibri" w:cs="Calibri"/>
          <w:noProof/>
          <w:sz w:val="22"/>
          <w:szCs w:val="22"/>
          <w:lang w:val="nl-NL"/>
        </w:rPr>
        <w:t xml:space="preserve">IEEE Trans Syst Man Cybern. 1979;9:62–6. </w:t>
      </w:r>
    </w:p>
    <w:p w14:paraId="35185006" w14:textId="7777777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A100DF">
        <w:rPr>
          <w:rFonts w:ascii="Calibri" w:hAnsi="Calibri" w:cs="Calibri"/>
          <w:noProof/>
          <w:sz w:val="22"/>
          <w:szCs w:val="22"/>
          <w:lang w:val="nl-NL"/>
        </w:rPr>
        <w:t xml:space="preserve">6. </w:t>
      </w:r>
      <w:r w:rsidRPr="00A100DF">
        <w:rPr>
          <w:rFonts w:ascii="Calibri" w:hAnsi="Calibri" w:cs="Calibri"/>
          <w:noProof/>
          <w:sz w:val="22"/>
          <w:szCs w:val="22"/>
          <w:lang w:val="nl-NL"/>
        </w:rPr>
        <w:tab/>
        <w:t xml:space="preserve">Huang Wang L-K, Wang M-JJ. </w:t>
      </w:r>
      <w:r w:rsidRPr="00E56293">
        <w:rPr>
          <w:rFonts w:ascii="Calibri" w:hAnsi="Calibri" w:cs="Calibri"/>
          <w:noProof/>
          <w:sz w:val="22"/>
          <w:szCs w:val="22"/>
        </w:rPr>
        <w:t xml:space="preserve">Image thresholding by mimizing the measures of fuzziness. 1995. page 41–5. </w:t>
      </w:r>
    </w:p>
    <w:p w14:paraId="00C2D2A5" w14:textId="77777777" w:rsidR="00254E92" w:rsidRPr="00A100DF" w:rsidRDefault="00254E92" w:rsidP="00254E92">
      <w:pPr>
        <w:widowControl w:val="0"/>
        <w:autoSpaceDE w:val="0"/>
        <w:autoSpaceDN w:val="0"/>
        <w:adjustRightInd w:val="0"/>
        <w:spacing w:line="360" w:lineRule="auto"/>
        <w:ind w:left="640" w:hanging="640"/>
        <w:rPr>
          <w:rFonts w:ascii="Calibri" w:hAnsi="Calibri" w:cs="Calibri"/>
          <w:noProof/>
          <w:sz w:val="22"/>
          <w:szCs w:val="22"/>
          <w:lang w:val="nl-NL"/>
        </w:rPr>
      </w:pPr>
      <w:r w:rsidRPr="00E56293">
        <w:rPr>
          <w:rFonts w:ascii="Calibri" w:hAnsi="Calibri" w:cs="Calibri"/>
          <w:noProof/>
          <w:sz w:val="22"/>
          <w:szCs w:val="22"/>
        </w:rPr>
        <w:t xml:space="preserve">7. </w:t>
      </w:r>
      <w:r w:rsidRPr="00E56293">
        <w:rPr>
          <w:rFonts w:ascii="Calibri" w:hAnsi="Calibri" w:cs="Calibri"/>
          <w:noProof/>
          <w:sz w:val="22"/>
          <w:szCs w:val="22"/>
        </w:rPr>
        <w:tab/>
        <w:t xml:space="preserve">Zack GW, Rogers WE, Latt SA. Automatic measurement of sister chromatid exchange frequency. </w:t>
      </w:r>
      <w:r w:rsidRPr="00A100DF">
        <w:rPr>
          <w:rFonts w:ascii="Calibri" w:hAnsi="Calibri" w:cs="Calibri"/>
          <w:noProof/>
          <w:sz w:val="22"/>
          <w:szCs w:val="22"/>
          <w:lang w:val="nl-NL"/>
        </w:rPr>
        <w:t xml:space="preserve">J Histochem Cytochem. 1977;25:741–53. </w:t>
      </w:r>
    </w:p>
    <w:p w14:paraId="4D17BCF6" w14:textId="7777777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A100DF">
        <w:rPr>
          <w:rFonts w:ascii="Calibri" w:hAnsi="Calibri" w:cs="Calibri"/>
          <w:noProof/>
          <w:sz w:val="22"/>
          <w:szCs w:val="22"/>
          <w:lang w:val="nl-NL"/>
        </w:rPr>
        <w:t xml:space="preserve">8. </w:t>
      </w:r>
      <w:r w:rsidRPr="00A100DF">
        <w:rPr>
          <w:rFonts w:ascii="Calibri" w:hAnsi="Calibri" w:cs="Calibri"/>
          <w:noProof/>
          <w:sz w:val="22"/>
          <w:szCs w:val="22"/>
          <w:lang w:val="nl-NL"/>
        </w:rPr>
        <w:tab/>
        <w:t xml:space="preserve">Campbell MJ, Yau C, Bolen J, Vandenberg S, Hoyt C, Brown-Swigart L, et al. </w:t>
      </w:r>
      <w:r w:rsidRPr="00E56293">
        <w:rPr>
          <w:rFonts w:ascii="Calibri" w:hAnsi="Calibri" w:cs="Calibri"/>
          <w:noProof/>
          <w:sz w:val="22"/>
          <w:szCs w:val="22"/>
        </w:rPr>
        <w:t xml:space="preserve">Abstract CT003: Analysis of immune cell infiltrates as predictors of response to the checkpoint inhibitor pembrolizumab in the neoadjuvant I-SPY 2 TRIAL. Cancer Res. 2019;79:CT003 LP-CT003. </w:t>
      </w:r>
    </w:p>
    <w:p w14:paraId="22B90BFA" w14:textId="7777777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E56293">
        <w:rPr>
          <w:rFonts w:ascii="Calibri" w:hAnsi="Calibri" w:cs="Calibri"/>
          <w:noProof/>
          <w:sz w:val="22"/>
          <w:szCs w:val="22"/>
        </w:rPr>
        <w:t xml:space="preserve">9. </w:t>
      </w:r>
      <w:r w:rsidRPr="00E56293">
        <w:rPr>
          <w:rFonts w:ascii="Calibri" w:hAnsi="Calibri" w:cs="Calibri"/>
          <w:noProof/>
          <w:sz w:val="22"/>
          <w:szCs w:val="22"/>
        </w:rPr>
        <w:tab/>
        <w:t xml:space="preserve">Parra ER, Uraoka N, Jiang M, Cook P, Gibbons D, Forget M-A, et al. Validation of multiplex immunofluorescence panels using multispectral microscopy for immune-profiling of formalin-fixed and paraffin-embedded human tumor tissues. Sci Rep. Nature Publishing Group UK; 2017;7:13380. </w:t>
      </w:r>
    </w:p>
    <w:p w14:paraId="300D3643" w14:textId="77777777" w:rsidR="00254E92" w:rsidRPr="00E56293" w:rsidRDefault="00254E92" w:rsidP="00254E92">
      <w:pPr>
        <w:widowControl w:val="0"/>
        <w:autoSpaceDE w:val="0"/>
        <w:autoSpaceDN w:val="0"/>
        <w:adjustRightInd w:val="0"/>
        <w:spacing w:line="360" w:lineRule="auto"/>
        <w:ind w:left="640" w:hanging="640"/>
        <w:rPr>
          <w:rFonts w:ascii="Calibri" w:hAnsi="Calibri" w:cs="Calibri"/>
          <w:noProof/>
          <w:sz w:val="22"/>
          <w:szCs w:val="22"/>
        </w:rPr>
      </w:pPr>
      <w:r w:rsidRPr="00E56293">
        <w:rPr>
          <w:rFonts w:ascii="Calibri" w:hAnsi="Calibri" w:cs="Calibri"/>
          <w:noProof/>
          <w:sz w:val="22"/>
          <w:szCs w:val="22"/>
        </w:rPr>
        <w:t xml:space="preserve">10. </w:t>
      </w:r>
      <w:r w:rsidRPr="00E56293">
        <w:rPr>
          <w:rFonts w:ascii="Calibri" w:hAnsi="Calibri" w:cs="Calibri"/>
          <w:noProof/>
          <w:sz w:val="22"/>
          <w:szCs w:val="22"/>
        </w:rPr>
        <w:tab/>
        <w:t xml:space="preserve">Nawaz S, Trahearn NA, Heindl A, Banerjee S, Maley CC, Sottoriva A, et al. Analysis of tumour ecological balance reveals resource-dependent adaptive strategies of ovarian cancer. EBioMedicine. Elsevier B.V.; 2019;48:224–35. </w:t>
      </w:r>
    </w:p>
    <w:p w14:paraId="2EEE6CD9" w14:textId="3BDF1536" w:rsidR="00BB4E18" w:rsidRPr="00EF63BB" w:rsidRDefault="00BB4E18" w:rsidP="00E56293">
      <w:pPr>
        <w:rPr>
          <w:sz w:val="22"/>
          <w:szCs w:val="22"/>
        </w:rPr>
      </w:pPr>
    </w:p>
    <w:sectPr w:rsidR="00BB4E18" w:rsidRPr="00EF63BB" w:rsidSect="005933D2">
      <w:headerReference w:type="default" r:id="rId7"/>
      <w:footerReference w:type="even"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706F4B" w14:textId="77777777" w:rsidR="00995FF7" w:rsidRDefault="00995FF7" w:rsidP="00D03005">
      <w:r>
        <w:separator/>
      </w:r>
    </w:p>
  </w:endnote>
  <w:endnote w:type="continuationSeparator" w:id="0">
    <w:p w14:paraId="28408AF9" w14:textId="77777777" w:rsidR="00995FF7" w:rsidRDefault="00995FF7" w:rsidP="00D03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100954943"/>
      <w:docPartObj>
        <w:docPartGallery w:val="Page Numbers (Bottom of Page)"/>
        <w:docPartUnique/>
      </w:docPartObj>
    </w:sdtPr>
    <w:sdtEndPr>
      <w:rPr>
        <w:rStyle w:val="Paginanummer"/>
      </w:rPr>
    </w:sdtEndPr>
    <w:sdtContent>
      <w:p w14:paraId="44B9C362" w14:textId="77777777" w:rsidR="005933D2" w:rsidRDefault="005933D2" w:rsidP="005933D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5894FF5" w14:textId="77777777" w:rsidR="005933D2" w:rsidRDefault="005933D2" w:rsidP="005933D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1212650504"/>
      <w:docPartObj>
        <w:docPartGallery w:val="Page Numbers (Bottom of Page)"/>
        <w:docPartUnique/>
      </w:docPartObj>
    </w:sdtPr>
    <w:sdtEndPr>
      <w:rPr>
        <w:rStyle w:val="Paginanummer"/>
      </w:rPr>
    </w:sdtEndPr>
    <w:sdtContent>
      <w:p w14:paraId="1FB0B2A7" w14:textId="1B0C01CC" w:rsidR="005933D2" w:rsidRDefault="005933D2" w:rsidP="005933D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sidR="00A100DF">
          <w:rPr>
            <w:rStyle w:val="Paginanummer"/>
            <w:noProof/>
          </w:rPr>
          <w:t>5</w:t>
        </w:r>
        <w:r>
          <w:rPr>
            <w:rStyle w:val="Paginanummer"/>
          </w:rPr>
          <w:fldChar w:fldCharType="end"/>
        </w:r>
      </w:p>
    </w:sdtContent>
  </w:sdt>
  <w:p w14:paraId="58C27933" w14:textId="77777777" w:rsidR="005933D2" w:rsidRDefault="005933D2" w:rsidP="005933D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88FA5" w14:textId="77777777" w:rsidR="00995FF7" w:rsidRDefault="00995FF7" w:rsidP="00D03005">
      <w:r>
        <w:separator/>
      </w:r>
    </w:p>
  </w:footnote>
  <w:footnote w:type="continuationSeparator" w:id="0">
    <w:p w14:paraId="53622B99" w14:textId="77777777" w:rsidR="00995FF7" w:rsidRDefault="00995FF7" w:rsidP="00D03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84A8B" w14:textId="73726863" w:rsidR="00E56293" w:rsidRPr="00E56293" w:rsidRDefault="00E56293" w:rsidP="00A100DF">
    <w:pPr>
      <w:jc w:val="center"/>
      <w:rPr>
        <w:sz w:val="18"/>
        <w:szCs w:val="18"/>
      </w:rPr>
    </w:pPr>
    <w:r>
      <w:rPr>
        <w:sz w:val="18"/>
        <w:szCs w:val="18"/>
      </w:rPr>
      <w:t xml:space="preserve">Additional File 1 to </w:t>
    </w:r>
    <w:r w:rsidRPr="00A100DF">
      <w:rPr>
        <w:i/>
        <w:sz w:val="18"/>
        <w:szCs w:val="18"/>
      </w:rPr>
      <w:t>Steenbruggen et al</w:t>
    </w:r>
    <w:r w:rsidRPr="00E56293">
      <w:rPr>
        <w:sz w:val="18"/>
        <w:szCs w:val="18"/>
      </w:rPr>
      <w:t xml:space="preserve">. </w:t>
    </w:r>
    <w:r w:rsidRPr="00A100DF">
      <w:rPr>
        <w:iCs/>
        <w:sz w:val="18"/>
        <w:szCs w:val="18"/>
      </w:rPr>
      <w:t>Breast Cancer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70F"/>
    <w:rsid w:val="00027AE9"/>
    <w:rsid w:val="00035B06"/>
    <w:rsid w:val="00074749"/>
    <w:rsid w:val="000B7FDB"/>
    <w:rsid w:val="000F7F5F"/>
    <w:rsid w:val="0012265A"/>
    <w:rsid w:val="00124A16"/>
    <w:rsid w:val="00161EA4"/>
    <w:rsid w:val="001624EA"/>
    <w:rsid w:val="00196FC4"/>
    <w:rsid w:val="002355B5"/>
    <w:rsid w:val="00254E92"/>
    <w:rsid w:val="00254FB3"/>
    <w:rsid w:val="00271F8F"/>
    <w:rsid w:val="0028381B"/>
    <w:rsid w:val="0032737B"/>
    <w:rsid w:val="00332B92"/>
    <w:rsid w:val="00334CE5"/>
    <w:rsid w:val="00354831"/>
    <w:rsid w:val="003F270F"/>
    <w:rsid w:val="00414B10"/>
    <w:rsid w:val="004732C8"/>
    <w:rsid w:val="004752E4"/>
    <w:rsid w:val="00484B42"/>
    <w:rsid w:val="0048565C"/>
    <w:rsid w:val="004921AE"/>
    <w:rsid w:val="004963BB"/>
    <w:rsid w:val="004A5989"/>
    <w:rsid w:val="00504253"/>
    <w:rsid w:val="00540F51"/>
    <w:rsid w:val="0057518E"/>
    <w:rsid w:val="00580D5B"/>
    <w:rsid w:val="00584845"/>
    <w:rsid w:val="005933D2"/>
    <w:rsid w:val="005A5F18"/>
    <w:rsid w:val="005B5AC3"/>
    <w:rsid w:val="005D3379"/>
    <w:rsid w:val="00644A9E"/>
    <w:rsid w:val="006476FB"/>
    <w:rsid w:val="00653831"/>
    <w:rsid w:val="0067765D"/>
    <w:rsid w:val="006A3965"/>
    <w:rsid w:val="006C1AFF"/>
    <w:rsid w:val="006C2FB8"/>
    <w:rsid w:val="007160B5"/>
    <w:rsid w:val="00774DAD"/>
    <w:rsid w:val="00796397"/>
    <w:rsid w:val="008152D7"/>
    <w:rsid w:val="009429DA"/>
    <w:rsid w:val="00995FF7"/>
    <w:rsid w:val="009B1B6E"/>
    <w:rsid w:val="009D3903"/>
    <w:rsid w:val="00A100DF"/>
    <w:rsid w:val="00A3778F"/>
    <w:rsid w:val="00A4599A"/>
    <w:rsid w:val="00A46CE9"/>
    <w:rsid w:val="00AC7FD1"/>
    <w:rsid w:val="00AE7538"/>
    <w:rsid w:val="00B004CD"/>
    <w:rsid w:val="00B05408"/>
    <w:rsid w:val="00B508AC"/>
    <w:rsid w:val="00B545C8"/>
    <w:rsid w:val="00B8334C"/>
    <w:rsid w:val="00B84A34"/>
    <w:rsid w:val="00BB1A76"/>
    <w:rsid w:val="00BB4E18"/>
    <w:rsid w:val="00BB7601"/>
    <w:rsid w:val="00BC2F14"/>
    <w:rsid w:val="00BE3387"/>
    <w:rsid w:val="00BF4020"/>
    <w:rsid w:val="00C10FE8"/>
    <w:rsid w:val="00C36CD7"/>
    <w:rsid w:val="00C42D36"/>
    <w:rsid w:val="00C52485"/>
    <w:rsid w:val="00C803C3"/>
    <w:rsid w:val="00CA671B"/>
    <w:rsid w:val="00CB46C5"/>
    <w:rsid w:val="00CD4153"/>
    <w:rsid w:val="00D03005"/>
    <w:rsid w:val="00D07E7D"/>
    <w:rsid w:val="00D32DC0"/>
    <w:rsid w:val="00D33BED"/>
    <w:rsid w:val="00E12E34"/>
    <w:rsid w:val="00E455BA"/>
    <w:rsid w:val="00E56293"/>
    <w:rsid w:val="00E56A11"/>
    <w:rsid w:val="00E71054"/>
    <w:rsid w:val="00EA541A"/>
    <w:rsid w:val="00EB6444"/>
    <w:rsid w:val="00EE0365"/>
    <w:rsid w:val="00EE1D2A"/>
    <w:rsid w:val="00EE7D25"/>
    <w:rsid w:val="00EF63BB"/>
    <w:rsid w:val="00F77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DBFDA"/>
  <w15:chartTrackingRefBased/>
  <w15:docId w15:val="{6DDE2244-6047-1944-A959-7EA346D7A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F270F"/>
  </w:style>
  <w:style w:type="paragraph" w:styleId="Kop1">
    <w:name w:val="heading 1"/>
    <w:basedOn w:val="Standaard"/>
    <w:next w:val="Standaard"/>
    <w:link w:val="Kop1Char"/>
    <w:uiPriority w:val="9"/>
    <w:qFormat/>
    <w:rsid w:val="005A5F1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196FC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196FC4"/>
    <w:pPr>
      <w:keepNext/>
      <w:keepLines/>
      <w:spacing w:before="40"/>
      <w:outlineLvl w:val="2"/>
    </w:pPr>
    <w:rPr>
      <w:rFonts w:asciiTheme="majorHAnsi" w:eastAsiaTheme="majorEastAsia" w:hAnsiTheme="majorHAnsi" w:cstheme="majorBidi"/>
      <w:color w:val="1F3763" w:themeColor="accent1" w:themeShade="7F"/>
    </w:rPr>
  </w:style>
  <w:style w:type="paragraph" w:styleId="Kop4">
    <w:name w:val="heading 4"/>
    <w:basedOn w:val="Standaard"/>
    <w:next w:val="Standaard"/>
    <w:link w:val="Kop4Char"/>
    <w:uiPriority w:val="9"/>
    <w:unhideWhenUsed/>
    <w:qFormat/>
    <w:rsid w:val="00196F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3F270F"/>
    <w:pPr>
      <w:tabs>
        <w:tab w:val="center" w:pos="4680"/>
        <w:tab w:val="right" w:pos="9360"/>
      </w:tabs>
    </w:pPr>
    <w:rPr>
      <w:sz w:val="22"/>
      <w:szCs w:val="22"/>
      <w:lang w:val="nl-NL"/>
    </w:rPr>
  </w:style>
  <w:style w:type="character" w:customStyle="1" w:styleId="VoettekstChar">
    <w:name w:val="Voettekst Char"/>
    <w:basedOn w:val="Standaardalinea-lettertype"/>
    <w:link w:val="Voettekst"/>
    <w:uiPriority w:val="99"/>
    <w:rsid w:val="003F270F"/>
    <w:rPr>
      <w:sz w:val="22"/>
      <w:szCs w:val="22"/>
      <w:lang w:val="nl-NL"/>
    </w:rPr>
  </w:style>
  <w:style w:type="character" w:styleId="Paginanummer">
    <w:name w:val="page number"/>
    <w:basedOn w:val="Standaardalinea-lettertype"/>
    <w:uiPriority w:val="99"/>
    <w:semiHidden/>
    <w:unhideWhenUsed/>
    <w:rsid w:val="003F270F"/>
  </w:style>
  <w:style w:type="paragraph" w:styleId="Koptekst">
    <w:name w:val="header"/>
    <w:basedOn w:val="Standaard"/>
    <w:link w:val="KoptekstChar"/>
    <w:uiPriority w:val="99"/>
    <w:unhideWhenUsed/>
    <w:rsid w:val="003F270F"/>
    <w:pPr>
      <w:tabs>
        <w:tab w:val="center" w:pos="4680"/>
        <w:tab w:val="right" w:pos="9360"/>
      </w:tabs>
    </w:pPr>
  </w:style>
  <w:style w:type="character" w:customStyle="1" w:styleId="KoptekstChar">
    <w:name w:val="Koptekst Char"/>
    <w:basedOn w:val="Standaardalinea-lettertype"/>
    <w:link w:val="Koptekst"/>
    <w:uiPriority w:val="99"/>
    <w:rsid w:val="003F270F"/>
  </w:style>
  <w:style w:type="table" w:styleId="Rastertabel4-Accent3">
    <w:name w:val="Grid Table 4 Accent 3"/>
    <w:basedOn w:val="Standaardtabel"/>
    <w:uiPriority w:val="49"/>
    <w:rsid w:val="00D0300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Kop2Char">
    <w:name w:val="Kop 2 Char"/>
    <w:basedOn w:val="Standaardalinea-lettertype"/>
    <w:link w:val="Kop2"/>
    <w:uiPriority w:val="9"/>
    <w:rsid w:val="00196FC4"/>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196FC4"/>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rsid w:val="00196FC4"/>
    <w:rPr>
      <w:rFonts w:asciiTheme="majorHAnsi" w:eastAsiaTheme="majorEastAsia" w:hAnsiTheme="majorHAnsi" w:cstheme="majorBidi"/>
      <w:i/>
      <w:iCs/>
      <w:color w:val="2F5496" w:themeColor="accent1" w:themeShade="BF"/>
    </w:rPr>
  </w:style>
  <w:style w:type="paragraph" w:styleId="Inhopg1">
    <w:name w:val="toc 1"/>
    <w:basedOn w:val="Standaard"/>
    <w:next w:val="Standaard"/>
    <w:autoRedefine/>
    <w:uiPriority w:val="39"/>
    <w:unhideWhenUsed/>
    <w:rsid w:val="005A5F18"/>
    <w:pPr>
      <w:spacing w:before="360" w:after="360"/>
    </w:pPr>
    <w:rPr>
      <w:rFonts w:cstheme="minorHAnsi"/>
      <w:b/>
      <w:bCs/>
      <w:caps/>
      <w:sz w:val="22"/>
      <w:szCs w:val="22"/>
      <w:u w:val="single"/>
    </w:rPr>
  </w:style>
  <w:style w:type="paragraph" w:styleId="Inhopg2">
    <w:name w:val="toc 2"/>
    <w:basedOn w:val="Standaard"/>
    <w:next w:val="Standaard"/>
    <w:autoRedefine/>
    <w:uiPriority w:val="39"/>
    <w:unhideWhenUsed/>
    <w:rsid w:val="005A5F18"/>
    <w:rPr>
      <w:rFonts w:cstheme="minorHAnsi"/>
      <w:b/>
      <w:bCs/>
      <w:smallCaps/>
      <w:sz w:val="22"/>
      <w:szCs w:val="22"/>
    </w:rPr>
  </w:style>
  <w:style w:type="paragraph" w:styleId="Inhopg3">
    <w:name w:val="toc 3"/>
    <w:basedOn w:val="Standaard"/>
    <w:next w:val="Standaard"/>
    <w:autoRedefine/>
    <w:uiPriority w:val="39"/>
    <w:unhideWhenUsed/>
    <w:rsid w:val="005A5F18"/>
    <w:rPr>
      <w:rFonts w:cstheme="minorHAnsi"/>
      <w:smallCaps/>
      <w:sz w:val="22"/>
      <w:szCs w:val="22"/>
    </w:rPr>
  </w:style>
  <w:style w:type="paragraph" w:styleId="Inhopg4">
    <w:name w:val="toc 4"/>
    <w:basedOn w:val="Standaard"/>
    <w:next w:val="Standaard"/>
    <w:autoRedefine/>
    <w:uiPriority w:val="39"/>
    <w:unhideWhenUsed/>
    <w:rsid w:val="005A5F18"/>
    <w:rPr>
      <w:rFonts w:cstheme="minorHAnsi"/>
      <w:sz w:val="22"/>
      <w:szCs w:val="22"/>
    </w:rPr>
  </w:style>
  <w:style w:type="paragraph" w:styleId="Inhopg5">
    <w:name w:val="toc 5"/>
    <w:basedOn w:val="Standaard"/>
    <w:next w:val="Standaard"/>
    <w:autoRedefine/>
    <w:uiPriority w:val="39"/>
    <w:unhideWhenUsed/>
    <w:rsid w:val="005A5F18"/>
    <w:rPr>
      <w:rFonts w:cstheme="minorHAnsi"/>
      <w:sz w:val="22"/>
      <w:szCs w:val="22"/>
    </w:rPr>
  </w:style>
  <w:style w:type="paragraph" w:styleId="Inhopg6">
    <w:name w:val="toc 6"/>
    <w:basedOn w:val="Standaard"/>
    <w:next w:val="Standaard"/>
    <w:autoRedefine/>
    <w:uiPriority w:val="39"/>
    <w:unhideWhenUsed/>
    <w:rsid w:val="005A5F18"/>
    <w:rPr>
      <w:rFonts w:cstheme="minorHAnsi"/>
      <w:sz w:val="22"/>
      <w:szCs w:val="22"/>
    </w:rPr>
  </w:style>
  <w:style w:type="paragraph" w:styleId="Inhopg7">
    <w:name w:val="toc 7"/>
    <w:basedOn w:val="Standaard"/>
    <w:next w:val="Standaard"/>
    <w:autoRedefine/>
    <w:uiPriority w:val="39"/>
    <w:unhideWhenUsed/>
    <w:rsid w:val="005A5F18"/>
    <w:rPr>
      <w:rFonts w:cstheme="minorHAnsi"/>
      <w:sz w:val="22"/>
      <w:szCs w:val="22"/>
    </w:rPr>
  </w:style>
  <w:style w:type="paragraph" w:styleId="Inhopg8">
    <w:name w:val="toc 8"/>
    <w:basedOn w:val="Standaard"/>
    <w:next w:val="Standaard"/>
    <w:autoRedefine/>
    <w:uiPriority w:val="39"/>
    <w:unhideWhenUsed/>
    <w:rsid w:val="005A5F18"/>
    <w:rPr>
      <w:rFonts w:cstheme="minorHAnsi"/>
      <w:sz w:val="22"/>
      <w:szCs w:val="22"/>
    </w:rPr>
  </w:style>
  <w:style w:type="paragraph" w:styleId="Inhopg9">
    <w:name w:val="toc 9"/>
    <w:basedOn w:val="Standaard"/>
    <w:next w:val="Standaard"/>
    <w:autoRedefine/>
    <w:uiPriority w:val="39"/>
    <w:unhideWhenUsed/>
    <w:rsid w:val="005A5F18"/>
    <w:rPr>
      <w:rFonts w:cstheme="minorHAnsi"/>
      <w:sz w:val="22"/>
      <w:szCs w:val="22"/>
    </w:rPr>
  </w:style>
  <w:style w:type="character" w:styleId="Hyperlink">
    <w:name w:val="Hyperlink"/>
    <w:basedOn w:val="Standaardalinea-lettertype"/>
    <w:uiPriority w:val="99"/>
    <w:unhideWhenUsed/>
    <w:rsid w:val="005A5F18"/>
    <w:rPr>
      <w:color w:val="0563C1" w:themeColor="hyperlink"/>
      <w:u w:val="single"/>
    </w:rPr>
  </w:style>
  <w:style w:type="character" w:customStyle="1" w:styleId="Kop1Char">
    <w:name w:val="Kop 1 Char"/>
    <w:basedOn w:val="Standaardalinea-lettertype"/>
    <w:link w:val="Kop1"/>
    <w:uiPriority w:val="9"/>
    <w:rsid w:val="005A5F18"/>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644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61EA4"/>
    <w:rPr>
      <w:sz w:val="16"/>
      <w:szCs w:val="16"/>
    </w:rPr>
  </w:style>
  <w:style w:type="paragraph" w:styleId="Tekstopmerking">
    <w:name w:val="annotation text"/>
    <w:basedOn w:val="Standaard"/>
    <w:link w:val="TekstopmerkingChar"/>
    <w:uiPriority w:val="99"/>
    <w:semiHidden/>
    <w:unhideWhenUsed/>
    <w:rsid w:val="00161EA4"/>
    <w:rPr>
      <w:sz w:val="20"/>
      <w:szCs w:val="20"/>
    </w:rPr>
  </w:style>
  <w:style w:type="character" w:customStyle="1" w:styleId="TekstopmerkingChar">
    <w:name w:val="Tekst opmerking Char"/>
    <w:basedOn w:val="Standaardalinea-lettertype"/>
    <w:link w:val="Tekstopmerking"/>
    <w:uiPriority w:val="99"/>
    <w:semiHidden/>
    <w:rsid w:val="00161EA4"/>
    <w:rPr>
      <w:sz w:val="20"/>
      <w:szCs w:val="20"/>
    </w:rPr>
  </w:style>
  <w:style w:type="paragraph" w:styleId="Onderwerpvanopmerking">
    <w:name w:val="annotation subject"/>
    <w:basedOn w:val="Tekstopmerking"/>
    <w:next w:val="Tekstopmerking"/>
    <w:link w:val="OnderwerpvanopmerkingChar"/>
    <w:uiPriority w:val="99"/>
    <w:semiHidden/>
    <w:unhideWhenUsed/>
    <w:rsid w:val="00161EA4"/>
    <w:rPr>
      <w:b/>
      <w:bCs/>
    </w:rPr>
  </w:style>
  <w:style w:type="character" w:customStyle="1" w:styleId="OnderwerpvanopmerkingChar">
    <w:name w:val="Onderwerp van opmerking Char"/>
    <w:basedOn w:val="TekstopmerkingChar"/>
    <w:link w:val="Onderwerpvanopmerking"/>
    <w:uiPriority w:val="99"/>
    <w:semiHidden/>
    <w:rsid w:val="00161E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02102">
      <w:bodyDiv w:val="1"/>
      <w:marLeft w:val="0"/>
      <w:marRight w:val="0"/>
      <w:marTop w:val="0"/>
      <w:marBottom w:val="0"/>
      <w:divBdr>
        <w:top w:val="none" w:sz="0" w:space="0" w:color="auto"/>
        <w:left w:val="none" w:sz="0" w:space="0" w:color="auto"/>
        <w:bottom w:val="none" w:sz="0" w:space="0" w:color="auto"/>
        <w:right w:val="none" w:sz="0" w:space="0" w:color="auto"/>
      </w:divBdr>
    </w:div>
    <w:div w:id="280109718">
      <w:bodyDiv w:val="1"/>
      <w:marLeft w:val="0"/>
      <w:marRight w:val="0"/>
      <w:marTop w:val="0"/>
      <w:marBottom w:val="0"/>
      <w:divBdr>
        <w:top w:val="none" w:sz="0" w:space="0" w:color="auto"/>
        <w:left w:val="none" w:sz="0" w:space="0" w:color="auto"/>
        <w:bottom w:val="none" w:sz="0" w:space="0" w:color="auto"/>
        <w:right w:val="none" w:sz="0" w:space="0" w:color="auto"/>
      </w:divBdr>
    </w:div>
    <w:div w:id="331689668">
      <w:bodyDiv w:val="1"/>
      <w:marLeft w:val="0"/>
      <w:marRight w:val="0"/>
      <w:marTop w:val="0"/>
      <w:marBottom w:val="0"/>
      <w:divBdr>
        <w:top w:val="none" w:sz="0" w:space="0" w:color="auto"/>
        <w:left w:val="none" w:sz="0" w:space="0" w:color="auto"/>
        <w:bottom w:val="none" w:sz="0" w:space="0" w:color="auto"/>
        <w:right w:val="none" w:sz="0" w:space="0" w:color="auto"/>
      </w:divBdr>
    </w:div>
    <w:div w:id="800462111">
      <w:bodyDiv w:val="1"/>
      <w:marLeft w:val="0"/>
      <w:marRight w:val="0"/>
      <w:marTop w:val="0"/>
      <w:marBottom w:val="0"/>
      <w:divBdr>
        <w:top w:val="none" w:sz="0" w:space="0" w:color="auto"/>
        <w:left w:val="none" w:sz="0" w:space="0" w:color="auto"/>
        <w:bottom w:val="none" w:sz="0" w:space="0" w:color="auto"/>
        <w:right w:val="none" w:sz="0" w:space="0" w:color="auto"/>
      </w:divBdr>
    </w:div>
    <w:div w:id="894701848">
      <w:bodyDiv w:val="1"/>
      <w:marLeft w:val="0"/>
      <w:marRight w:val="0"/>
      <w:marTop w:val="0"/>
      <w:marBottom w:val="0"/>
      <w:divBdr>
        <w:top w:val="none" w:sz="0" w:space="0" w:color="auto"/>
        <w:left w:val="none" w:sz="0" w:space="0" w:color="auto"/>
        <w:bottom w:val="none" w:sz="0" w:space="0" w:color="auto"/>
        <w:right w:val="none" w:sz="0" w:space="0" w:color="auto"/>
      </w:divBdr>
    </w:div>
    <w:div w:id="1171795148">
      <w:bodyDiv w:val="1"/>
      <w:marLeft w:val="0"/>
      <w:marRight w:val="0"/>
      <w:marTop w:val="0"/>
      <w:marBottom w:val="0"/>
      <w:divBdr>
        <w:top w:val="none" w:sz="0" w:space="0" w:color="auto"/>
        <w:left w:val="none" w:sz="0" w:space="0" w:color="auto"/>
        <w:bottom w:val="none" w:sz="0" w:space="0" w:color="auto"/>
        <w:right w:val="none" w:sz="0" w:space="0" w:color="auto"/>
      </w:divBdr>
    </w:div>
    <w:div w:id="1403141045">
      <w:bodyDiv w:val="1"/>
      <w:marLeft w:val="0"/>
      <w:marRight w:val="0"/>
      <w:marTop w:val="0"/>
      <w:marBottom w:val="0"/>
      <w:divBdr>
        <w:top w:val="none" w:sz="0" w:space="0" w:color="auto"/>
        <w:left w:val="none" w:sz="0" w:space="0" w:color="auto"/>
        <w:bottom w:val="none" w:sz="0" w:space="0" w:color="auto"/>
        <w:right w:val="none" w:sz="0" w:space="0" w:color="auto"/>
      </w:divBdr>
    </w:div>
    <w:div w:id="1723090981">
      <w:bodyDiv w:val="1"/>
      <w:marLeft w:val="0"/>
      <w:marRight w:val="0"/>
      <w:marTop w:val="0"/>
      <w:marBottom w:val="0"/>
      <w:divBdr>
        <w:top w:val="none" w:sz="0" w:space="0" w:color="auto"/>
        <w:left w:val="none" w:sz="0" w:space="0" w:color="auto"/>
        <w:bottom w:val="none" w:sz="0" w:space="0" w:color="auto"/>
        <w:right w:val="none" w:sz="0" w:space="0" w:color="auto"/>
      </w:divBdr>
    </w:div>
    <w:div w:id="1898972688">
      <w:bodyDiv w:val="1"/>
      <w:marLeft w:val="0"/>
      <w:marRight w:val="0"/>
      <w:marTop w:val="0"/>
      <w:marBottom w:val="0"/>
      <w:divBdr>
        <w:top w:val="none" w:sz="0" w:space="0" w:color="auto"/>
        <w:left w:val="none" w:sz="0" w:space="0" w:color="auto"/>
        <w:bottom w:val="none" w:sz="0" w:space="0" w:color="auto"/>
        <w:right w:val="none" w:sz="0" w:space="0" w:color="auto"/>
      </w:divBdr>
    </w:div>
    <w:div w:id="202312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72B73-4FB4-4AFA-8869-730A3DB6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1415</Words>
  <Characters>8071</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Steenbruggen</dc:creator>
  <cp:keywords/>
  <dc:description/>
  <cp:lastModifiedBy>Tessa Steenbruggen</cp:lastModifiedBy>
  <cp:revision>2</cp:revision>
  <cp:lastPrinted>2022-03-17T16:38:00Z</cp:lastPrinted>
  <dcterms:created xsi:type="dcterms:W3CDTF">2023-09-27T12:18:00Z</dcterms:created>
  <dcterms:modified xsi:type="dcterms:W3CDTF">2023-09-27T12:18:00Z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6fe6d4e9-6890-32d7-bee8-4a4fb3b322bf</vt:lpwstr>
  </property>
  <property fmtid="{D5CDD505-2E9C-101B-9397-08002B2CF9AE}" pid="4" name="Mendeley Citation Style_1">
    <vt:lpwstr>http://www.zotero.org/styles/cancer-research</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http://www.zotero.org/styles/cancer-cell</vt:lpwstr>
  </property>
  <property fmtid="{D5CDD505-2E9C-101B-9397-08002B2CF9AE}" pid="8" name="Mendeley Recent Style Name 1_1">
    <vt:lpwstr>Cancer Cell</vt:lpwstr>
  </property>
  <property fmtid="{D5CDD505-2E9C-101B-9397-08002B2CF9AE}" pid="9" name="Mendeley Recent Style Id 2_1">
    <vt:lpwstr>http://www.zotero.org/styles/cancer-research</vt:lpwstr>
  </property>
  <property fmtid="{D5CDD505-2E9C-101B-9397-08002B2CF9AE}" pid="10" name="Mendeley Recent Style Name 2_1">
    <vt:lpwstr>Cancer Research</vt:lpwstr>
  </property>
  <property fmtid="{D5CDD505-2E9C-101B-9397-08002B2CF9AE}" pid="11" name="Mendeley Recent Style Id 3_1">
    <vt:lpwstr>http://www.zotero.org/styles/cancer-treatment-reviews</vt:lpwstr>
  </property>
  <property fmtid="{D5CDD505-2E9C-101B-9397-08002B2CF9AE}" pid="12" name="Mendeley Recent Style Name 3_1">
    <vt:lpwstr>Cancer Treatment Reviews</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http://www.zotero.org/styles/european-journal-of-cancer</vt:lpwstr>
  </property>
  <property fmtid="{D5CDD505-2E9C-101B-9397-08002B2CF9AE}" pid="16" name="Mendeley Recent Style Name 5_1">
    <vt:lpwstr>European Journal of Cancer</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http://www.zotero.org/styles/journal-of-the-national-cancer-institute</vt:lpwstr>
  </property>
  <property fmtid="{D5CDD505-2E9C-101B-9397-08002B2CF9AE}" pid="20" name="Mendeley Recent Style Name 7_1">
    <vt:lpwstr>Journal of the National Cancer Institute</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