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C167C" w14:textId="50E55ABF" w:rsidR="00C9425A" w:rsidRDefault="00C9425A" w:rsidP="006E595D">
      <w:pPr>
        <w:rPr>
          <w:sz w:val="22"/>
          <w:szCs w:val="22"/>
        </w:rPr>
      </w:pPr>
      <w:bookmarkStart w:id="0" w:name="_Toc98441663"/>
      <w:r w:rsidRPr="006E595D">
        <w:rPr>
          <w:b/>
          <w:bCs/>
          <w:sz w:val="22"/>
          <w:szCs w:val="22"/>
        </w:rPr>
        <w:t>Additional File 2</w:t>
      </w:r>
      <w:r w:rsidRPr="006E595D">
        <w:rPr>
          <w:sz w:val="22"/>
          <w:szCs w:val="22"/>
        </w:rPr>
        <w:t xml:space="preserve"> </w:t>
      </w:r>
      <w:r w:rsidR="006D5453" w:rsidRPr="006D5453">
        <w:rPr>
          <w:sz w:val="22"/>
          <w:szCs w:val="22"/>
        </w:rPr>
        <w:t xml:space="preserve">Supplementary Figures </w:t>
      </w:r>
      <w:r w:rsidRPr="006E595D">
        <w:rPr>
          <w:sz w:val="22"/>
          <w:szCs w:val="22"/>
        </w:rPr>
        <w:t xml:space="preserve">to </w:t>
      </w:r>
      <w:r w:rsidRPr="006E595D">
        <w:rPr>
          <w:i/>
          <w:iCs/>
          <w:sz w:val="22"/>
          <w:szCs w:val="22"/>
        </w:rPr>
        <w:t xml:space="preserve">Steenbruggen et al. </w:t>
      </w:r>
      <w:r w:rsidRPr="006E595D">
        <w:rPr>
          <w:sz w:val="22"/>
          <w:szCs w:val="22"/>
        </w:rPr>
        <w:t>B</w:t>
      </w:r>
      <w:r w:rsidR="00E8172C">
        <w:rPr>
          <w:sz w:val="22"/>
          <w:szCs w:val="22"/>
        </w:rPr>
        <w:t>-</w:t>
      </w:r>
      <w:r w:rsidRPr="006E595D">
        <w:rPr>
          <w:sz w:val="22"/>
          <w:szCs w:val="22"/>
        </w:rPr>
        <w:t>cells and regulatory T</w:t>
      </w:r>
      <w:r w:rsidR="00E8172C">
        <w:rPr>
          <w:sz w:val="22"/>
          <w:szCs w:val="22"/>
        </w:rPr>
        <w:t>-</w:t>
      </w:r>
      <w:r w:rsidRPr="006E595D">
        <w:rPr>
          <w:sz w:val="22"/>
          <w:szCs w:val="22"/>
        </w:rPr>
        <w:t>cells in the microenvironment of HER2+ breast cancer are associated with decreased survival: a real-world analysis of women with HER2+ metastatic breast cancer</w:t>
      </w:r>
    </w:p>
    <w:p w14:paraId="72A917B6" w14:textId="5BFF8A9D" w:rsidR="008E7DA9" w:rsidRDefault="008E7DA9" w:rsidP="006E595D">
      <w:pPr>
        <w:rPr>
          <w:sz w:val="22"/>
          <w:szCs w:val="22"/>
        </w:rPr>
      </w:pPr>
    </w:p>
    <w:p w14:paraId="3C7A6B63" w14:textId="5A58A4FF" w:rsidR="008E7DA9" w:rsidRPr="006D5453" w:rsidRDefault="008E7DA9" w:rsidP="008E7DA9">
      <w:pPr>
        <w:rPr>
          <w:b/>
        </w:rPr>
      </w:pPr>
      <w:r w:rsidRPr="006D5453">
        <w:rPr>
          <w:b/>
        </w:rPr>
        <w:t xml:space="preserve">Supplementary Figures </w:t>
      </w:r>
    </w:p>
    <w:p w14:paraId="75759FA5" w14:textId="77777777" w:rsidR="008E7DA9" w:rsidRPr="006E595D" w:rsidRDefault="008E7DA9" w:rsidP="006E595D">
      <w:pPr>
        <w:rPr>
          <w:sz w:val="22"/>
          <w:szCs w:val="22"/>
        </w:rPr>
      </w:pPr>
    </w:p>
    <w:p w14:paraId="409F7106" w14:textId="6680C83A" w:rsidR="00C9425A" w:rsidRPr="006E595D" w:rsidRDefault="00C9425A" w:rsidP="006E595D">
      <w:pPr>
        <w:rPr>
          <w:sz w:val="22"/>
          <w:szCs w:val="22"/>
        </w:rPr>
      </w:pPr>
      <w:r w:rsidRPr="006E595D">
        <w:rPr>
          <w:sz w:val="22"/>
          <w:szCs w:val="22"/>
        </w:rPr>
        <w:t>Figure S1 CONSORT Flow diagram of patients included in the analysis on each evaluation platform</w:t>
      </w:r>
      <w:bookmarkEnd w:id="0"/>
    </w:p>
    <w:p w14:paraId="3FBFC1B4" w14:textId="77777777" w:rsidR="00C9425A" w:rsidRPr="006E595D" w:rsidRDefault="00C9425A" w:rsidP="006E595D">
      <w:pPr>
        <w:rPr>
          <w:rFonts w:ascii="Calibri" w:hAnsi="Calibri" w:cs="Arial"/>
          <w:sz w:val="22"/>
          <w:szCs w:val="22"/>
        </w:rPr>
      </w:pPr>
      <w:r w:rsidRPr="006E595D">
        <w:rPr>
          <w:rFonts w:ascii="Calibri" w:hAnsi="Calibri" w:cs="Arial"/>
          <w:noProof/>
          <w:sz w:val="22"/>
          <w:szCs w:val="22"/>
        </w:rPr>
        <w:drawing>
          <wp:inline distT="0" distB="0" distL="0" distR="0" wp14:anchorId="3A4CBB9D" wp14:editId="2CC6428A">
            <wp:extent cx="5943600" cy="427724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6">
                      <a:extLst>
                        <a:ext uri="{28A0092B-C50C-407E-A947-70E740481C1C}">
                          <a14:useLocalDpi xmlns:a14="http://schemas.microsoft.com/office/drawing/2010/main" val="0"/>
                        </a:ext>
                      </a:extLst>
                    </a:blip>
                    <a:srcRect t="3650"/>
                    <a:stretch/>
                  </pic:blipFill>
                  <pic:spPr bwMode="auto">
                    <a:xfrm>
                      <a:off x="0" y="0"/>
                      <a:ext cx="5943600" cy="4277240"/>
                    </a:xfrm>
                    <a:prstGeom prst="rect">
                      <a:avLst/>
                    </a:prstGeom>
                    <a:ln>
                      <a:noFill/>
                    </a:ln>
                    <a:extLst>
                      <a:ext uri="{53640926-AAD7-44D8-BBD7-CCE9431645EC}">
                        <a14:shadowObscured xmlns:a14="http://schemas.microsoft.com/office/drawing/2010/main"/>
                      </a:ext>
                    </a:extLst>
                  </pic:spPr>
                </pic:pic>
              </a:graphicData>
            </a:graphic>
          </wp:inline>
        </w:drawing>
      </w:r>
    </w:p>
    <w:p w14:paraId="3A76FE04" w14:textId="77777777" w:rsidR="00C9425A" w:rsidRPr="006E595D" w:rsidRDefault="00C9425A" w:rsidP="006E595D">
      <w:pPr>
        <w:rPr>
          <w:rFonts w:ascii="Calibri" w:hAnsi="Calibri" w:cs="Arial"/>
          <w:sz w:val="22"/>
          <w:szCs w:val="22"/>
        </w:rPr>
      </w:pPr>
    </w:p>
    <w:p w14:paraId="01FBC150" w14:textId="77777777" w:rsidR="00C9425A" w:rsidRPr="006E595D" w:rsidRDefault="00C9425A" w:rsidP="006E595D">
      <w:pPr>
        <w:rPr>
          <w:rFonts w:ascii="Calibri" w:hAnsi="Calibri" w:cs="Arial"/>
          <w:sz w:val="22"/>
          <w:szCs w:val="22"/>
        </w:rPr>
      </w:pPr>
    </w:p>
    <w:p w14:paraId="3233D615" w14:textId="77777777" w:rsidR="00C9425A" w:rsidRPr="006E595D" w:rsidRDefault="00C9425A" w:rsidP="006E595D">
      <w:pPr>
        <w:rPr>
          <w:rFonts w:ascii="Calibri" w:hAnsi="Calibri" w:cs="Arial"/>
          <w:sz w:val="22"/>
          <w:szCs w:val="22"/>
        </w:rPr>
      </w:pPr>
      <w:r w:rsidRPr="006E595D">
        <w:rPr>
          <w:rFonts w:ascii="Calibri" w:hAnsi="Calibri" w:cs="Arial"/>
          <w:sz w:val="22"/>
          <w:szCs w:val="22"/>
        </w:rPr>
        <w:t xml:space="preserve">Abbreviations: MBC, metastatic breast cancer; NKI, The Netherlands Cancer Institute. </w:t>
      </w:r>
    </w:p>
    <w:p w14:paraId="5C90AEBC" w14:textId="77777777" w:rsidR="006D5453" w:rsidRDefault="006D5453" w:rsidP="006E595D">
      <w:pPr>
        <w:rPr>
          <w:sz w:val="22"/>
          <w:szCs w:val="22"/>
        </w:rPr>
      </w:pPr>
      <w:bookmarkStart w:id="1" w:name="_Toc98441664"/>
    </w:p>
    <w:p w14:paraId="41BB7B24" w14:textId="77777777" w:rsidR="006D5453" w:rsidRDefault="006D5453" w:rsidP="006E595D">
      <w:pPr>
        <w:rPr>
          <w:sz w:val="22"/>
          <w:szCs w:val="22"/>
        </w:rPr>
      </w:pPr>
    </w:p>
    <w:p w14:paraId="6FB2482E" w14:textId="77777777" w:rsidR="006D5453" w:rsidRDefault="006D5453" w:rsidP="006E595D">
      <w:pPr>
        <w:rPr>
          <w:sz w:val="22"/>
          <w:szCs w:val="22"/>
        </w:rPr>
      </w:pPr>
    </w:p>
    <w:p w14:paraId="52D6D411" w14:textId="77777777" w:rsidR="006D5453" w:rsidRDefault="006D5453" w:rsidP="006E595D">
      <w:pPr>
        <w:rPr>
          <w:sz w:val="22"/>
          <w:szCs w:val="22"/>
        </w:rPr>
      </w:pPr>
    </w:p>
    <w:p w14:paraId="75303B7B" w14:textId="77777777" w:rsidR="006D5453" w:rsidRDefault="006D5453" w:rsidP="006E595D">
      <w:pPr>
        <w:rPr>
          <w:sz w:val="22"/>
          <w:szCs w:val="22"/>
        </w:rPr>
      </w:pPr>
    </w:p>
    <w:p w14:paraId="5A908BE2" w14:textId="77777777" w:rsidR="006D5453" w:rsidRDefault="006D5453" w:rsidP="006E595D">
      <w:pPr>
        <w:rPr>
          <w:sz w:val="22"/>
          <w:szCs w:val="22"/>
        </w:rPr>
      </w:pPr>
    </w:p>
    <w:p w14:paraId="6B63804C" w14:textId="77777777" w:rsidR="006D5453" w:rsidRDefault="006D5453" w:rsidP="006E595D">
      <w:pPr>
        <w:rPr>
          <w:sz w:val="22"/>
          <w:szCs w:val="22"/>
        </w:rPr>
      </w:pPr>
    </w:p>
    <w:p w14:paraId="558514E6" w14:textId="77777777" w:rsidR="006D5453" w:rsidRDefault="006D5453" w:rsidP="006E595D">
      <w:pPr>
        <w:rPr>
          <w:sz w:val="22"/>
          <w:szCs w:val="22"/>
        </w:rPr>
      </w:pPr>
    </w:p>
    <w:p w14:paraId="53F4A575" w14:textId="77777777" w:rsidR="006D5453" w:rsidRDefault="006D5453" w:rsidP="006E595D">
      <w:pPr>
        <w:rPr>
          <w:sz w:val="22"/>
          <w:szCs w:val="22"/>
        </w:rPr>
      </w:pPr>
    </w:p>
    <w:p w14:paraId="688568E8" w14:textId="77777777" w:rsidR="006D5453" w:rsidRDefault="006D5453" w:rsidP="006E595D">
      <w:pPr>
        <w:rPr>
          <w:sz w:val="22"/>
          <w:szCs w:val="22"/>
        </w:rPr>
      </w:pPr>
    </w:p>
    <w:p w14:paraId="4E9A5A27" w14:textId="77777777" w:rsidR="006D5453" w:rsidRDefault="006D5453" w:rsidP="006E595D">
      <w:pPr>
        <w:rPr>
          <w:sz w:val="22"/>
          <w:szCs w:val="22"/>
        </w:rPr>
      </w:pPr>
    </w:p>
    <w:p w14:paraId="39194294" w14:textId="77777777" w:rsidR="006D5453" w:rsidRDefault="006D5453" w:rsidP="006E595D">
      <w:pPr>
        <w:rPr>
          <w:sz w:val="22"/>
          <w:szCs w:val="22"/>
        </w:rPr>
      </w:pPr>
    </w:p>
    <w:p w14:paraId="606D4609" w14:textId="77777777" w:rsidR="006D5453" w:rsidRDefault="006D5453" w:rsidP="006E595D">
      <w:pPr>
        <w:rPr>
          <w:sz w:val="22"/>
          <w:szCs w:val="22"/>
        </w:rPr>
      </w:pPr>
    </w:p>
    <w:p w14:paraId="26910EC4" w14:textId="542667E9" w:rsidR="00C9425A" w:rsidRPr="006E595D" w:rsidRDefault="00C9425A" w:rsidP="006E595D">
      <w:pPr>
        <w:rPr>
          <w:sz w:val="22"/>
          <w:szCs w:val="22"/>
        </w:rPr>
      </w:pPr>
      <w:r w:rsidRPr="006E595D">
        <w:rPr>
          <w:sz w:val="22"/>
          <w:szCs w:val="22"/>
        </w:rPr>
        <w:lastRenderedPageBreak/>
        <w:t>Figure S2 Example of multiplex immunofluorescent staining</w:t>
      </w:r>
      <w:bookmarkEnd w:id="1"/>
      <w:r w:rsidRPr="006E595D">
        <w:rPr>
          <w:sz w:val="22"/>
          <w:szCs w:val="22"/>
        </w:rPr>
        <w:t xml:space="preserve"> </w:t>
      </w:r>
    </w:p>
    <w:p w14:paraId="25F03EB6" w14:textId="77777777" w:rsidR="00C9425A" w:rsidRPr="006E595D" w:rsidRDefault="00C9425A" w:rsidP="006E595D">
      <w:pPr>
        <w:rPr>
          <w:sz w:val="22"/>
          <w:szCs w:val="22"/>
        </w:rPr>
      </w:pPr>
    </w:p>
    <w:p w14:paraId="0CA286DD" w14:textId="77777777" w:rsidR="00C9425A" w:rsidRPr="006E595D" w:rsidRDefault="00C9425A" w:rsidP="006E595D">
      <w:pPr>
        <w:rPr>
          <w:sz w:val="22"/>
          <w:szCs w:val="22"/>
        </w:rPr>
      </w:pPr>
      <w:r w:rsidRPr="006E595D">
        <w:rPr>
          <w:noProof/>
          <w:sz w:val="22"/>
          <w:szCs w:val="22"/>
        </w:rPr>
        <w:drawing>
          <wp:inline distT="0" distB="0" distL="0" distR="0" wp14:anchorId="4CF36D11" wp14:editId="31AC0336">
            <wp:extent cx="5943600" cy="36220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extLst>
                        <a:ext uri="{28A0092B-C50C-407E-A947-70E740481C1C}">
                          <a14:useLocalDpi xmlns:a14="http://schemas.microsoft.com/office/drawing/2010/main" val="0"/>
                        </a:ext>
                      </a:extLst>
                    </a:blip>
                    <a:stretch>
                      <a:fillRect/>
                    </a:stretch>
                  </pic:blipFill>
                  <pic:spPr>
                    <a:xfrm>
                      <a:off x="0" y="0"/>
                      <a:ext cx="5943600" cy="3622040"/>
                    </a:xfrm>
                    <a:prstGeom prst="rect">
                      <a:avLst/>
                    </a:prstGeom>
                  </pic:spPr>
                </pic:pic>
              </a:graphicData>
            </a:graphic>
          </wp:inline>
        </w:drawing>
      </w:r>
    </w:p>
    <w:p w14:paraId="521C8F58" w14:textId="77777777" w:rsidR="00C9425A" w:rsidRPr="006E595D" w:rsidRDefault="00C9425A" w:rsidP="006E595D">
      <w:pPr>
        <w:rPr>
          <w:sz w:val="22"/>
          <w:szCs w:val="22"/>
        </w:rPr>
      </w:pPr>
    </w:p>
    <w:p w14:paraId="2CB4129D" w14:textId="77777777" w:rsidR="00C9425A" w:rsidRPr="006E595D" w:rsidRDefault="00C9425A" w:rsidP="006E595D">
      <w:pPr>
        <w:rPr>
          <w:sz w:val="22"/>
          <w:szCs w:val="22"/>
        </w:rPr>
      </w:pPr>
      <w:r w:rsidRPr="006E595D">
        <w:rPr>
          <w:sz w:val="22"/>
          <w:szCs w:val="22"/>
        </w:rPr>
        <w:t xml:space="preserve">Microphotographs of a representative example of multiplex immunofluorescent staining, showing; nuclei (DAPI, blue). tumor cells (CK+, yellow), PD-L1-positive cells (red), unclassified macrophages (CD68+ cells; (turquoise) and PD1-positive cells (orange) as single gates. CD3-positive cells (green) and CD8-positive cells (magneta) as dual gate and all gates merged. ×200 magnification.  </w:t>
      </w:r>
    </w:p>
    <w:p w14:paraId="133ADD3E" w14:textId="77777777" w:rsidR="00C9425A" w:rsidRPr="006E595D" w:rsidRDefault="00C9425A" w:rsidP="006E595D">
      <w:pPr>
        <w:rPr>
          <w:sz w:val="22"/>
          <w:szCs w:val="22"/>
        </w:rPr>
      </w:pPr>
      <w:r w:rsidRPr="006E595D">
        <w:rPr>
          <w:sz w:val="22"/>
          <w:szCs w:val="22"/>
        </w:rPr>
        <w:t>Abbreviations: CK, cytokeratin.</w:t>
      </w:r>
    </w:p>
    <w:p w14:paraId="623D42DE" w14:textId="77777777" w:rsidR="006D5453" w:rsidRDefault="006D5453" w:rsidP="006E595D">
      <w:pPr>
        <w:rPr>
          <w:sz w:val="22"/>
          <w:szCs w:val="22"/>
        </w:rPr>
      </w:pPr>
      <w:bookmarkStart w:id="2" w:name="_Toc98441665"/>
    </w:p>
    <w:p w14:paraId="6EE904BE" w14:textId="77777777" w:rsidR="006D5453" w:rsidRDefault="006D5453" w:rsidP="006E595D">
      <w:pPr>
        <w:rPr>
          <w:sz w:val="22"/>
          <w:szCs w:val="22"/>
        </w:rPr>
      </w:pPr>
    </w:p>
    <w:p w14:paraId="01F65FB8" w14:textId="77777777" w:rsidR="006D5453" w:rsidRDefault="006D5453" w:rsidP="006E595D">
      <w:pPr>
        <w:rPr>
          <w:sz w:val="22"/>
          <w:szCs w:val="22"/>
        </w:rPr>
      </w:pPr>
    </w:p>
    <w:p w14:paraId="0B611158" w14:textId="77777777" w:rsidR="006D5453" w:rsidRDefault="006D5453" w:rsidP="006E595D">
      <w:pPr>
        <w:rPr>
          <w:sz w:val="22"/>
          <w:szCs w:val="22"/>
        </w:rPr>
      </w:pPr>
    </w:p>
    <w:p w14:paraId="6087471A" w14:textId="77777777" w:rsidR="006D5453" w:rsidRDefault="006D5453" w:rsidP="006E595D">
      <w:pPr>
        <w:rPr>
          <w:sz w:val="22"/>
          <w:szCs w:val="22"/>
        </w:rPr>
      </w:pPr>
    </w:p>
    <w:p w14:paraId="4BBB5A6A" w14:textId="77777777" w:rsidR="006D5453" w:rsidRDefault="006D5453" w:rsidP="006E595D">
      <w:pPr>
        <w:rPr>
          <w:sz w:val="22"/>
          <w:szCs w:val="22"/>
        </w:rPr>
      </w:pPr>
    </w:p>
    <w:p w14:paraId="622133FE" w14:textId="77777777" w:rsidR="006D5453" w:rsidRDefault="006D5453" w:rsidP="006E595D">
      <w:pPr>
        <w:rPr>
          <w:sz w:val="22"/>
          <w:szCs w:val="22"/>
        </w:rPr>
      </w:pPr>
    </w:p>
    <w:p w14:paraId="48DC2C4A" w14:textId="77777777" w:rsidR="006D5453" w:rsidRDefault="006D5453" w:rsidP="006E595D">
      <w:pPr>
        <w:rPr>
          <w:sz w:val="22"/>
          <w:szCs w:val="22"/>
        </w:rPr>
      </w:pPr>
    </w:p>
    <w:p w14:paraId="013829B7" w14:textId="77777777" w:rsidR="006D5453" w:rsidRDefault="006D5453" w:rsidP="006E595D">
      <w:pPr>
        <w:rPr>
          <w:sz w:val="22"/>
          <w:szCs w:val="22"/>
        </w:rPr>
      </w:pPr>
    </w:p>
    <w:p w14:paraId="2F313EF8" w14:textId="77777777" w:rsidR="006D5453" w:rsidRDefault="006D5453" w:rsidP="006E595D">
      <w:pPr>
        <w:rPr>
          <w:sz w:val="22"/>
          <w:szCs w:val="22"/>
        </w:rPr>
      </w:pPr>
    </w:p>
    <w:p w14:paraId="043F1D2A" w14:textId="77777777" w:rsidR="006D5453" w:rsidRDefault="006D5453" w:rsidP="006E595D">
      <w:pPr>
        <w:rPr>
          <w:sz w:val="22"/>
          <w:szCs w:val="22"/>
        </w:rPr>
      </w:pPr>
    </w:p>
    <w:p w14:paraId="076A7FD0" w14:textId="77777777" w:rsidR="006D5453" w:rsidRDefault="006D5453" w:rsidP="006E595D">
      <w:pPr>
        <w:rPr>
          <w:sz w:val="22"/>
          <w:szCs w:val="22"/>
        </w:rPr>
      </w:pPr>
    </w:p>
    <w:p w14:paraId="782A52BA" w14:textId="77777777" w:rsidR="006D5453" w:rsidRDefault="006D5453" w:rsidP="006E595D">
      <w:pPr>
        <w:rPr>
          <w:sz w:val="22"/>
          <w:szCs w:val="22"/>
        </w:rPr>
      </w:pPr>
    </w:p>
    <w:p w14:paraId="20D164D2" w14:textId="77777777" w:rsidR="006D5453" w:rsidRDefault="006D5453" w:rsidP="006E595D">
      <w:pPr>
        <w:rPr>
          <w:sz w:val="22"/>
          <w:szCs w:val="22"/>
        </w:rPr>
      </w:pPr>
    </w:p>
    <w:p w14:paraId="13FE17D5" w14:textId="77777777" w:rsidR="006D5453" w:rsidRDefault="006D5453" w:rsidP="006E595D">
      <w:pPr>
        <w:rPr>
          <w:sz w:val="22"/>
          <w:szCs w:val="22"/>
        </w:rPr>
      </w:pPr>
    </w:p>
    <w:p w14:paraId="409A1530" w14:textId="77777777" w:rsidR="006D5453" w:rsidRDefault="006D5453" w:rsidP="006E595D">
      <w:pPr>
        <w:rPr>
          <w:sz w:val="22"/>
          <w:szCs w:val="22"/>
        </w:rPr>
      </w:pPr>
    </w:p>
    <w:p w14:paraId="50A46EA3" w14:textId="77777777" w:rsidR="006D5453" w:rsidRDefault="006D5453" w:rsidP="006E595D">
      <w:pPr>
        <w:rPr>
          <w:sz w:val="22"/>
          <w:szCs w:val="22"/>
        </w:rPr>
      </w:pPr>
    </w:p>
    <w:p w14:paraId="0CAFFC11" w14:textId="77777777" w:rsidR="006D5453" w:rsidRDefault="006D5453" w:rsidP="006E595D">
      <w:pPr>
        <w:rPr>
          <w:sz w:val="22"/>
          <w:szCs w:val="22"/>
        </w:rPr>
      </w:pPr>
    </w:p>
    <w:p w14:paraId="5BFE3942" w14:textId="77777777" w:rsidR="006D5453" w:rsidRDefault="006D5453" w:rsidP="006E595D">
      <w:pPr>
        <w:rPr>
          <w:sz w:val="22"/>
          <w:szCs w:val="22"/>
        </w:rPr>
      </w:pPr>
    </w:p>
    <w:p w14:paraId="258F0EA6" w14:textId="157F9EDD" w:rsidR="00C9425A" w:rsidRPr="006E595D" w:rsidRDefault="00C9425A" w:rsidP="006E595D">
      <w:pPr>
        <w:rPr>
          <w:rFonts w:ascii="Calibri" w:hAnsi="Calibri" w:cs="Arial"/>
          <w:b/>
          <w:bCs/>
          <w:sz w:val="22"/>
          <w:szCs w:val="22"/>
        </w:rPr>
      </w:pPr>
      <w:r w:rsidRPr="006E595D">
        <w:rPr>
          <w:sz w:val="22"/>
          <w:szCs w:val="22"/>
        </w:rPr>
        <w:lastRenderedPageBreak/>
        <w:t xml:space="preserve">Figure S3 Evaluating the spatial composition of the tumor microenvironment with 3 </w:t>
      </w:r>
      <w:r w:rsidRPr="006E595D">
        <w:rPr>
          <w:rFonts w:ascii="AppleSystemUIFontBold" w:hAnsi="AppleSystemUIFontBold" w:cs="AppleSystemUIFontBold"/>
          <w:sz w:val="22"/>
          <w:szCs w:val="22"/>
        </w:rPr>
        <w:t xml:space="preserve">different </w:t>
      </w:r>
      <w:r w:rsidRPr="006E595D">
        <w:rPr>
          <w:sz w:val="22"/>
          <w:szCs w:val="22"/>
        </w:rPr>
        <w:t>methods</w:t>
      </w:r>
      <w:bookmarkEnd w:id="2"/>
    </w:p>
    <w:p w14:paraId="7C31CD11" w14:textId="77777777" w:rsidR="00C9425A" w:rsidRPr="006E595D" w:rsidRDefault="00C9425A" w:rsidP="006E595D">
      <w:pPr>
        <w:rPr>
          <w:rFonts w:ascii="Calibri" w:hAnsi="Calibri" w:cs="Arial"/>
          <w:sz w:val="22"/>
          <w:szCs w:val="22"/>
        </w:rPr>
      </w:pPr>
    </w:p>
    <w:p w14:paraId="1D95126B" w14:textId="77777777" w:rsidR="00C9425A" w:rsidRPr="006E595D" w:rsidRDefault="00C9425A" w:rsidP="006E595D">
      <w:pPr>
        <w:rPr>
          <w:rFonts w:ascii="Calibri" w:hAnsi="Calibri" w:cs="Arial"/>
          <w:sz w:val="22"/>
          <w:szCs w:val="22"/>
        </w:rPr>
      </w:pPr>
      <w:r w:rsidRPr="006E595D">
        <w:rPr>
          <w:rFonts w:ascii="Calibri" w:hAnsi="Calibri" w:cs="Arial"/>
          <w:noProof/>
          <w:sz w:val="22"/>
          <w:szCs w:val="22"/>
        </w:rPr>
        <w:drawing>
          <wp:inline distT="0" distB="0" distL="0" distR="0" wp14:anchorId="2F0406E2" wp14:editId="01BE64DB">
            <wp:extent cx="5001547" cy="548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a:extLst>
                        <a:ext uri="{28A0092B-C50C-407E-A947-70E740481C1C}">
                          <a14:useLocalDpi xmlns:a14="http://schemas.microsoft.com/office/drawing/2010/main" val="0"/>
                        </a:ext>
                      </a:extLst>
                    </a:blip>
                    <a:srcRect t="5626" b="18434"/>
                    <a:stretch/>
                  </pic:blipFill>
                  <pic:spPr bwMode="auto">
                    <a:xfrm>
                      <a:off x="0" y="0"/>
                      <a:ext cx="5026880" cy="5514189"/>
                    </a:xfrm>
                    <a:prstGeom prst="rect">
                      <a:avLst/>
                    </a:prstGeom>
                    <a:ln>
                      <a:noFill/>
                    </a:ln>
                    <a:extLst>
                      <a:ext uri="{53640926-AAD7-44D8-BBD7-CCE9431645EC}">
                        <a14:shadowObscured xmlns:a14="http://schemas.microsoft.com/office/drawing/2010/main"/>
                      </a:ext>
                    </a:extLst>
                  </pic:spPr>
                </pic:pic>
              </a:graphicData>
            </a:graphic>
          </wp:inline>
        </w:drawing>
      </w:r>
    </w:p>
    <w:p w14:paraId="7AF0557B" w14:textId="77777777" w:rsidR="00C9425A" w:rsidRPr="006E595D" w:rsidRDefault="00C9425A" w:rsidP="006E595D">
      <w:pPr>
        <w:rPr>
          <w:rFonts w:ascii="Calibri" w:hAnsi="Calibri" w:cs="Arial"/>
          <w:b/>
          <w:bCs/>
          <w:sz w:val="22"/>
          <w:szCs w:val="22"/>
        </w:rPr>
      </w:pPr>
    </w:p>
    <w:p w14:paraId="710C3BE1" w14:textId="77777777" w:rsidR="00C9425A" w:rsidRPr="006E595D" w:rsidRDefault="00C9425A" w:rsidP="006E595D">
      <w:pPr>
        <w:rPr>
          <w:rFonts w:ascii="Calibri" w:hAnsi="Calibri" w:cs="Arial"/>
          <w:sz w:val="22"/>
          <w:szCs w:val="22"/>
        </w:rPr>
      </w:pPr>
      <w:r w:rsidRPr="006E595D">
        <w:rPr>
          <w:rFonts w:ascii="Calibri" w:hAnsi="Calibri" w:cs="Arial"/>
          <w:b/>
          <w:bCs/>
          <w:sz w:val="22"/>
          <w:szCs w:val="22"/>
        </w:rPr>
        <w:t>A</w:t>
      </w:r>
      <w:r w:rsidRPr="006E595D">
        <w:rPr>
          <w:rFonts w:ascii="Calibri" w:hAnsi="Calibri" w:cs="Arial"/>
          <w:sz w:val="22"/>
          <w:szCs w:val="22"/>
        </w:rPr>
        <w:t xml:space="preserve"> is a graphic explanation of the calculation of the Morisita-Horn index. The Morisita-Horn index is a statistical measure between 0 and 1 of dispersion of individual cells in a “population”, in this case tumor area. Numbers closer to 0 mean highly segregated cell populations. Numbers closer to 1 mean highly co-localized cell populations.</w:t>
      </w:r>
    </w:p>
    <w:p w14:paraId="7D620BAA" w14:textId="77777777" w:rsidR="00C9425A" w:rsidRPr="006E595D" w:rsidRDefault="00C9425A" w:rsidP="006E595D">
      <w:pPr>
        <w:rPr>
          <w:rFonts w:ascii="Calibri" w:hAnsi="Calibri" w:cs="Arial"/>
          <w:sz w:val="22"/>
          <w:szCs w:val="22"/>
        </w:rPr>
      </w:pPr>
    </w:p>
    <w:p w14:paraId="35666C60" w14:textId="77777777" w:rsidR="00C9425A" w:rsidRPr="006E595D" w:rsidRDefault="00C9425A" w:rsidP="006E595D">
      <w:pPr>
        <w:rPr>
          <w:rFonts w:ascii="Calibri" w:hAnsi="Calibri" w:cs="Arial"/>
          <w:sz w:val="22"/>
          <w:szCs w:val="22"/>
        </w:rPr>
      </w:pPr>
      <w:r w:rsidRPr="006E595D">
        <w:rPr>
          <w:rFonts w:ascii="Calibri" w:hAnsi="Calibri" w:cs="Arial"/>
          <w:b/>
          <w:bCs/>
          <w:sz w:val="22"/>
          <w:szCs w:val="22"/>
        </w:rPr>
        <w:t>B</w:t>
      </w:r>
      <w:r w:rsidRPr="006E595D">
        <w:rPr>
          <w:rFonts w:ascii="Calibri" w:hAnsi="Calibri" w:cs="Arial"/>
          <w:sz w:val="22"/>
          <w:szCs w:val="22"/>
        </w:rPr>
        <w:t xml:space="preserve"> is a graphic explanation of the calculation of the Spatial Proximity Score (SPS). The G(r) function gives the proportion of cell type A (T-cell) within r μm of cell type B (tumor cell). The Spatial Proximity Score is the area under the G(r) curve.</w:t>
      </w:r>
    </w:p>
    <w:p w14:paraId="35585CD7" w14:textId="77777777" w:rsidR="00C9425A" w:rsidRPr="006E595D" w:rsidRDefault="00C9425A" w:rsidP="006E595D">
      <w:pPr>
        <w:rPr>
          <w:rFonts w:ascii="Calibri" w:hAnsi="Calibri" w:cs="Arial"/>
          <w:sz w:val="22"/>
          <w:szCs w:val="22"/>
        </w:rPr>
      </w:pPr>
    </w:p>
    <w:p w14:paraId="19EE8644" w14:textId="002FC4CF" w:rsidR="00C9425A" w:rsidRPr="006E595D" w:rsidRDefault="00C9425A" w:rsidP="006E595D">
      <w:pPr>
        <w:rPr>
          <w:rFonts w:ascii="Calibri" w:hAnsi="Calibri" w:cs="Arial"/>
          <w:sz w:val="22"/>
          <w:szCs w:val="22"/>
        </w:rPr>
      </w:pPr>
      <w:r w:rsidRPr="006E595D">
        <w:rPr>
          <w:rFonts w:ascii="Calibri" w:hAnsi="Calibri" w:cs="Arial"/>
          <w:b/>
          <w:bCs/>
          <w:sz w:val="22"/>
          <w:szCs w:val="22"/>
        </w:rPr>
        <w:t>C</w:t>
      </w:r>
      <w:r w:rsidRPr="006E595D">
        <w:rPr>
          <w:rFonts w:ascii="Calibri" w:hAnsi="Calibri" w:cs="Arial"/>
          <w:sz w:val="22"/>
          <w:szCs w:val="22"/>
        </w:rPr>
        <w:t xml:space="preserve"> is a graphic explanation of the calculation of the Ecoscore. Each core is divided into “Econiches”, i.e.</w:t>
      </w:r>
      <w:r w:rsidR="006E595D">
        <w:rPr>
          <w:rFonts w:ascii="Calibri" w:hAnsi="Calibri" w:cs="Arial"/>
          <w:sz w:val="22"/>
          <w:szCs w:val="22"/>
        </w:rPr>
        <w:t>,</w:t>
      </w:r>
      <w:r w:rsidRPr="006E595D">
        <w:rPr>
          <w:rFonts w:ascii="Calibri" w:hAnsi="Calibri" w:cs="Arial"/>
          <w:sz w:val="22"/>
          <w:szCs w:val="22"/>
        </w:rPr>
        <w:t xml:space="preserve"> a </w:t>
      </w:r>
      <w:r w:rsidRPr="006E595D">
        <w:rPr>
          <w:rFonts w:ascii="Calibri" w:hAnsi="Calibri" w:cs="Arial"/>
          <w:bCs/>
          <w:sz w:val="22"/>
          <w:szCs w:val="22"/>
        </w:rPr>
        <w:t>square of 100 μm</w:t>
      </w:r>
      <w:r w:rsidRPr="006E595D">
        <w:rPr>
          <w:rFonts w:ascii="Calibri" w:hAnsi="Calibri" w:cs="Arial"/>
          <w:sz w:val="22"/>
          <w:szCs w:val="22"/>
        </w:rPr>
        <w:t xml:space="preserve">. For each Econiche is calculated whether the Econiche is Stroma Low &amp; TIL High or Stroma High &amp; TIL High or Stroma High &amp; TIL Low. The Ecoscore represents the ratio of anti-tumor niches to pro-tumor niches; a higher value represents a more anti-tumor milieu. </w:t>
      </w:r>
    </w:p>
    <w:p w14:paraId="6EA1903A" w14:textId="27713C81" w:rsidR="00C9425A" w:rsidRPr="006E595D" w:rsidRDefault="00C9425A" w:rsidP="006E595D">
      <w:pPr>
        <w:rPr>
          <w:rFonts w:ascii="Calibri" w:hAnsi="Calibri" w:cs="Arial"/>
          <w:sz w:val="22"/>
          <w:szCs w:val="22"/>
        </w:rPr>
      </w:pPr>
      <w:bookmarkStart w:id="3" w:name="_Toc98441666"/>
      <w:r w:rsidRPr="006E595D">
        <w:rPr>
          <w:sz w:val="22"/>
          <w:szCs w:val="22"/>
        </w:rPr>
        <w:lastRenderedPageBreak/>
        <w:t>Figure S4 Different technologies are congruent in reporting biology</w:t>
      </w:r>
      <w:bookmarkEnd w:id="3"/>
    </w:p>
    <w:p w14:paraId="472703BF" w14:textId="77777777" w:rsidR="00C9425A" w:rsidRPr="006E595D" w:rsidRDefault="00C9425A" w:rsidP="006E595D">
      <w:pPr>
        <w:rPr>
          <w:sz w:val="22"/>
          <w:szCs w:val="22"/>
        </w:rPr>
      </w:pPr>
    </w:p>
    <w:p w14:paraId="3EC787D6" w14:textId="77777777" w:rsidR="00C9425A" w:rsidRPr="006E595D" w:rsidRDefault="00C9425A" w:rsidP="006E595D">
      <w:pPr>
        <w:rPr>
          <w:sz w:val="22"/>
          <w:szCs w:val="22"/>
        </w:rPr>
      </w:pPr>
      <w:r w:rsidRPr="006E595D">
        <w:rPr>
          <w:noProof/>
          <w:sz w:val="22"/>
          <w:szCs w:val="22"/>
        </w:rPr>
        <w:drawing>
          <wp:inline distT="0" distB="0" distL="0" distR="0" wp14:anchorId="46C1E208" wp14:editId="170939A1">
            <wp:extent cx="5943600" cy="5265388"/>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9">
                      <a:extLst>
                        <a:ext uri="{28A0092B-C50C-407E-A947-70E740481C1C}">
                          <a14:useLocalDpi xmlns:a14="http://schemas.microsoft.com/office/drawing/2010/main" val="0"/>
                        </a:ext>
                      </a:extLst>
                    </a:blip>
                    <a:srcRect t="1940"/>
                    <a:stretch/>
                  </pic:blipFill>
                  <pic:spPr bwMode="auto">
                    <a:xfrm>
                      <a:off x="0" y="0"/>
                      <a:ext cx="5943600" cy="5265388"/>
                    </a:xfrm>
                    <a:prstGeom prst="rect">
                      <a:avLst/>
                    </a:prstGeom>
                    <a:ln>
                      <a:noFill/>
                    </a:ln>
                    <a:extLst>
                      <a:ext uri="{53640926-AAD7-44D8-BBD7-CCE9431645EC}">
                        <a14:shadowObscured xmlns:a14="http://schemas.microsoft.com/office/drawing/2010/main"/>
                      </a:ext>
                    </a:extLst>
                  </pic:spPr>
                </pic:pic>
              </a:graphicData>
            </a:graphic>
          </wp:inline>
        </w:drawing>
      </w:r>
    </w:p>
    <w:p w14:paraId="07B2E13B" w14:textId="77777777" w:rsidR="00C9425A" w:rsidRPr="006E595D" w:rsidRDefault="00C9425A" w:rsidP="006E595D">
      <w:pPr>
        <w:rPr>
          <w:rFonts w:ascii="Calibri" w:hAnsi="Calibri" w:cs="Arial"/>
          <w:sz w:val="22"/>
          <w:szCs w:val="22"/>
        </w:rPr>
      </w:pPr>
      <w:r w:rsidRPr="006E595D">
        <w:rPr>
          <w:sz w:val="22"/>
          <w:szCs w:val="22"/>
        </w:rPr>
        <w:t xml:space="preserve">Clustered heatmap of pairwise biomarker correlation coefficients, annotated by type and platform (rows) and by pathway and constituent cells (columns), using complete linkage. Overarching pathways are indicated by colors on top. Platform can be gene expression (yellow), TMA IHC (orange), or TMA MIF (red). Type refers to whether TMA measurements are of an individual cell type (lavender), proliferating cells (purple), or cell-cell spatial relationships (dark purple). </w:t>
      </w:r>
    </w:p>
    <w:p w14:paraId="747748A8" w14:textId="77777777" w:rsidR="00C9425A" w:rsidRPr="006E595D" w:rsidRDefault="00C9425A" w:rsidP="006E595D">
      <w:pPr>
        <w:rPr>
          <w:rFonts w:ascii="Calibri" w:hAnsi="Calibri" w:cs="Arial"/>
          <w:sz w:val="22"/>
          <w:szCs w:val="22"/>
        </w:rPr>
      </w:pPr>
      <w:r w:rsidRPr="006E595D">
        <w:rPr>
          <w:rFonts w:ascii="Calibri" w:hAnsi="Calibri" w:cs="Arial"/>
          <w:sz w:val="22"/>
          <w:szCs w:val="22"/>
        </w:rPr>
        <w:t xml:space="preserve">Abbreviations: ECM, extracellular matrix.  </w:t>
      </w:r>
    </w:p>
    <w:p w14:paraId="1F2B4607" w14:textId="77777777" w:rsidR="00C9425A" w:rsidRPr="006E595D" w:rsidRDefault="00C9425A" w:rsidP="006E595D">
      <w:pPr>
        <w:rPr>
          <w:rFonts w:ascii="Calibri" w:hAnsi="Calibri" w:cs="Arial"/>
          <w:sz w:val="22"/>
          <w:szCs w:val="22"/>
        </w:rPr>
      </w:pPr>
    </w:p>
    <w:p w14:paraId="4F5A6816" w14:textId="77777777" w:rsidR="006D5453" w:rsidRDefault="006D5453" w:rsidP="006E595D">
      <w:pPr>
        <w:rPr>
          <w:sz w:val="22"/>
          <w:szCs w:val="22"/>
        </w:rPr>
      </w:pPr>
      <w:bookmarkStart w:id="4" w:name="_Toc98441667"/>
    </w:p>
    <w:p w14:paraId="046E0CA0" w14:textId="77777777" w:rsidR="006D5453" w:rsidRDefault="006D5453" w:rsidP="006E595D">
      <w:pPr>
        <w:rPr>
          <w:sz w:val="22"/>
          <w:szCs w:val="22"/>
        </w:rPr>
      </w:pPr>
    </w:p>
    <w:p w14:paraId="6C57FEE6" w14:textId="77777777" w:rsidR="006D5453" w:rsidRDefault="006D5453" w:rsidP="006E595D">
      <w:pPr>
        <w:rPr>
          <w:sz w:val="22"/>
          <w:szCs w:val="22"/>
        </w:rPr>
      </w:pPr>
    </w:p>
    <w:p w14:paraId="12CF1FD3" w14:textId="77777777" w:rsidR="006D5453" w:rsidRDefault="006D5453" w:rsidP="006E595D">
      <w:pPr>
        <w:rPr>
          <w:sz w:val="22"/>
          <w:szCs w:val="22"/>
        </w:rPr>
      </w:pPr>
    </w:p>
    <w:p w14:paraId="1BF8883E" w14:textId="77777777" w:rsidR="006D5453" w:rsidRDefault="006D5453" w:rsidP="006E595D">
      <w:pPr>
        <w:rPr>
          <w:sz w:val="22"/>
          <w:szCs w:val="22"/>
        </w:rPr>
      </w:pPr>
    </w:p>
    <w:p w14:paraId="68F6656E" w14:textId="77777777" w:rsidR="006D5453" w:rsidRDefault="006D5453" w:rsidP="006E595D">
      <w:pPr>
        <w:rPr>
          <w:sz w:val="22"/>
          <w:szCs w:val="22"/>
        </w:rPr>
      </w:pPr>
    </w:p>
    <w:p w14:paraId="269FC744" w14:textId="77777777" w:rsidR="006D5453" w:rsidRDefault="006D5453" w:rsidP="006E595D">
      <w:pPr>
        <w:rPr>
          <w:sz w:val="22"/>
          <w:szCs w:val="22"/>
        </w:rPr>
      </w:pPr>
    </w:p>
    <w:p w14:paraId="5B132322" w14:textId="77777777" w:rsidR="006D5453" w:rsidRDefault="006D5453" w:rsidP="006E595D">
      <w:pPr>
        <w:rPr>
          <w:sz w:val="22"/>
          <w:szCs w:val="22"/>
        </w:rPr>
      </w:pPr>
    </w:p>
    <w:p w14:paraId="1EB5CD2E" w14:textId="3F1D1DF5" w:rsidR="00C9425A" w:rsidRPr="006E595D" w:rsidRDefault="00C9425A" w:rsidP="006E595D">
      <w:pPr>
        <w:rPr>
          <w:rFonts w:ascii="Calibri" w:hAnsi="Calibri" w:cs="Arial"/>
          <w:b/>
          <w:bCs/>
          <w:sz w:val="22"/>
          <w:szCs w:val="22"/>
        </w:rPr>
      </w:pPr>
      <w:r w:rsidRPr="006E595D">
        <w:rPr>
          <w:sz w:val="22"/>
          <w:szCs w:val="22"/>
        </w:rPr>
        <w:lastRenderedPageBreak/>
        <w:t>Figure S5 Samples of the primary tumor and metastasis from the same patient cluster together</w:t>
      </w:r>
      <w:bookmarkEnd w:id="4"/>
    </w:p>
    <w:p w14:paraId="3F8D2C9C" w14:textId="77777777" w:rsidR="00C9425A" w:rsidRPr="006E595D" w:rsidRDefault="00C9425A" w:rsidP="006D5453">
      <w:pPr>
        <w:jc w:val="center"/>
        <w:rPr>
          <w:rFonts w:ascii="Calibri" w:hAnsi="Calibri" w:cs="Arial"/>
          <w:sz w:val="22"/>
          <w:szCs w:val="22"/>
        </w:rPr>
      </w:pPr>
      <w:r w:rsidRPr="006E595D">
        <w:rPr>
          <w:noProof/>
          <w:sz w:val="22"/>
          <w:szCs w:val="22"/>
        </w:rPr>
        <w:drawing>
          <wp:inline distT="0" distB="0" distL="0" distR="0" wp14:anchorId="57F49E78" wp14:editId="2112528B">
            <wp:extent cx="7874000" cy="43041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cstate="print">
                      <a:extLst>
                        <a:ext uri="{28A0092B-C50C-407E-A947-70E740481C1C}">
                          <a14:useLocalDpi xmlns:a14="http://schemas.microsoft.com/office/drawing/2010/main" val="0"/>
                        </a:ext>
                      </a:extLst>
                    </a:blip>
                    <a:srcRect t="2433"/>
                    <a:stretch/>
                  </pic:blipFill>
                  <pic:spPr bwMode="auto">
                    <a:xfrm rot="16200000">
                      <a:off x="0" y="0"/>
                      <a:ext cx="7887811" cy="4311670"/>
                    </a:xfrm>
                    <a:prstGeom prst="rect">
                      <a:avLst/>
                    </a:prstGeom>
                    <a:ln>
                      <a:noFill/>
                    </a:ln>
                    <a:extLst>
                      <a:ext uri="{53640926-AAD7-44D8-BBD7-CCE9431645EC}">
                        <a14:shadowObscured xmlns:a14="http://schemas.microsoft.com/office/drawing/2010/main"/>
                      </a:ext>
                    </a:extLst>
                  </pic:spPr>
                </pic:pic>
              </a:graphicData>
            </a:graphic>
          </wp:inline>
        </w:drawing>
      </w:r>
    </w:p>
    <w:p w14:paraId="425FE5D6" w14:textId="77777777" w:rsidR="0074473B" w:rsidRDefault="00C9425A" w:rsidP="006E595D">
      <w:pPr>
        <w:rPr>
          <w:rFonts w:ascii="Calibri" w:hAnsi="Calibri" w:cs="Arial"/>
          <w:sz w:val="22"/>
          <w:szCs w:val="22"/>
        </w:rPr>
      </w:pPr>
      <w:r w:rsidRPr="006E595D">
        <w:rPr>
          <w:rFonts w:ascii="Calibri" w:hAnsi="Calibri" w:cs="Arial"/>
          <w:sz w:val="22"/>
          <w:szCs w:val="22"/>
        </w:rPr>
        <w:lastRenderedPageBreak/>
        <w:t xml:space="preserve">Unclustered heatmap of all samples and all datapoints included in the analyses. On top clinical characteristics are shown, see legend on the right. Left of the heat map the platform used, type of data and overarching pathway are shown, see legend on the right. </w:t>
      </w:r>
      <w:r w:rsidRPr="006E595D">
        <w:rPr>
          <w:sz w:val="22"/>
          <w:szCs w:val="22"/>
        </w:rPr>
        <w:t>Overarching pathways are indicated by colors on top.</w:t>
      </w:r>
      <w:r w:rsidRPr="006E595D">
        <w:rPr>
          <w:rFonts w:ascii="Calibri" w:hAnsi="Calibri" w:cs="Arial"/>
          <w:sz w:val="22"/>
          <w:szCs w:val="22"/>
        </w:rPr>
        <w:br/>
        <w:t>Abbreviations: ECM, extracellular matrix; LTS, long-term survivor; MTS, medium-term survivor; rCR, radiological complete response; STS, short-term survivor.</w:t>
      </w:r>
    </w:p>
    <w:p w14:paraId="6B4D5F4E" w14:textId="77777777" w:rsidR="0074473B" w:rsidRDefault="0074473B" w:rsidP="006E595D">
      <w:pPr>
        <w:rPr>
          <w:rFonts w:ascii="Calibri" w:hAnsi="Calibri" w:cs="Arial"/>
          <w:sz w:val="22"/>
          <w:szCs w:val="22"/>
        </w:rPr>
      </w:pPr>
    </w:p>
    <w:p w14:paraId="4CC2DF8B" w14:textId="1B150276" w:rsidR="00C9425A" w:rsidRPr="006E595D" w:rsidRDefault="00C9425A" w:rsidP="006E595D">
      <w:pPr>
        <w:rPr>
          <w:sz w:val="22"/>
          <w:szCs w:val="22"/>
        </w:rPr>
      </w:pPr>
      <w:bookmarkStart w:id="5" w:name="_Toc98441668"/>
      <w:r w:rsidRPr="006E595D">
        <w:rPr>
          <w:sz w:val="22"/>
          <w:szCs w:val="22"/>
        </w:rPr>
        <w:t>Figure S6 Among classical breast cancer phenotypes, ER- and PR-positivity are associated with better outcome</w:t>
      </w:r>
      <w:bookmarkEnd w:id="5"/>
      <w:r w:rsidRPr="006E595D" w:rsidDel="00085C98">
        <w:rPr>
          <w:sz w:val="22"/>
          <w:szCs w:val="22"/>
        </w:rPr>
        <w:t xml:space="preserve"> </w:t>
      </w:r>
    </w:p>
    <w:p w14:paraId="6B06BBBF" w14:textId="77777777" w:rsidR="00C9425A" w:rsidRPr="006E595D" w:rsidRDefault="00C9425A" w:rsidP="006E595D">
      <w:pPr>
        <w:rPr>
          <w:rFonts w:ascii="Calibri" w:hAnsi="Calibri" w:cs="Arial"/>
          <w:noProof/>
          <w:sz w:val="22"/>
          <w:szCs w:val="22"/>
        </w:rPr>
      </w:pPr>
    </w:p>
    <w:p w14:paraId="7C5D8FEF" w14:textId="77777777" w:rsidR="00C9425A" w:rsidRPr="006E595D" w:rsidRDefault="00C9425A" w:rsidP="006D5453">
      <w:pPr>
        <w:jc w:val="center"/>
        <w:rPr>
          <w:rFonts w:ascii="Calibri" w:hAnsi="Calibri" w:cs="Arial"/>
          <w:b/>
          <w:bCs/>
          <w:sz w:val="22"/>
          <w:szCs w:val="22"/>
        </w:rPr>
      </w:pPr>
      <w:r w:rsidRPr="006E595D">
        <w:rPr>
          <w:rFonts w:ascii="Calibri" w:hAnsi="Calibri" w:cs="Arial"/>
          <w:b/>
          <w:bCs/>
          <w:noProof/>
          <w:sz w:val="22"/>
          <w:szCs w:val="22"/>
        </w:rPr>
        <w:drawing>
          <wp:inline distT="0" distB="0" distL="0" distR="0" wp14:anchorId="122C286E" wp14:editId="54F597D8">
            <wp:extent cx="4391990" cy="630459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1">
                      <a:extLst>
                        <a:ext uri="{28A0092B-C50C-407E-A947-70E740481C1C}">
                          <a14:useLocalDpi xmlns:a14="http://schemas.microsoft.com/office/drawing/2010/main" val="0"/>
                        </a:ext>
                      </a:extLst>
                    </a:blip>
                    <a:srcRect t="1688"/>
                    <a:stretch/>
                  </pic:blipFill>
                  <pic:spPr bwMode="auto">
                    <a:xfrm>
                      <a:off x="0" y="0"/>
                      <a:ext cx="4404033" cy="6321877"/>
                    </a:xfrm>
                    <a:prstGeom prst="rect">
                      <a:avLst/>
                    </a:prstGeom>
                    <a:ln>
                      <a:noFill/>
                    </a:ln>
                    <a:extLst>
                      <a:ext uri="{53640926-AAD7-44D8-BBD7-CCE9431645EC}">
                        <a14:shadowObscured xmlns:a14="http://schemas.microsoft.com/office/drawing/2010/main"/>
                      </a:ext>
                    </a:extLst>
                  </pic:spPr>
                </pic:pic>
              </a:graphicData>
            </a:graphic>
          </wp:inline>
        </w:drawing>
      </w:r>
    </w:p>
    <w:p w14:paraId="3DF57321" w14:textId="77777777" w:rsidR="006E595D" w:rsidRDefault="006E595D" w:rsidP="006E595D">
      <w:pPr>
        <w:rPr>
          <w:rFonts w:ascii="Calibri" w:hAnsi="Calibri" w:cs="Arial"/>
          <w:b/>
          <w:bCs/>
          <w:sz w:val="22"/>
          <w:szCs w:val="22"/>
        </w:rPr>
      </w:pPr>
    </w:p>
    <w:p w14:paraId="2C67C647" w14:textId="401DCDD9" w:rsidR="00C9425A" w:rsidRPr="006E595D" w:rsidRDefault="00C9425A" w:rsidP="006E595D">
      <w:pPr>
        <w:rPr>
          <w:rFonts w:ascii="Calibri" w:hAnsi="Calibri" w:cs="Arial"/>
          <w:sz w:val="22"/>
          <w:szCs w:val="22"/>
        </w:rPr>
      </w:pPr>
      <w:r w:rsidRPr="006E595D">
        <w:rPr>
          <w:rFonts w:ascii="Calibri" w:hAnsi="Calibri" w:cs="Arial"/>
          <w:b/>
          <w:bCs/>
          <w:sz w:val="22"/>
          <w:szCs w:val="22"/>
        </w:rPr>
        <w:lastRenderedPageBreak/>
        <w:t>A</w:t>
      </w:r>
      <w:r w:rsidRPr="006E595D">
        <w:rPr>
          <w:rFonts w:ascii="Calibri" w:hAnsi="Calibri" w:cs="Arial"/>
          <w:sz w:val="22"/>
          <w:szCs w:val="22"/>
        </w:rPr>
        <w:t xml:space="preserve"> is a close-up of Figure 3 of all breast cancer subtype related associations with outcomes. All significant associations in at least one analysis are shown in the dot plot. Blue dots indicate increased overall survival or higher likelihood of radiological complete response. Red dots indicate decreased overall survival or lower likelihood of radiological complete response. The size of the dot is proportional to the P value with larger dots indicating a smaller P value. The background color is white for P &lt;0.</w:t>
      </w:r>
      <w:r w:rsidR="006D5453">
        <w:rPr>
          <w:rFonts w:ascii="Calibri" w:hAnsi="Calibri" w:cs="Arial"/>
          <w:sz w:val="22"/>
          <w:szCs w:val="22"/>
        </w:rPr>
        <w:t>05</w:t>
      </w:r>
      <w:bookmarkStart w:id="6" w:name="_GoBack"/>
      <w:bookmarkEnd w:id="6"/>
      <w:r w:rsidRPr="006E595D">
        <w:rPr>
          <w:rFonts w:ascii="Calibri" w:hAnsi="Calibri" w:cs="Arial"/>
          <w:sz w:val="22"/>
          <w:szCs w:val="22"/>
        </w:rPr>
        <w:t>, light grey for P &gt;0.05 and &lt;0.10 and grey for P ≥0.10.</w:t>
      </w:r>
    </w:p>
    <w:p w14:paraId="242E4E69" w14:textId="77777777" w:rsidR="00C9425A" w:rsidRPr="006E595D" w:rsidRDefault="00C9425A" w:rsidP="006E595D">
      <w:pPr>
        <w:rPr>
          <w:rFonts w:ascii="Calibri" w:hAnsi="Calibri" w:cs="Arial"/>
          <w:sz w:val="22"/>
          <w:szCs w:val="22"/>
        </w:rPr>
      </w:pPr>
      <w:r w:rsidRPr="006E595D">
        <w:rPr>
          <w:rFonts w:ascii="Calibri" w:hAnsi="Calibri" w:cs="Arial"/>
          <w:b/>
          <w:bCs/>
          <w:sz w:val="22"/>
          <w:szCs w:val="22"/>
        </w:rPr>
        <w:t>B</w:t>
      </w:r>
      <w:r w:rsidRPr="006E595D">
        <w:rPr>
          <w:rFonts w:ascii="Calibri" w:hAnsi="Calibri" w:cs="Arial"/>
          <w:sz w:val="22"/>
          <w:szCs w:val="22"/>
        </w:rPr>
        <w:t xml:space="preserve"> shows the overall survival probability according to expression of the </w:t>
      </w:r>
      <w:r w:rsidRPr="006E595D">
        <w:rPr>
          <w:rFonts w:ascii="Calibri" w:hAnsi="Calibri" w:cs="Arial"/>
          <w:i/>
          <w:iCs/>
          <w:sz w:val="22"/>
          <w:szCs w:val="22"/>
        </w:rPr>
        <w:t>ESR1/PGR</w:t>
      </w:r>
      <w:r w:rsidRPr="006E595D">
        <w:rPr>
          <w:rFonts w:ascii="Calibri" w:hAnsi="Calibri" w:cs="Arial"/>
          <w:sz w:val="22"/>
          <w:szCs w:val="22"/>
        </w:rPr>
        <w:t xml:space="preserve"> signature in primary tumors split in tertiles. Patients with the highest expression of the </w:t>
      </w:r>
      <w:r w:rsidRPr="006E595D">
        <w:rPr>
          <w:rFonts w:ascii="Calibri" w:hAnsi="Calibri" w:cs="Arial"/>
          <w:i/>
          <w:iCs/>
          <w:sz w:val="22"/>
          <w:szCs w:val="22"/>
        </w:rPr>
        <w:t>ESR1/PGR</w:t>
      </w:r>
      <w:r w:rsidRPr="006E595D">
        <w:rPr>
          <w:rFonts w:ascii="Calibri" w:hAnsi="Calibri" w:cs="Arial"/>
          <w:sz w:val="22"/>
          <w:szCs w:val="22"/>
        </w:rPr>
        <w:t xml:space="preserve"> signature have the best overall survival. </w:t>
      </w:r>
    </w:p>
    <w:p w14:paraId="1F82E9F6" w14:textId="77777777" w:rsidR="00C9425A" w:rsidRPr="006E595D" w:rsidRDefault="00C9425A" w:rsidP="006E595D">
      <w:pPr>
        <w:rPr>
          <w:rFonts w:ascii="Calibri" w:hAnsi="Calibri" w:cs="Arial"/>
          <w:sz w:val="22"/>
          <w:szCs w:val="22"/>
        </w:rPr>
      </w:pPr>
      <w:r w:rsidRPr="006E595D">
        <w:rPr>
          <w:rFonts w:ascii="Calibri" w:hAnsi="Calibri" w:cs="Arial"/>
          <w:b/>
          <w:bCs/>
          <w:sz w:val="22"/>
          <w:szCs w:val="22"/>
        </w:rPr>
        <w:t>C</w:t>
      </w:r>
      <w:r w:rsidRPr="006E595D">
        <w:rPr>
          <w:rFonts w:ascii="Calibri" w:hAnsi="Calibri" w:cs="Arial"/>
          <w:sz w:val="22"/>
          <w:szCs w:val="22"/>
        </w:rPr>
        <w:t xml:space="preserve"> shows the distribution of expression of the </w:t>
      </w:r>
      <w:r w:rsidRPr="006E595D">
        <w:rPr>
          <w:rFonts w:ascii="Calibri" w:hAnsi="Calibri" w:cs="Arial"/>
          <w:i/>
          <w:iCs/>
          <w:sz w:val="22"/>
          <w:szCs w:val="22"/>
        </w:rPr>
        <w:t>ESR1/PGR</w:t>
      </w:r>
      <w:r w:rsidRPr="006E595D">
        <w:rPr>
          <w:rFonts w:ascii="Calibri" w:hAnsi="Calibri" w:cs="Arial"/>
          <w:sz w:val="22"/>
          <w:szCs w:val="22"/>
        </w:rPr>
        <w:t xml:space="preserve"> signature in primary tumors of patients with no radiological complete response (yellow) and patients with radiological complete response (blue). </w:t>
      </w:r>
    </w:p>
    <w:p w14:paraId="7C5657B5" w14:textId="77777777" w:rsidR="00C9425A" w:rsidRPr="006E595D" w:rsidRDefault="00C9425A" w:rsidP="006E595D">
      <w:pPr>
        <w:rPr>
          <w:rFonts w:ascii="Calibri" w:hAnsi="Calibri" w:cs="Arial"/>
          <w:sz w:val="22"/>
          <w:szCs w:val="22"/>
        </w:rPr>
      </w:pPr>
      <w:r w:rsidRPr="006E595D">
        <w:rPr>
          <w:rFonts w:ascii="Calibri" w:hAnsi="Calibri" w:cs="Arial"/>
          <w:sz w:val="22"/>
          <w:szCs w:val="22"/>
        </w:rPr>
        <w:t>Abbreviations: ECM, extracellular matrix; rCR, radiological complete response.</w:t>
      </w:r>
    </w:p>
    <w:p w14:paraId="176FB6B0" w14:textId="77777777" w:rsidR="00C9425A" w:rsidRPr="006E595D" w:rsidRDefault="00C9425A" w:rsidP="006E595D">
      <w:pPr>
        <w:rPr>
          <w:rFonts w:ascii="Calibri" w:hAnsi="Calibri" w:cs="Arial"/>
          <w:sz w:val="22"/>
          <w:szCs w:val="22"/>
        </w:rPr>
      </w:pPr>
    </w:p>
    <w:p w14:paraId="71B86435" w14:textId="0C4E918F" w:rsidR="00C9425A" w:rsidRPr="006E595D" w:rsidRDefault="00C9425A" w:rsidP="006E595D">
      <w:pPr>
        <w:rPr>
          <w:sz w:val="22"/>
          <w:szCs w:val="22"/>
        </w:rPr>
      </w:pPr>
      <w:bookmarkStart w:id="7" w:name="_Toc98441669"/>
      <w:r w:rsidRPr="006E595D">
        <w:rPr>
          <w:sz w:val="22"/>
          <w:szCs w:val="22"/>
        </w:rPr>
        <w:t>Figure S7 Stromal tumor infiltrating lymphocytes are not associated with outcomes</w:t>
      </w:r>
      <w:bookmarkEnd w:id="7"/>
      <w:r w:rsidRPr="006E595D">
        <w:rPr>
          <w:sz w:val="22"/>
          <w:szCs w:val="22"/>
        </w:rPr>
        <w:t xml:space="preserve"> </w:t>
      </w:r>
    </w:p>
    <w:p w14:paraId="49E9429C" w14:textId="77777777" w:rsidR="00C9425A" w:rsidRPr="006E595D" w:rsidRDefault="00C9425A" w:rsidP="006E595D">
      <w:pPr>
        <w:rPr>
          <w:rFonts w:ascii="Calibri" w:hAnsi="Calibri" w:cs="Arial"/>
          <w:sz w:val="22"/>
          <w:szCs w:val="22"/>
        </w:rPr>
      </w:pPr>
    </w:p>
    <w:p w14:paraId="14AD302B" w14:textId="77777777" w:rsidR="00C9425A" w:rsidRPr="006E595D" w:rsidRDefault="00C9425A" w:rsidP="006E595D">
      <w:pPr>
        <w:rPr>
          <w:rFonts w:ascii="Calibri" w:hAnsi="Calibri" w:cs="Arial"/>
          <w:sz w:val="22"/>
          <w:szCs w:val="22"/>
        </w:rPr>
      </w:pPr>
      <w:r w:rsidRPr="006E595D">
        <w:rPr>
          <w:rFonts w:ascii="Calibri" w:hAnsi="Calibri" w:cs="Arial"/>
          <w:noProof/>
          <w:sz w:val="22"/>
          <w:szCs w:val="22"/>
        </w:rPr>
        <w:drawing>
          <wp:inline distT="0" distB="0" distL="0" distR="0" wp14:anchorId="02C4F442" wp14:editId="58DB27D2">
            <wp:extent cx="5481093" cy="494030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2">
                      <a:extLst>
                        <a:ext uri="{28A0092B-C50C-407E-A947-70E740481C1C}">
                          <a14:useLocalDpi xmlns:a14="http://schemas.microsoft.com/office/drawing/2010/main" val="0"/>
                        </a:ext>
                      </a:extLst>
                    </a:blip>
                    <a:srcRect t="2321"/>
                    <a:stretch/>
                  </pic:blipFill>
                  <pic:spPr bwMode="auto">
                    <a:xfrm>
                      <a:off x="0" y="0"/>
                      <a:ext cx="5501326" cy="4958536"/>
                    </a:xfrm>
                    <a:prstGeom prst="rect">
                      <a:avLst/>
                    </a:prstGeom>
                    <a:ln>
                      <a:noFill/>
                    </a:ln>
                    <a:extLst>
                      <a:ext uri="{53640926-AAD7-44D8-BBD7-CCE9431645EC}">
                        <a14:shadowObscured xmlns:a14="http://schemas.microsoft.com/office/drawing/2010/main"/>
                      </a:ext>
                    </a:extLst>
                  </pic:spPr>
                </pic:pic>
              </a:graphicData>
            </a:graphic>
          </wp:inline>
        </w:drawing>
      </w:r>
    </w:p>
    <w:p w14:paraId="5F6B512F" w14:textId="77777777" w:rsidR="006E595D" w:rsidRDefault="006E595D" w:rsidP="006E595D">
      <w:pPr>
        <w:rPr>
          <w:rFonts w:ascii="Calibri" w:hAnsi="Calibri" w:cs="Arial"/>
          <w:b/>
          <w:bCs/>
          <w:sz w:val="22"/>
          <w:szCs w:val="22"/>
        </w:rPr>
      </w:pPr>
    </w:p>
    <w:p w14:paraId="32608112" w14:textId="3D32C2E3" w:rsidR="00C9425A" w:rsidRPr="006E595D" w:rsidRDefault="00C9425A" w:rsidP="006E595D">
      <w:pPr>
        <w:rPr>
          <w:rFonts w:ascii="Calibri" w:hAnsi="Calibri" w:cs="Arial"/>
          <w:sz w:val="22"/>
          <w:szCs w:val="22"/>
        </w:rPr>
      </w:pPr>
      <w:r w:rsidRPr="006E595D">
        <w:rPr>
          <w:rFonts w:ascii="Calibri" w:hAnsi="Calibri" w:cs="Arial"/>
          <w:b/>
          <w:bCs/>
          <w:sz w:val="22"/>
          <w:szCs w:val="22"/>
        </w:rPr>
        <w:t>A</w:t>
      </w:r>
      <w:r w:rsidRPr="006E595D">
        <w:rPr>
          <w:rFonts w:ascii="Calibri" w:hAnsi="Calibri" w:cs="Arial"/>
          <w:sz w:val="22"/>
          <w:szCs w:val="22"/>
        </w:rPr>
        <w:t xml:space="preserve"> shows the distribution of stromal tumor infiltrating lymphocytes in primary tumors and different metastases. The highest levels of stromal tumor infiltrating lymphocytes are seen in lung metastases. </w:t>
      </w:r>
    </w:p>
    <w:p w14:paraId="3B446E66" w14:textId="77777777" w:rsidR="00C9425A" w:rsidRPr="006E595D" w:rsidRDefault="00C9425A" w:rsidP="006E595D">
      <w:pPr>
        <w:rPr>
          <w:rFonts w:ascii="Calibri" w:hAnsi="Calibri" w:cs="Arial"/>
          <w:sz w:val="22"/>
          <w:szCs w:val="22"/>
        </w:rPr>
      </w:pPr>
      <w:r w:rsidRPr="006E595D">
        <w:rPr>
          <w:rFonts w:ascii="Calibri" w:hAnsi="Calibri" w:cs="Arial"/>
          <w:b/>
          <w:bCs/>
          <w:sz w:val="22"/>
          <w:szCs w:val="22"/>
        </w:rPr>
        <w:lastRenderedPageBreak/>
        <w:t>B</w:t>
      </w:r>
      <w:r w:rsidRPr="006E595D">
        <w:rPr>
          <w:rFonts w:ascii="Calibri" w:hAnsi="Calibri" w:cs="Arial"/>
          <w:sz w:val="22"/>
          <w:szCs w:val="22"/>
        </w:rPr>
        <w:t xml:space="preserve"> shows the overall survival probability according to stromal tumor infiltrating lymphocytes level (low, intermediate, or high). Low was defined as ≤10%, intermediate between 11 and 59% and high as ≥60% stromal tumor infiltrating lymphocytes as measured on whole H&amp;E slides. </w:t>
      </w:r>
    </w:p>
    <w:p w14:paraId="4B4C173F" w14:textId="77777777" w:rsidR="00C9425A" w:rsidRPr="006E595D" w:rsidRDefault="00C9425A" w:rsidP="006E595D">
      <w:pPr>
        <w:rPr>
          <w:rFonts w:ascii="Calibri" w:hAnsi="Calibri" w:cs="Arial"/>
          <w:sz w:val="22"/>
          <w:szCs w:val="22"/>
        </w:rPr>
      </w:pPr>
      <w:r w:rsidRPr="006E595D">
        <w:rPr>
          <w:rFonts w:ascii="Calibri" w:hAnsi="Calibri" w:cs="Arial"/>
          <w:b/>
          <w:bCs/>
          <w:sz w:val="22"/>
          <w:szCs w:val="22"/>
        </w:rPr>
        <w:t>C</w:t>
      </w:r>
      <w:r w:rsidRPr="006E595D">
        <w:rPr>
          <w:rFonts w:ascii="Calibri" w:hAnsi="Calibri" w:cs="Arial"/>
          <w:sz w:val="22"/>
          <w:szCs w:val="22"/>
        </w:rPr>
        <w:t xml:space="preserve"> shows the distribution of stromal tumor infiltrating lymphocytes in primary tumors of patients with no radiological complete response (yellow) and patients with radiological complete response (blue). </w:t>
      </w:r>
    </w:p>
    <w:p w14:paraId="41249DB5" w14:textId="77777777" w:rsidR="00C9425A" w:rsidRPr="006E595D" w:rsidRDefault="00C9425A" w:rsidP="006E595D">
      <w:pPr>
        <w:rPr>
          <w:rFonts w:ascii="Calibri" w:hAnsi="Calibri" w:cs="Arial"/>
          <w:sz w:val="22"/>
          <w:szCs w:val="22"/>
        </w:rPr>
      </w:pPr>
      <w:r w:rsidRPr="006E595D">
        <w:rPr>
          <w:rFonts w:ascii="Calibri" w:hAnsi="Calibri" w:cs="Arial"/>
          <w:b/>
          <w:bCs/>
          <w:sz w:val="22"/>
          <w:szCs w:val="22"/>
        </w:rPr>
        <w:t>D</w:t>
      </w:r>
      <w:r w:rsidRPr="006E595D">
        <w:rPr>
          <w:rFonts w:ascii="Calibri" w:hAnsi="Calibri" w:cs="Arial"/>
          <w:sz w:val="22"/>
          <w:szCs w:val="22"/>
        </w:rPr>
        <w:t xml:space="preserve"> shows the distribution of stromal tumor infiltrating lymphocytes in metastases of patients with no radiological complete response (yellow) and patients with radiological complete response (blue). </w:t>
      </w:r>
    </w:p>
    <w:p w14:paraId="42C9ED25" w14:textId="6E335E0C" w:rsidR="00345604" w:rsidRPr="006E595D" w:rsidRDefault="00C9425A" w:rsidP="006E595D">
      <w:pPr>
        <w:rPr>
          <w:rFonts w:ascii="Calibri" w:hAnsi="Calibri" w:cs="Arial"/>
          <w:sz w:val="22"/>
          <w:szCs w:val="22"/>
        </w:rPr>
      </w:pPr>
      <w:r w:rsidRPr="006E595D">
        <w:rPr>
          <w:rFonts w:ascii="Calibri" w:hAnsi="Calibri" w:cs="Arial"/>
          <w:sz w:val="22"/>
          <w:szCs w:val="22"/>
        </w:rPr>
        <w:t xml:space="preserve">Abbreviations: rCR, radiological complete response; STILS, stromal tumor infiltrating lymphocytes. </w:t>
      </w:r>
    </w:p>
    <w:sectPr w:rsidR="00345604" w:rsidRPr="006E595D" w:rsidSect="005933D2">
      <w:headerReference w:type="default" r:id="rId13"/>
      <w:footerReference w:type="even" r:id="rId14"/>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D1826" w14:textId="77777777" w:rsidR="00312E6A" w:rsidRDefault="00312E6A">
      <w:r>
        <w:separator/>
      </w:r>
    </w:p>
  </w:endnote>
  <w:endnote w:type="continuationSeparator" w:id="0">
    <w:p w14:paraId="0D2B3EC1" w14:textId="77777777" w:rsidR="00312E6A" w:rsidRDefault="0031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Bold">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rPr>
      <w:id w:val="-100954943"/>
      <w:docPartObj>
        <w:docPartGallery w:val="Page Numbers (Bottom of Page)"/>
        <w:docPartUnique/>
      </w:docPartObj>
    </w:sdtPr>
    <w:sdtEndPr>
      <w:rPr>
        <w:rStyle w:val="Paginanummer"/>
      </w:rPr>
    </w:sdtEndPr>
    <w:sdtContent>
      <w:p w14:paraId="6A9384B2" w14:textId="77777777" w:rsidR="005933D2" w:rsidRDefault="008E7DA9" w:rsidP="005933D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856969A" w14:textId="77777777" w:rsidR="005933D2" w:rsidRDefault="00C17F22" w:rsidP="005933D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rPr>
      <w:id w:val="-1212650504"/>
      <w:docPartObj>
        <w:docPartGallery w:val="Page Numbers (Bottom of Page)"/>
        <w:docPartUnique/>
      </w:docPartObj>
    </w:sdtPr>
    <w:sdtEndPr>
      <w:rPr>
        <w:rStyle w:val="Paginanummer"/>
      </w:rPr>
    </w:sdtEndPr>
    <w:sdtContent>
      <w:p w14:paraId="5E901628" w14:textId="7FAFB05C" w:rsidR="005933D2" w:rsidRDefault="008E7DA9" w:rsidP="005933D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C17F22">
          <w:rPr>
            <w:rStyle w:val="Paginanummer"/>
            <w:noProof/>
          </w:rPr>
          <w:t>2</w:t>
        </w:r>
        <w:r>
          <w:rPr>
            <w:rStyle w:val="Paginanummer"/>
          </w:rPr>
          <w:fldChar w:fldCharType="end"/>
        </w:r>
      </w:p>
    </w:sdtContent>
  </w:sdt>
  <w:p w14:paraId="58AEE428" w14:textId="77777777" w:rsidR="005933D2" w:rsidRDefault="00C17F22" w:rsidP="005933D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7219C" w14:textId="77777777" w:rsidR="00312E6A" w:rsidRDefault="00312E6A">
      <w:r>
        <w:separator/>
      </w:r>
    </w:p>
  </w:footnote>
  <w:footnote w:type="continuationSeparator" w:id="0">
    <w:p w14:paraId="798D0EE8" w14:textId="77777777" w:rsidR="00312E6A" w:rsidRDefault="0031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91B7" w14:textId="505292BB" w:rsidR="00E8172C" w:rsidRPr="00E8172C" w:rsidRDefault="00E8172C" w:rsidP="006D5453">
    <w:pPr>
      <w:jc w:val="center"/>
      <w:rPr>
        <w:sz w:val="18"/>
        <w:szCs w:val="18"/>
      </w:rPr>
    </w:pPr>
    <w:r w:rsidRPr="00E8172C">
      <w:rPr>
        <w:b/>
        <w:bCs/>
        <w:sz w:val="18"/>
        <w:szCs w:val="18"/>
      </w:rPr>
      <w:t>Additional File 2</w:t>
    </w:r>
    <w:r w:rsidRPr="00E8172C">
      <w:rPr>
        <w:sz w:val="18"/>
        <w:szCs w:val="18"/>
      </w:rPr>
      <w:t xml:space="preserve"> to </w:t>
    </w:r>
    <w:r w:rsidRPr="00E8172C">
      <w:rPr>
        <w:i/>
        <w:iCs/>
        <w:sz w:val="18"/>
        <w:szCs w:val="18"/>
      </w:rPr>
      <w:t xml:space="preserve">Steenbruggen et al. </w:t>
    </w:r>
    <w:r w:rsidRPr="006D5453">
      <w:rPr>
        <w:iCs/>
        <w:sz w:val="18"/>
        <w:szCs w:val="18"/>
      </w:rPr>
      <w:t>Breast Cancer Research</w:t>
    </w:r>
  </w:p>
  <w:p w14:paraId="3C774D7B" w14:textId="77777777" w:rsidR="00E8172C" w:rsidRDefault="00E8172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25A"/>
    <w:rsid w:val="00312E6A"/>
    <w:rsid w:val="00345604"/>
    <w:rsid w:val="006D5453"/>
    <w:rsid w:val="006E595D"/>
    <w:rsid w:val="0074473B"/>
    <w:rsid w:val="008E7DA9"/>
    <w:rsid w:val="00AE1DCE"/>
    <w:rsid w:val="00B74E53"/>
    <w:rsid w:val="00C17F22"/>
    <w:rsid w:val="00C9425A"/>
    <w:rsid w:val="00E752CC"/>
    <w:rsid w:val="00E81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E2193"/>
  <w15:chartTrackingRefBased/>
  <w15:docId w15:val="{8626C612-E4CE-9749-A053-173DF7D3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9425A"/>
  </w:style>
  <w:style w:type="paragraph" w:styleId="Kop2">
    <w:name w:val="heading 2"/>
    <w:basedOn w:val="Standaard"/>
    <w:next w:val="Standaard"/>
    <w:link w:val="Kop2Char"/>
    <w:uiPriority w:val="9"/>
    <w:unhideWhenUsed/>
    <w:qFormat/>
    <w:rsid w:val="00C9425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9425A"/>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C9425A"/>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C9425A"/>
    <w:rPr>
      <w:rFonts w:asciiTheme="majorHAnsi" w:eastAsiaTheme="majorEastAsia" w:hAnsiTheme="majorHAnsi" w:cstheme="majorBidi"/>
      <w:color w:val="1F3763" w:themeColor="accent1" w:themeShade="7F"/>
    </w:rPr>
  </w:style>
  <w:style w:type="paragraph" w:styleId="Voettekst">
    <w:name w:val="footer"/>
    <w:basedOn w:val="Standaard"/>
    <w:link w:val="VoettekstChar"/>
    <w:uiPriority w:val="99"/>
    <w:unhideWhenUsed/>
    <w:rsid w:val="00C9425A"/>
    <w:pPr>
      <w:tabs>
        <w:tab w:val="center" w:pos="4680"/>
        <w:tab w:val="right" w:pos="9360"/>
      </w:tabs>
    </w:pPr>
    <w:rPr>
      <w:sz w:val="22"/>
      <w:szCs w:val="22"/>
      <w:lang w:val="nl-NL"/>
    </w:rPr>
  </w:style>
  <w:style w:type="character" w:customStyle="1" w:styleId="VoettekstChar">
    <w:name w:val="Voettekst Char"/>
    <w:basedOn w:val="Standaardalinea-lettertype"/>
    <w:link w:val="Voettekst"/>
    <w:uiPriority w:val="99"/>
    <w:rsid w:val="00C9425A"/>
    <w:rPr>
      <w:sz w:val="22"/>
      <w:szCs w:val="22"/>
      <w:lang w:val="nl-NL"/>
    </w:rPr>
  </w:style>
  <w:style w:type="character" w:styleId="Paginanummer">
    <w:name w:val="page number"/>
    <w:basedOn w:val="Standaardalinea-lettertype"/>
    <w:uiPriority w:val="99"/>
    <w:semiHidden/>
    <w:unhideWhenUsed/>
    <w:rsid w:val="00C9425A"/>
  </w:style>
  <w:style w:type="paragraph" w:styleId="Koptekst">
    <w:name w:val="header"/>
    <w:basedOn w:val="Standaard"/>
    <w:link w:val="KoptekstChar"/>
    <w:uiPriority w:val="99"/>
    <w:unhideWhenUsed/>
    <w:rsid w:val="00E8172C"/>
    <w:pPr>
      <w:tabs>
        <w:tab w:val="center" w:pos="4680"/>
        <w:tab w:val="right" w:pos="9360"/>
      </w:tabs>
    </w:pPr>
  </w:style>
  <w:style w:type="character" w:customStyle="1" w:styleId="KoptekstChar">
    <w:name w:val="Koptekst Char"/>
    <w:basedOn w:val="Standaardalinea-lettertype"/>
    <w:link w:val="Koptekst"/>
    <w:uiPriority w:val="99"/>
    <w:rsid w:val="00E81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817</Words>
  <Characters>4661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Steenbruggen</dc:creator>
  <cp:keywords/>
  <dc:description/>
  <cp:lastModifiedBy>Tessa Steenbruggen</cp:lastModifiedBy>
  <cp:revision>2</cp:revision>
  <dcterms:created xsi:type="dcterms:W3CDTF">2023-09-27T12:28:00Z</dcterms:created>
  <dcterms:modified xsi:type="dcterms:W3CDTF">2023-09-27T12:28:00Z</dcterms:modified>
</cp:coreProperties>
</file>