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299" w:rsidRDefault="00945299" w:rsidP="00945299">
      <w:pPr>
        <w:spacing w:line="480" w:lineRule="auto"/>
        <w:jc w:val="both"/>
        <w:rPr>
          <w:sz w:val="24"/>
          <w:szCs w:val="24"/>
        </w:rPr>
      </w:pPr>
      <w:r>
        <w:rPr>
          <w:b/>
          <w:noProof/>
          <w:sz w:val="24"/>
          <w:szCs w:val="24"/>
          <w:lang w:eastAsia="en-IN"/>
        </w:rPr>
        <w:drawing>
          <wp:inline distT="0" distB="0" distL="0" distR="0">
            <wp:extent cx="5724525" cy="5057775"/>
            <wp:effectExtent l="0" t="0" r="9525" b="9525"/>
            <wp:docPr id="4" name="Picture 4" descr="Supplementary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lementaryFigure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4525" cy="5057775"/>
                    </a:xfrm>
                    <a:prstGeom prst="rect">
                      <a:avLst/>
                    </a:prstGeom>
                    <a:noFill/>
                    <a:ln>
                      <a:noFill/>
                    </a:ln>
                  </pic:spPr>
                </pic:pic>
              </a:graphicData>
            </a:graphic>
          </wp:inline>
        </w:drawing>
      </w:r>
      <w:r w:rsidRPr="00BA536B">
        <w:rPr>
          <w:b/>
          <w:sz w:val="24"/>
          <w:szCs w:val="24"/>
        </w:rPr>
        <w:t>Supplementary Fig. 1</w:t>
      </w:r>
      <w:r w:rsidRPr="00BA536B">
        <w:rPr>
          <w:sz w:val="24"/>
          <w:szCs w:val="24"/>
        </w:rPr>
        <w:t xml:space="preserve"> Isolation and characterization of luminal </w:t>
      </w:r>
      <w:r>
        <w:rPr>
          <w:sz w:val="24"/>
          <w:szCs w:val="24"/>
        </w:rPr>
        <w:t>and myoepithelial cells from human breast tissue</w:t>
      </w:r>
      <w:r w:rsidRPr="00BA536B">
        <w:rPr>
          <w:sz w:val="24"/>
          <w:szCs w:val="24"/>
        </w:rPr>
        <w:t xml:space="preserve">. </w:t>
      </w:r>
    </w:p>
    <w:p w:rsidR="00945299" w:rsidRPr="00BA536B" w:rsidRDefault="00945299" w:rsidP="00945299">
      <w:pPr>
        <w:spacing w:line="480" w:lineRule="auto"/>
        <w:jc w:val="both"/>
        <w:rPr>
          <w:sz w:val="24"/>
          <w:szCs w:val="24"/>
        </w:rPr>
      </w:pPr>
      <w:proofErr w:type="spellStart"/>
      <w:r w:rsidRPr="00BA536B">
        <w:rPr>
          <w:sz w:val="24"/>
          <w:szCs w:val="24"/>
        </w:rPr>
        <w:t>Multicolor</w:t>
      </w:r>
      <w:proofErr w:type="spellEnd"/>
      <w:r w:rsidRPr="00BA536B">
        <w:rPr>
          <w:sz w:val="24"/>
          <w:szCs w:val="24"/>
        </w:rPr>
        <w:t xml:space="preserve"> imaging of uncultured, FACS sorted single cells from a TROP</w:t>
      </w:r>
      <w:r w:rsidRPr="00BA536B">
        <w:rPr>
          <w:sz w:val="24"/>
          <w:szCs w:val="24"/>
          <w:vertAlign w:val="superscript"/>
        </w:rPr>
        <w:t>+</w:t>
      </w:r>
      <w:r w:rsidRPr="00BA536B">
        <w:rPr>
          <w:sz w:val="24"/>
          <w:szCs w:val="24"/>
        </w:rPr>
        <w:t>/CD271</w:t>
      </w:r>
      <w:r w:rsidRPr="00BA536B">
        <w:rPr>
          <w:sz w:val="24"/>
          <w:szCs w:val="24"/>
          <w:vertAlign w:val="superscript"/>
        </w:rPr>
        <w:t>-</w:t>
      </w:r>
      <w:r w:rsidRPr="00BA536B">
        <w:rPr>
          <w:sz w:val="24"/>
          <w:szCs w:val="24"/>
        </w:rPr>
        <w:t xml:space="preserve"> gate and a TROP2</w:t>
      </w:r>
      <w:r w:rsidRPr="00BA536B">
        <w:rPr>
          <w:sz w:val="24"/>
          <w:szCs w:val="24"/>
          <w:vertAlign w:val="superscript"/>
        </w:rPr>
        <w:t>+</w:t>
      </w:r>
      <w:r w:rsidRPr="00BA536B">
        <w:rPr>
          <w:sz w:val="24"/>
          <w:szCs w:val="24"/>
        </w:rPr>
        <w:t>/CD271</w:t>
      </w:r>
      <w:r w:rsidRPr="00BA536B">
        <w:rPr>
          <w:sz w:val="24"/>
          <w:szCs w:val="24"/>
          <w:vertAlign w:val="superscript"/>
        </w:rPr>
        <w:t>+</w:t>
      </w:r>
      <w:r w:rsidRPr="00BA536B">
        <w:rPr>
          <w:sz w:val="24"/>
          <w:szCs w:val="24"/>
        </w:rPr>
        <w:t xml:space="preserve"> gate. Cells were smeared on glass slides and stained </w:t>
      </w:r>
      <w:r>
        <w:rPr>
          <w:sz w:val="24"/>
          <w:szCs w:val="24"/>
        </w:rPr>
        <w:t>with</w:t>
      </w:r>
      <w:r w:rsidRPr="00BA536B">
        <w:rPr>
          <w:sz w:val="24"/>
          <w:szCs w:val="24"/>
        </w:rPr>
        <w:t xml:space="preserve"> CAM5.2 </w:t>
      </w:r>
      <w:r>
        <w:rPr>
          <w:sz w:val="24"/>
          <w:szCs w:val="24"/>
        </w:rPr>
        <w:t xml:space="preserve">that recognizes K7/K8 </w:t>
      </w:r>
      <w:r w:rsidRPr="00BA536B">
        <w:rPr>
          <w:sz w:val="24"/>
          <w:szCs w:val="24"/>
        </w:rPr>
        <w:t>(red) and K14 (green; upper row) and K17 (red) and K14 (green; lower row). Scale bar =</w:t>
      </w:r>
      <w:r>
        <w:rPr>
          <w:sz w:val="24"/>
          <w:szCs w:val="24"/>
        </w:rPr>
        <w:t xml:space="preserve"> </w:t>
      </w:r>
      <w:r w:rsidRPr="00BA536B">
        <w:rPr>
          <w:sz w:val="24"/>
          <w:szCs w:val="24"/>
        </w:rPr>
        <w:t>50 µm</w:t>
      </w:r>
      <w:r>
        <w:rPr>
          <w:sz w:val="24"/>
          <w:szCs w:val="24"/>
        </w:rPr>
        <w:t xml:space="preserve"> </w:t>
      </w:r>
    </w:p>
    <w:p w:rsidR="00945299" w:rsidRDefault="00945299" w:rsidP="00945299">
      <w:pPr>
        <w:rPr>
          <w:b/>
          <w:sz w:val="24"/>
          <w:szCs w:val="24"/>
        </w:rPr>
      </w:pPr>
      <w:r>
        <w:rPr>
          <w:b/>
          <w:sz w:val="24"/>
          <w:szCs w:val="24"/>
        </w:rPr>
        <w:br w:type="page"/>
      </w:r>
    </w:p>
    <w:p w:rsidR="00945299" w:rsidRDefault="00945299" w:rsidP="00945299">
      <w:pPr>
        <w:spacing w:line="480" w:lineRule="auto"/>
        <w:jc w:val="both"/>
        <w:rPr>
          <w:sz w:val="24"/>
          <w:szCs w:val="24"/>
        </w:rPr>
      </w:pPr>
      <w:r>
        <w:rPr>
          <w:b/>
          <w:noProof/>
          <w:sz w:val="24"/>
          <w:szCs w:val="24"/>
          <w:lang w:eastAsia="en-IN"/>
        </w:rPr>
        <w:lastRenderedPageBreak/>
        <w:drawing>
          <wp:inline distT="0" distB="0" distL="0" distR="0">
            <wp:extent cx="5724525" cy="7762875"/>
            <wp:effectExtent l="0" t="0" r="9525" b="9525"/>
            <wp:docPr id="3" name="Picture 3" descr="Supplementary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ementaryFigur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7762875"/>
                    </a:xfrm>
                    <a:prstGeom prst="rect">
                      <a:avLst/>
                    </a:prstGeom>
                    <a:noFill/>
                    <a:ln>
                      <a:noFill/>
                    </a:ln>
                  </pic:spPr>
                </pic:pic>
              </a:graphicData>
            </a:graphic>
          </wp:inline>
        </w:drawing>
      </w:r>
      <w:r w:rsidRPr="00BA536B">
        <w:rPr>
          <w:b/>
          <w:sz w:val="24"/>
          <w:szCs w:val="24"/>
        </w:rPr>
        <w:t>Supplementary Fig. 2</w:t>
      </w:r>
      <w:r w:rsidRPr="00BA536B">
        <w:rPr>
          <w:sz w:val="24"/>
          <w:szCs w:val="24"/>
        </w:rPr>
        <w:t xml:space="preserve"> </w:t>
      </w:r>
      <w:r w:rsidRPr="00F5660E">
        <w:rPr>
          <w:sz w:val="24"/>
          <w:szCs w:val="24"/>
        </w:rPr>
        <w:t xml:space="preserve">OLFM4 </w:t>
      </w:r>
      <w:r>
        <w:rPr>
          <w:sz w:val="24"/>
          <w:szCs w:val="24"/>
        </w:rPr>
        <w:t xml:space="preserve">is highly </w:t>
      </w:r>
      <w:r w:rsidRPr="00F5660E">
        <w:rPr>
          <w:sz w:val="24"/>
          <w:szCs w:val="24"/>
        </w:rPr>
        <w:t>expre</w:t>
      </w:r>
      <w:r>
        <w:rPr>
          <w:sz w:val="24"/>
          <w:szCs w:val="24"/>
        </w:rPr>
        <w:t xml:space="preserve">ssed in ducts in situ and in vivo. </w:t>
      </w:r>
    </w:p>
    <w:p w:rsidR="00945299" w:rsidRDefault="00945299" w:rsidP="00945299">
      <w:pPr>
        <w:spacing w:line="480" w:lineRule="auto"/>
        <w:jc w:val="both"/>
        <w:rPr>
          <w:sz w:val="24"/>
          <w:szCs w:val="24"/>
        </w:rPr>
      </w:pPr>
      <w:proofErr w:type="spellStart"/>
      <w:r w:rsidRPr="7608B333">
        <w:rPr>
          <w:sz w:val="24"/>
          <w:szCs w:val="24"/>
        </w:rPr>
        <w:lastRenderedPageBreak/>
        <w:t>Multicolor</w:t>
      </w:r>
      <w:proofErr w:type="spellEnd"/>
      <w:r w:rsidRPr="7608B333">
        <w:rPr>
          <w:sz w:val="24"/>
          <w:szCs w:val="24"/>
        </w:rPr>
        <w:t xml:space="preserve"> imaging of paraffin sections of </w:t>
      </w:r>
      <w:proofErr w:type="gramStart"/>
      <w:r w:rsidRPr="7608B333">
        <w:rPr>
          <w:b/>
          <w:bCs/>
          <w:sz w:val="24"/>
          <w:szCs w:val="24"/>
        </w:rPr>
        <w:t>A</w:t>
      </w:r>
      <w:proofErr w:type="gramEnd"/>
      <w:r w:rsidRPr="7608B333">
        <w:rPr>
          <w:sz w:val="24"/>
          <w:szCs w:val="24"/>
        </w:rPr>
        <w:t xml:space="preserve"> human breast tissue, and </w:t>
      </w:r>
      <w:r w:rsidRPr="7608B333">
        <w:rPr>
          <w:b/>
          <w:bCs/>
          <w:sz w:val="24"/>
          <w:szCs w:val="24"/>
        </w:rPr>
        <w:t>B</w:t>
      </w:r>
      <w:r w:rsidRPr="7608B333">
        <w:rPr>
          <w:sz w:val="24"/>
          <w:szCs w:val="24"/>
        </w:rPr>
        <w:t xml:space="preserve"> PIK3CA</w:t>
      </w:r>
      <w:r w:rsidRPr="7608B333">
        <w:rPr>
          <w:sz w:val="24"/>
          <w:szCs w:val="24"/>
          <w:vertAlign w:val="superscript"/>
        </w:rPr>
        <w:t>H1047R</w:t>
      </w:r>
      <w:r w:rsidRPr="7608B333">
        <w:rPr>
          <w:sz w:val="24"/>
          <w:szCs w:val="24"/>
        </w:rPr>
        <w:t>-iHBEC</w:t>
      </w:r>
      <w:r w:rsidRPr="7608B333">
        <w:rPr>
          <w:sz w:val="24"/>
          <w:szCs w:val="24"/>
          <w:vertAlign w:val="superscript"/>
        </w:rPr>
        <w:t>CD117</w:t>
      </w:r>
      <w:r w:rsidRPr="7608B333">
        <w:rPr>
          <w:sz w:val="24"/>
          <w:szCs w:val="24"/>
        </w:rPr>
        <w:t xml:space="preserve"> in NOG mice stained for OLFM4 (red) and DAPI staining of nuclei (blue). In breast tissue, when OLFM4 staining was detected, it was restricted to ducts (8 out of 10 biopsies).  Note staining of duct-like structures in breast tissue and in some of the profiles in NOG mice. Scale bar = 100 µm (A) and 50 µm (B). </w:t>
      </w:r>
    </w:p>
    <w:p w:rsidR="00945299" w:rsidRDefault="00945299" w:rsidP="00945299">
      <w:pPr>
        <w:rPr>
          <w:b/>
          <w:bCs/>
          <w:sz w:val="24"/>
          <w:szCs w:val="24"/>
        </w:rPr>
      </w:pPr>
      <w:r>
        <w:rPr>
          <w:b/>
          <w:bCs/>
          <w:sz w:val="24"/>
          <w:szCs w:val="24"/>
        </w:rPr>
        <w:br w:type="page"/>
      </w:r>
    </w:p>
    <w:p w:rsidR="00945299" w:rsidRDefault="00945299" w:rsidP="00945299">
      <w:pPr>
        <w:spacing w:line="480" w:lineRule="auto"/>
        <w:jc w:val="both"/>
        <w:rPr>
          <w:sz w:val="24"/>
          <w:szCs w:val="24"/>
        </w:rPr>
      </w:pPr>
      <w:r>
        <w:rPr>
          <w:b/>
          <w:noProof/>
          <w:sz w:val="24"/>
          <w:szCs w:val="24"/>
          <w:lang w:eastAsia="en-IN"/>
        </w:rPr>
        <w:lastRenderedPageBreak/>
        <w:drawing>
          <wp:inline distT="0" distB="0" distL="0" distR="0" wp14:anchorId="58C0F460" wp14:editId="7D6BE475">
            <wp:extent cx="5725160" cy="5799455"/>
            <wp:effectExtent l="0" t="0" r="8890" b="0"/>
            <wp:docPr id="6" name="Picture 6" descr="C:\Users\tqz630\AppData\Local\Microsoft\Windows\INetCache\Content.Word\Supplementary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qz630\AppData\Local\Microsoft\Windows\INetCache\Content.Word\SupplementaryFigure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5160" cy="5799455"/>
                    </a:xfrm>
                    <a:prstGeom prst="rect">
                      <a:avLst/>
                    </a:prstGeom>
                    <a:noFill/>
                    <a:ln>
                      <a:noFill/>
                    </a:ln>
                  </pic:spPr>
                </pic:pic>
              </a:graphicData>
            </a:graphic>
          </wp:inline>
        </w:drawing>
      </w:r>
      <w:r w:rsidRPr="00F74ABE">
        <w:rPr>
          <w:b/>
          <w:bCs/>
          <w:sz w:val="24"/>
          <w:szCs w:val="24"/>
        </w:rPr>
        <w:t>Supplementary Fig. 3</w:t>
      </w:r>
      <w:r w:rsidRPr="7608B333">
        <w:rPr>
          <w:sz w:val="24"/>
          <w:szCs w:val="24"/>
        </w:rPr>
        <w:t xml:space="preserve"> PIK3CA</w:t>
      </w:r>
      <w:r w:rsidRPr="7608B333">
        <w:rPr>
          <w:sz w:val="24"/>
          <w:szCs w:val="24"/>
          <w:vertAlign w:val="superscript"/>
        </w:rPr>
        <w:t>H1047R</w:t>
      </w:r>
      <w:r w:rsidRPr="7608B333">
        <w:rPr>
          <w:sz w:val="24"/>
          <w:szCs w:val="24"/>
        </w:rPr>
        <w:t>-iHBEC</w:t>
      </w:r>
      <w:r w:rsidRPr="00F74ABE">
        <w:rPr>
          <w:sz w:val="24"/>
          <w:szCs w:val="24"/>
          <w:vertAlign w:val="superscript"/>
        </w:rPr>
        <w:t>CD117</w:t>
      </w:r>
      <w:r w:rsidRPr="7608B333">
        <w:rPr>
          <w:sz w:val="24"/>
          <w:szCs w:val="24"/>
          <w:vertAlign w:val="superscript"/>
        </w:rPr>
        <w:t xml:space="preserve"> </w:t>
      </w:r>
      <w:r w:rsidRPr="7608B333">
        <w:rPr>
          <w:sz w:val="24"/>
          <w:szCs w:val="24"/>
        </w:rPr>
        <w:t>in organoid culture show expression of ductal markers K23 and OLFM4.</w:t>
      </w:r>
    </w:p>
    <w:p w:rsidR="00945299" w:rsidRDefault="00945299" w:rsidP="00945299">
      <w:pPr>
        <w:spacing w:line="480" w:lineRule="auto"/>
        <w:jc w:val="both"/>
        <w:rPr>
          <w:sz w:val="24"/>
          <w:szCs w:val="24"/>
        </w:rPr>
      </w:pPr>
      <w:r w:rsidRPr="7608B333">
        <w:rPr>
          <w:sz w:val="24"/>
          <w:szCs w:val="24"/>
        </w:rPr>
        <w:t>PIK3CA</w:t>
      </w:r>
      <w:r w:rsidRPr="7608B333">
        <w:rPr>
          <w:sz w:val="24"/>
          <w:szCs w:val="24"/>
          <w:vertAlign w:val="superscript"/>
        </w:rPr>
        <w:t>H1047R</w:t>
      </w:r>
      <w:r w:rsidRPr="7608B333">
        <w:rPr>
          <w:sz w:val="24"/>
          <w:szCs w:val="24"/>
        </w:rPr>
        <w:t>-iHBEC</w:t>
      </w:r>
      <w:r w:rsidRPr="00F74ABE">
        <w:rPr>
          <w:sz w:val="24"/>
          <w:szCs w:val="24"/>
          <w:vertAlign w:val="superscript"/>
        </w:rPr>
        <w:t>CD117</w:t>
      </w:r>
      <w:r w:rsidRPr="7608B333">
        <w:rPr>
          <w:sz w:val="24"/>
          <w:szCs w:val="24"/>
        </w:rPr>
        <w:t xml:space="preserve"> organoid cultures were stained for CALML5 (green) and K23 (red) (A) and CALML5 (green) and OLFM4 (red) (B). While no staining of CALML5 was observed, K23 and OLFM4 were broadly expressed. Scale bar = 50 µm.</w:t>
      </w:r>
    </w:p>
    <w:p w:rsidR="00945299" w:rsidRDefault="00945299" w:rsidP="00945299">
      <w:pPr>
        <w:rPr>
          <w:b/>
          <w:bCs/>
          <w:sz w:val="24"/>
          <w:szCs w:val="24"/>
        </w:rPr>
      </w:pPr>
      <w:r>
        <w:rPr>
          <w:b/>
          <w:bCs/>
          <w:sz w:val="24"/>
          <w:szCs w:val="24"/>
        </w:rPr>
        <w:br w:type="page"/>
      </w:r>
    </w:p>
    <w:p w:rsidR="00945299" w:rsidRDefault="00945299" w:rsidP="00945299">
      <w:pPr>
        <w:spacing w:line="480" w:lineRule="auto"/>
        <w:jc w:val="both"/>
        <w:rPr>
          <w:sz w:val="24"/>
          <w:szCs w:val="24"/>
        </w:rPr>
      </w:pPr>
      <w:r>
        <w:rPr>
          <w:b/>
          <w:bCs/>
          <w:noProof/>
          <w:sz w:val="24"/>
          <w:szCs w:val="24"/>
          <w:lang w:eastAsia="en-IN"/>
        </w:rPr>
        <w:lastRenderedPageBreak/>
        <w:drawing>
          <wp:inline distT="0" distB="0" distL="0" distR="0">
            <wp:extent cx="5343525" cy="7772400"/>
            <wp:effectExtent l="0" t="0" r="9525" b="0"/>
            <wp:docPr id="2" name="Picture 2" descr="Supplementary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ementaryFigure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3525" cy="7772400"/>
                    </a:xfrm>
                    <a:prstGeom prst="rect">
                      <a:avLst/>
                    </a:prstGeom>
                    <a:noFill/>
                    <a:ln>
                      <a:noFill/>
                    </a:ln>
                  </pic:spPr>
                </pic:pic>
              </a:graphicData>
            </a:graphic>
          </wp:inline>
        </w:drawing>
      </w:r>
      <w:r w:rsidRPr="7608B333">
        <w:rPr>
          <w:b/>
          <w:bCs/>
          <w:sz w:val="24"/>
          <w:szCs w:val="24"/>
        </w:rPr>
        <w:t xml:space="preserve">Supplementary Fig. </w:t>
      </w:r>
      <w:r>
        <w:rPr>
          <w:b/>
          <w:bCs/>
          <w:sz w:val="24"/>
          <w:szCs w:val="24"/>
        </w:rPr>
        <w:t>4</w:t>
      </w:r>
      <w:r w:rsidRPr="7608B333">
        <w:rPr>
          <w:sz w:val="24"/>
          <w:szCs w:val="24"/>
        </w:rPr>
        <w:t xml:space="preserve"> </w:t>
      </w:r>
      <w:proofErr w:type="gramStart"/>
      <w:r w:rsidRPr="7608B333">
        <w:rPr>
          <w:sz w:val="24"/>
          <w:szCs w:val="24"/>
        </w:rPr>
        <w:t>A</w:t>
      </w:r>
      <w:proofErr w:type="gramEnd"/>
      <w:r w:rsidRPr="7608B333">
        <w:rPr>
          <w:sz w:val="24"/>
          <w:szCs w:val="24"/>
        </w:rPr>
        <w:t xml:space="preserve"> subset of PIK3CA</w:t>
      </w:r>
      <w:r w:rsidRPr="7608B333">
        <w:rPr>
          <w:sz w:val="24"/>
          <w:szCs w:val="24"/>
          <w:vertAlign w:val="superscript"/>
        </w:rPr>
        <w:t>H1047R</w:t>
      </w:r>
      <w:r w:rsidRPr="7608B333">
        <w:rPr>
          <w:sz w:val="24"/>
          <w:szCs w:val="24"/>
        </w:rPr>
        <w:t>-iHBEC</w:t>
      </w:r>
      <w:r w:rsidRPr="7608B333">
        <w:rPr>
          <w:sz w:val="24"/>
          <w:szCs w:val="24"/>
          <w:vertAlign w:val="superscript"/>
        </w:rPr>
        <w:t>CD117</w:t>
      </w:r>
      <w:r w:rsidRPr="7608B333">
        <w:rPr>
          <w:sz w:val="24"/>
          <w:szCs w:val="24"/>
        </w:rPr>
        <w:t xml:space="preserve"> can give rise to the myoepithelial-like cells.</w:t>
      </w:r>
    </w:p>
    <w:p w:rsidR="00945299" w:rsidRPr="00BA536B" w:rsidRDefault="00945299" w:rsidP="00945299">
      <w:pPr>
        <w:spacing w:line="480" w:lineRule="auto"/>
        <w:jc w:val="both"/>
        <w:rPr>
          <w:sz w:val="24"/>
          <w:szCs w:val="24"/>
        </w:rPr>
      </w:pPr>
      <w:r w:rsidRPr="7608B333">
        <w:rPr>
          <w:b/>
          <w:bCs/>
          <w:sz w:val="24"/>
          <w:szCs w:val="24"/>
        </w:rPr>
        <w:lastRenderedPageBreak/>
        <w:t>A</w:t>
      </w:r>
      <w:r w:rsidRPr="7608B333">
        <w:rPr>
          <w:sz w:val="24"/>
          <w:szCs w:val="24"/>
        </w:rPr>
        <w:t xml:space="preserve"> </w:t>
      </w:r>
      <w:proofErr w:type="spellStart"/>
      <w:r w:rsidRPr="7608B333">
        <w:rPr>
          <w:sz w:val="24"/>
          <w:szCs w:val="24"/>
        </w:rPr>
        <w:t>Heatmap</w:t>
      </w:r>
      <w:proofErr w:type="spellEnd"/>
      <w:r w:rsidRPr="7608B333">
        <w:rPr>
          <w:sz w:val="24"/>
          <w:szCs w:val="24"/>
        </w:rPr>
        <w:t xml:space="preserve"> showing expression profiles of the luminal- and myoepithelial-like lineage in FACS sorted TROP2</w:t>
      </w:r>
      <w:r w:rsidRPr="7608B333">
        <w:rPr>
          <w:sz w:val="24"/>
          <w:szCs w:val="24"/>
          <w:vertAlign w:val="superscript"/>
          <w:lang w:val="en-US"/>
        </w:rPr>
        <w:t>+</w:t>
      </w:r>
      <w:r w:rsidRPr="7608B333">
        <w:rPr>
          <w:sz w:val="24"/>
          <w:szCs w:val="24"/>
          <w:lang w:val="en-US"/>
        </w:rPr>
        <w:t>/</w:t>
      </w:r>
      <w:r w:rsidRPr="7608B333">
        <w:rPr>
          <w:sz w:val="24"/>
          <w:szCs w:val="24"/>
        </w:rPr>
        <w:t>CD271</w:t>
      </w:r>
      <w:r w:rsidRPr="7608B333">
        <w:rPr>
          <w:sz w:val="24"/>
          <w:szCs w:val="24"/>
          <w:vertAlign w:val="superscript"/>
        </w:rPr>
        <w:t>-</w:t>
      </w:r>
      <w:r w:rsidRPr="7608B333">
        <w:rPr>
          <w:sz w:val="24"/>
          <w:szCs w:val="24"/>
        </w:rPr>
        <w:t xml:space="preserve"> (CD271</w:t>
      </w:r>
      <w:r w:rsidRPr="7608B333">
        <w:rPr>
          <w:sz w:val="24"/>
          <w:szCs w:val="24"/>
          <w:vertAlign w:val="superscript"/>
        </w:rPr>
        <w:t>-</w:t>
      </w:r>
      <w:r w:rsidRPr="7608B333">
        <w:rPr>
          <w:sz w:val="24"/>
          <w:szCs w:val="24"/>
        </w:rPr>
        <w:t>) and TROP2</w:t>
      </w:r>
      <w:r w:rsidRPr="7608B333">
        <w:rPr>
          <w:sz w:val="24"/>
          <w:szCs w:val="24"/>
          <w:vertAlign w:val="superscript"/>
          <w:lang w:val="en-US"/>
        </w:rPr>
        <w:t>+</w:t>
      </w:r>
      <w:r w:rsidRPr="7608B333">
        <w:rPr>
          <w:sz w:val="24"/>
          <w:szCs w:val="24"/>
          <w:lang w:val="en-US"/>
        </w:rPr>
        <w:t>/</w:t>
      </w:r>
      <w:r w:rsidRPr="7608B333">
        <w:rPr>
          <w:sz w:val="24"/>
          <w:szCs w:val="24"/>
        </w:rPr>
        <w:t>CD271</w:t>
      </w:r>
      <w:r w:rsidRPr="7608B333">
        <w:rPr>
          <w:sz w:val="24"/>
          <w:szCs w:val="24"/>
          <w:vertAlign w:val="superscript"/>
        </w:rPr>
        <w:t>+</w:t>
      </w:r>
      <w:r w:rsidRPr="7608B333">
        <w:rPr>
          <w:sz w:val="24"/>
          <w:szCs w:val="24"/>
        </w:rPr>
        <w:t>(CD271</w:t>
      </w:r>
      <w:r w:rsidRPr="7608B333">
        <w:rPr>
          <w:sz w:val="24"/>
          <w:szCs w:val="24"/>
          <w:vertAlign w:val="superscript"/>
        </w:rPr>
        <w:t>+</w:t>
      </w:r>
      <w:r w:rsidRPr="7608B333">
        <w:rPr>
          <w:sz w:val="24"/>
          <w:szCs w:val="24"/>
        </w:rPr>
        <w:t>) cells from the PIK3CA</w:t>
      </w:r>
      <w:r w:rsidRPr="7608B333">
        <w:rPr>
          <w:sz w:val="24"/>
          <w:szCs w:val="24"/>
          <w:vertAlign w:val="superscript"/>
        </w:rPr>
        <w:t>H1047R</w:t>
      </w:r>
      <w:r w:rsidRPr="7608B333">
        <w:rPr>
          <w:sz w:val="24"/>
          <w:szCs w:val="24"/>
        </w:rPr>
        <w:t>-iHBEC</w:t>
      </w:r>
      <w:r w:rsidRPr="7608B333">
        <w:rPr>
          <w:sz w:val="24"/>
          <w:szCs w:val="24"/>
          <w:vertAlign w:val="superscript"/>
        </w:rPr>
        <w:t>CD117</w:t>
      </w:r>
      <w:r w:rsidRPr="7608B333">
        <w:rPr>
          <w:sz w:val="24"/>
          <w:szCs w:val="24"/>
        </w:rPr>
        <w:t xml:space="preserve"> progenitor cell line. FPKM expression values are scaled across each gene, with red and yellow representing high and low relative expression, respectively (n=2 per group). While CD271</w:t>
      </w:r>
      <w:r w:rsidRPr="7608B333">
        <w:rPr>
          <w:sz w:val="24"/>
          <w:szCs w:val="24"/>
          <w:vertAlign w:val="superscript"/>
        </w:rPr>
        <w:t>-</w:t>
      </w:r>
      <w:r w:rsidRPr="7608B333">
        <w:rPr>
          <w:sz w:val="24"/>
          <w:szCs w:val="24"/>
        </w:rPr>
        <w:t xml:space="preserve"> cells show high expression of luminal-specific genes, myoepithelial markers are highly expressed in CD271</w:t>
      </w:r>
      <w:r w:rsidRPr="7608B333">
        <w:rPr>
          <w:sz w:val="24"/>
          <w:szCs w:val="24"/>
          <w:vertAlign w:val="superscript"/>
        </w:rPr>
        <w:t>+</w:t>
      </w:r>
      <w:r w:rsidRPr="7608B333">
        <w:rPr>
          <w:sz w:val="24"/>
          <w:szCs w:val="24"/>
        </w:rPr>
        <w:t xml:space="preserve"> cells. </w:t>
      </w:r>
      <w:r w:rsidRPr="7608B333">
        <w:rPr>
          <w:b/>
          <w:bCs/>
          <w:sz w:val="24"/>
          <w:szCs w:val="24"/>
        </w:rPr>
        <w:t>B</w:t>
      </w:r>
      <w:r w:rsidRPr="7608B333">
        <w:rPr>
          <w:sz w:val="24"/>
          <w:szCs w:val="24"/>
        </w:rPr>
        <w:t xml:space="preserve"> Dot plots showing the frequency of structures positive for K14 in ground state culture versus differentiation conditions in three experiments with two clones. 3D9 clone is able to give rise to K14</w:t>
      </w:r>
      <w:r w:rsidRPr="7608B333">
        <w:rPr>
          <w:sz w:val="24"/>
          <w:szCs w:val="24"/>
          <w:vertAlign w:val="superscript"/>
        </w:rPr>
        <w:t>+</w:t>
      </w:r>
      <w:r w:rsidRPr="7608B333">
        <w:rPr>
          <w:sz w:val="24"/>
          <w:szCs w:val="24"/>
        </w:rPr>
        <w:t xml:space="preserve"> cells (left), while 2D10 is more luminal-restricted (right). *p &lt; 0.05; ns=not significant, tested by two-tailed t test.</w:t>
      </w:r>
    </w:p>
    <w:p w:rsidR="00945299" w:rsidRDefault="00945299" w:rsidP="00945299">
      <w:pPr>
        <w:rPr>
          <w:b/>
          <w:bCs/>
          <w:sz w:val="24"/>
          <w:szCs w:val="24"/>
        </w:rPr>
      </w:pPr>
      <w:r>
        <w:rPr>
          <w:b/>
          <w:bCs/>
          <w:sz w:val="24"/>
          <w:szCs w:val="24"/>
        </w:rPr>
        <w:br w:type="page"/>
      </w:r>
    </w:p>
    <w:p w:rsidR="00945299" w:rsidRDefault="00945299" w:rsidP="00945299">
      <w:pPr>
        <w:spacing w:line="480" w:lineRule="auto"/>
        <w:jc w:val="both"/>
        <w:rPr>
          <w:sz w:val="24"/>
          <w:szCs w:val="24"/>
        </w:rPr>
      </w:pPr>
      <w:r>
        <w:rPr>
          <w:b/>
          <w:bCs/>
          <w:noProof/>
          <w:sz w:val="24"/>
          <w:szCs w:val="24"/>
          <w:lang w:eastAsia="en-IN"/>
        </w:rPr>
        <w:lastRenderedPageBreak/>
        <w:drawing>
          <wp:inline distT="0" distB="0" distL="0" distR="0">
            <wp:extent cx="5057775" cy="7343775"/>
            <wp:effectExtent l="0" t="0" r="9525" b="9525"/>
            <wp:docPr id="1" name="Picture 1" descr="Supplementary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pplementaryFigure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7775" cy="7343775"/>
                    </a:xfrm>
                    <a:prstGeom prst="rect">
                      <a:avLst/>
                    </a:prstGeom>
                    <a:noFill/>
                    <a:ln>
                      <a:noFill/>
                    </a:ln>
                  </pic:spPr>
                </pic:pic>
              </a:graphicData>
            </a:graphic>
          </wp:inline>
        </w:drawing>
      </w:r>
      <w:r w:rsidRPr="00F74ABE">
        <w:rPr>
          <w:b/>
          <w:bCs/>
          <w:sz w:val="24"/>
          <w:szCs w:val="24"/>
        </w:rPr>
        <w:t xml:space="preserve">Supplementary Fig. </w:t>
      </w:r>
      <w:r>
        <w:rPr>
          <w:b/>
          <w:bCs/>
          <w:sz w:val="24"/>
          <w:szCs w:val="24"/>
        </w:rPr>
        <w:t>5</w:t>
      </w:r>
      <w:r w:rsidRPr="7608B333">
        <w:rPr>
          <w:sz w:val="24"/>
          <w:szCs w:val="24"/>
        </w:rPr>
        <w:t xml:space="preserve"> Structures from PIK3CA</w:t>
      </w:r>
      <w:r w:rsidRPr="7608B333">
        <w:rPr>
          <w:sz w:val="24"/>
          <w:szCs w:val="24"/>
          <w:vertAlign w:val="superscript"/>
        </w:rPr>
        <w:t>H1047R</w:t>
      </w:r>
      <w:r w:rsidRPr="7608B333">
        <w:rPr>
          <w:sz w:val="24"/>
          <w:szCs w:val="24"/>
        </w:rPr>
        <w:t>-iHBEC</w:t>
      </w:r>
      <w:r w:rsidRPr="00F74ABE">
        <w:rPr>
          <w:sz w:val="24"/>
          <w:szCs w:val="24"/>
          <w:vertAlign w:val="superscript"/>
        </w:rPr>
        <w:t>CD117</w:t>
      </w:r>
      <w:r w:rsidRPr="7608B333">
        <w:rPr>
          <w:sz w:val="24"/>
          <w:szCs w:val="24"/>
        </w:rPr>
        <w:t xml:space="preserve"> in mouse xenografts resemble acini of normal tissue.</w:t>
      </w:r>
    </w:p>
    <w:p w:rsidR="00945299" w:rsidRPr="00551D05" w:rsidRDefault="00945299" w:rsidP="00945299">
      <w:pPr>
        <w:spacing w:line="480" w:lineRule="auto"/>
        <w:jc w:val="both"/>
        <w:rPr>
          <w:sz w:val="24"/>
          <w:szCs w:val="24"/>
        </w:rPr>
      </w:pPr>
      <w:proofErr w:type="spellStart"/>
      <w:r w:rsidRPr="5AA2BE20">
        <w:rPr>
          <w:sz w:val="24"/>
          <w:szCs w:val="24"/>
        </w:rPr>
        <w:lastRenderedPageBreak/>
        <w:t>Hematoxylin</w:t>
      </w:r>
      <w:proofErr w:type="spellEnd"/>
      <w:r w:rsidRPr="5AA2BE20">
        <w:rPr>
          <w:sz w:val="24"/>
          <w:szCs w:val="24"/>
        </w:rPr>
        <w:t>/Eosin staining of paraffin embedded samples derived from primary human breast tissue (upper) and mouse xenografts (lower). Scale bars = 50 µm.</w:t>
      </w:r>
    </w:p>
    <w:p w:rsidR="00945299" w:rsidRDefault="00945299" w:rsidP="00945299">
      <w:pPr>
        <w:rPr>
          <w:b/>
          <w:sz w:val="24"/>
          <w:szCs w:val="24"/>
        </w:rPr>
      </w:pPr>
      <w:r>
        <w:rPr>
          <w:b/>
          <w:sz w:val="24"/>
          <w:szCs w:val="24"/>
        </w:rPr>
        <w:br w:type="page"/>
      </w:r>
    </w:p>
    <w:p w:rsidR="00945299" w:rsidRDefault="00945299" w:rsidP="00945299">
      <w:pPr>
        <w:spacing w:line="480" w:lineRule="auto"/>
        <w:jc w:val="both"/>
        <w:rPr>
          <w:sz w:val="24"/>
          <w:szCs w:val="24"/>
        </w:rPr>
      </w:pPr>
      <w:r>
        <w:rPr>
          <w:b/>
          <w:bCs/>
          <w:noProof/>
          <w:sz w:val="24"/>
          <w:szCs w:val="24"/>
          <w:lang w:eastAsia="en-IN"/>
        </w:rPr>
        <w:lastRenderedPageBreak/>
        <w:drawing>
          <wp:inline distT="0" distB="0" distL="0" distR="0" wp14:anchorId="2F2857B0" wp14:editId="39B8C617">
            <wp:extent cx="4951095" cy="7422515"/>
            <wp:effectExtent l="0" t="0" r="1905" b="6985"/>
            <wp:docPr id="7" name="Picture 7" descr="C:\Users\tqz630\AppData\Local\Microsoft\Windows\INetCache\Content.Word\SupplementaryFig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qz630\AppData\Local\Microsoft\Windows\INetCache\Content.Word\SupplementaryFigure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1095" cy="7422515"/>
                    </a:xfrm>
                    <a:prstGeom prst="rect">
                      <a:avLst/>
                    </a:prstGeom>
                    <a:noFill/>
                    <a:ln>
                      <a:noFill/>
                    </a:ln>
                  </pic:spPr>
                </pic:pic>
              </a:graphicData>
            </a:graphic>
          </wp:inline>
        </w:drawing>
      </w:r>
      <w:r w:rsidRPr="00BA536B">
        <w:rPr>
          <w:b/>
          <w:sz w:val="24"/>
          <w:szCs w:val="24"/>
        </w:rPr>
        <w:t xml:space="preserve">Supplementary Fig. </w:t>
      </w:r>
      <w:r>
        <w:rPr>
          <w:b/>
          <w:sz w:val="24"/>
          <w:szCs w:val="24"/>
        </w:rPr>
        <w:t>6</w:t>
      </w:r>
      <w:r w:rsidRPr="00BA536B">
        <w:rPr>
          <w:b/>
          <w:sz w:val="24"/>
          <w:szCs w:val="24"/>
        </w:rPr>
        <w:t xml:space="preserve"> </w:t>
      </w:r>
      <w:proofErr w:type="spellStart"/>
      <w:r>
        <w:rPr>
          <w:sz w:val="24"/>
          <w:szCs w:val="24"/>
        </w:rPr>
        <w:t>B</w:t>
      </w:r>
      <w:r w:rsidRPr="00BA536B">
        <w:rPr>
          <w:sz w:val="24"/>
          <w:szCs w:val="24"/>
        </w:rPr>
        <w:t>ipotent</w:t>
      </w:r>
      <w:proofErr w:type="spellEnd"/>
      <w:r w:rsidRPr="00BA536B">
        <w:rPr>
          <w:sz w:val="24"/>
          <w:szCs w:val="24"/>
        </w:rPr>
        <w:t xml:space="preserve"> </w:t>
      </w:r>
      <w:r>
        <w:rPr>
          <w:sz w:val="24"/>
          <w:szCs w:val="24"/>
        </w:rPr>
        <w:t xml:space="preserve">3D9 clone forms </w:t>
      </w:r>
      <w:r w:rsidRPr="00BA536B">
        <w:rPr>
          <w:sz w:val="24"/>
          <w:szCs w:val="24"/>
        </w:rPr>
        <w:t xml:space="preserve">double layered structures </w:t>
      </w:r>
      <w:r>
        <w:rPr>
          <w:sz w:val="24"/>
          <w:szCs w:val="24"/>
        </w:rPr>
        <w:t xml:space="preserve">in mice. </w:t>
      </w:r>
      <w:r w:rsidRPr="00BA536B">
        <w:rPr>
          <w:sz w:val="24"/>
          <w:szCs w:val="24"/>
        </w:rPr>
        <w:t xml:space="preserve"> </w:t>
      </w:r>
    </w:p>
    <w:p w:rsidR="00945299" w:rsidRDefault="00945299" w:rsidP="00945299">
      <w:pPr>
        <w:spacing w:line="480" w:lineRule="auto"/>
        <w:jc w:val="both"/>
        <w:rPr>
          <w:sz w:val="24"/>
          <w:szCs w:val="24"/>
        </w:rPr>
      </w:pPr>
      <w:proofErr w:type="spellStart"/>
      <w:r w:rsidRPr="7608B333">
        <w:rPr>
          <w:sz w:val="24"/>
          <w:szCs w:val="24"/>
        </w:rPr>
        <w:t>Multicolor</w:t>
      </w:r>
      <w:proofErr w:type="spellEnd"/>
      <w:r w:rsidRPr="7608B333">
        <w:rPr>
          <w:sz w:val="24"/>
          <w:szCs w:val="24"/>
        </w:rPr>
        <w:t xml:space="preserve"> imaging of 3D9 </w:t>
      </w:r>
      <w:proofErr w:type="spellStart"/>
      <w:r w:rsidRPr="7608B333">
        <w:rPr>
          <w:sz w:val="24"/>
          <w:szCs w:val="24"/>
        </w:rPr>
        <w:t>sc</w:t>
      </w:r>
      <w:proofErr w:type="spellEnd"/>
      <w:r w:rsidRPr="7608B333">
        <w:rPr>
          <w:sz w:val="24"/>
          <w:szCs w:val="24"/>
        </w:rPr>
        <w:t xml:space="preserve"> clone transplanted into NOG mice. Cryostat sections were stained for K19 (red), K14 (green, upper) and </w:t>
      </w:r>
      <w:proofErr w:type="spellStart"/>
      <w:r w:rsidRPr="7608B333">
        <w:rPr>
          <w:sz w:val="24"/>
          <w:szCs w:val="24"/>
        </w:rPr>
        <w:t>aSMA</w:t>
      </w:r>
      <w:proofErr w:type="spellEnd"/>
      <w:r w:rsidRPr="7608B333">
        <w:rPr>
          <w:sz w:val="24"/>
          <w:szCs w:val="24"/>
        </w:rPr>
        <w:t xml:space="preserve"> (green, lower). As with the PIK3CA</w:t>
      </w:r>
      <w:r w:rsidRPr="7608B333">
        <w:rPr>
          <w:sz w:val="24"/>
          <w:szCs w:val="24"/>
          <w:vertAlign w:val="superscript"/>
        </w:rPr>
        <w:t>H1047R</w:t>
      </w:r>
      <w:r w:rsidRPr="7608B333">
        <w:rPr>
          <w:sz w:val="24"/>
          <w:szCs w:val="24"/>
        </w:rPr>
        <w:t>-</w:t>
      </w:r>
      <w:r w:rsidRPr="7608B333">
        <w:rPr>
          <w:sz w:val="24"/>
          <w:szCs w:val="24"/>
        </w:rPr>
        <w:lastRenderedPageBreak/>
        <w:t>iHBEC</w:t>
      </w:r>
      <w:r w:rsidRPr="7608B333">
        <w:rPr>
          <w:sz w:val="24"/>
          <w:szCs w:val="24"/>
          <w:vertAlign w:val="superscript"/>
        </w:rPr>
        <w:t>CD117</w:t>
      </w:r>
      <w:r w:rsidRPr="7608B333">
        <w:rPr>
          <w:sz w:val="24"/>
          <w:szCs w:val="24"/>
        </w:rPr>
        <w:t xml:space="preserve"> parental progenitors, the single cell derived clone </w:t>
      </w:r>
      <w:r>
        <w:rPr>
          <w:sz w:val="24"/>
          <w:szCs w:val="24"/>
        </w:rPr>
        <w:t xml:space="preserve">3D9 </w:t>
      </w:r>
      <w:r w:rsidRPr="7608B333">
        <w:rPr>
          <w:sz w:val="24"/>
          <w:szCs w:val="24"/>
        </w:rPr>
        <w:t>forms double layered structures with basal K14</w:t>
      </w:r>
      <w:r w:rsidRPr="7608B333">
        <w:rPr>
          <w:sz w:val="24"/>
          <w:szCs w:val="24"/>
          <w:vertAlign w:val="superscript"/>
        </w:rPr>
        <w:t>+</w:t>
      </w:r>
      <w:r w:rsidRPr="7608B333">
        <w:rPr>
          <w:sz w:val="24"/>
          <w:szCs w:val="24"/>
        </w:rPr>
        <w:t>/</w:t>
      </w:r>
      <w:proofErr w:type="spellStart"/>
      <w:r w:rsidRPr="7608B333">
        <w:rPr>
          <w:sz w:val="24"/>
          <w:szCs w:val="24"/>
        </w:rPr>
        <w:t>aSMA</w:t>
      </w:r>
      <w:proofErr w:type="spellEnd"/>
      <w:r w:rsidRPr="7608B333">
        <w:rPr>
          <w:sz w:val="24"/>
          <w:szCs w:val="24"/>
          <w:vertAlign w:val="superscript"/>
        </w:rPr>
        <w:t>+</w:t>
      </w:r>
      <w:r w:rsidRPr="7608B333">
        <w:rPr>
          <w:sz w:val="24"/>
          <w:szCs w:val="24"/>
        </w:rPr>
        <w:t xml:space="preserve"> cells</w:t>
      </w:r>
      <w:r>
        <w:rPr>
          <w:sz w:val="24"/>
          <w:szCs w:val="24"/>
        </w:rPr>
        <w:t>, whereas 2D10 clone failed to form structures</w:t>
      </w:r>
      <w:r w:rsidRPr="7608B333">
        <w:rPr>
          <w:sz w:val="24"/>
          <w:szCs w:val="24"/>
        </w:rPr>
        <w:t>.</w:t>
      </w:r>
      <w:r>
        <w:rPr>
          <w:sz w:val="24"/>
          <w:szCs w:val="24"/>
        </w:rPr>
        <w:t xml:space="preserve"> n = 4 injections per clone.</w:t>
      </w:r>
      <w:r w:rsidRPr="7608B333">
        <w:rPr>
          <w:sz w:val="24"/>
          <w:szCs w:val="24"/>
        </w:rPr>
        <w:t xml:space="preserve"> Scale bar = 20 µm.</w:t>
      </w:r>
    </w:p>
    <w:p w:rsidR="00945299" w:rsidRPr="00BA536B" w:rsidRDefault="00945299" w:rsidP="00945299">
      <w:pPr>
        <w:spacing w:line="480" w:lineRule="auto"/>
        <w:jc w:val="both"/>
        <w:rPr>
          <w:sz w:val="24"/>
          <w:szCs w:val="24"/>
        </w:rPr>
      </w:pPr>
    </w:p>
    <w:p w:rsidR="005542AD" w:rsidRDefault="005542AD">
      <w:bookmarkStart w:id="0" w:name="_GoBack"/>
      <w:bookmarkEnd w:id="0"/>
    </w:p>
    <w:sectPr w:rsidR="005542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299"/>
    <w:rsid w:val="00131AEE"/>
    <w:rsid w:val="005542AD"/>
    <w:rsid w:val="00826799"/>
    <w:rsid w:val="00945299"/>
    <w:rsid w:val="00C2577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1C015-574E-4903-880D-1D56FEFD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434</Words>
  <Characters>2475</Characters>
  <Application>Microsoft Office Word</Application>
  <DocSecurity>0</DocSecurity>
  <Lines>20</Lines>
  <Paragraphs>5</Paragraphs>
  <ScaleCrop>false</ScaleCrop>
  <Company>HP Inc.</Company>
  <LinksUpToDate>false</LinksUpToDate>
  <CharactersWithSpaces>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Nandini N</dc:creator>
  <cp:keywords/>
  <dc:description/>
  <cp:lastModifiedBy>Nandini N</cp:lastModifiedBy>
  <cp:revision>1</cp:revision>
  <dcterms:created xsi:type="dcterms:W3CDTF">2024-12-01T13:42:00Z</dcterms:created>
  <dcterms:modified xsi:type="dcterms:W3CDTF">2024-12-01T13:43:00Z</dcterms:modified>
</cp:coreProperties>
</file>