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23665" w14:textId="6A2C02CE" w:rsidR="00E65A7F" w:rsidRDefault="00AD5A49" w:rsidP="00F82186">
      <w:pPr>
        <w:jc w:val="both"/>
        <w:rPr>
          <w:rFonts w:ascii="Times New Roman" w:hAnsi="Times New Roman" w:cs="Times New Roman"/>
          <w:b/>
          <w:bCs/>
          <w:sz w:val="28"/>
          <w:szCs w:val="28"/>
        </w:rPr>
      </w:pPr>
      <w:r w:rsidRPr="00AD5A49">
        <w:rPr>
          <w:rFonts w:ascii="Times New Roman" w:hAnsi="Times New Roman" w:cs="Times New Roman"/>
          <w:b/>
          <w:bCs/>
          <w:sz w:val="28"/>
          <w:szCs w:val="28"/>
        </w:rPr>
        <w:t>Supplementary Materials</w:t>
      </w:r>
    </w:p>
    <w:p w14:paraId="765729F3" w14:textId="77777777" w:rsidR="00AD5A49" w:rsidRDefault="00AD5A49" w:rsidP="00F82186">
      <w:pPr>
        <w:jc w:val="both"/>
        <w:rPr>
          <w:rFonts w:ascii="Times New Roman" w:hAnsi="Times New Roman" w:cs="Times New Roman"/>
          <w:b/>
          <w:bCs/>
        </w:rPr>
      </w:pPr>
    </w:p>
    <w:p w14:paraId="53B2D6BA" w14:textId="3F13D174" w:rsidR="00AD5A49" w:rsidRPr="00F16E8E" w:rsidRDefault="00AD5A49" w:rsidP="00F82186">
      <w:pPr>
        <w:pStyle w:val="Heading2"/>
        <w:jc w:val="both"/>
        <w:rPr>
          <w:rFonts w:ascii="Times New Roman" w:hAnsi="Times New Roman" w:cs="Times New Roman"/>
          <w:b/>
          <w:bCs/>
          <w:color w:val="auto"/>
          <w:sz w:val="24"/>
          <w:szCs w:val="24"/>
        </w:rPr>
      </w:pPr>
      <w:r w:rsidRPr="00F16E8E">
        <w:rPr>
          <w:rFonts w:ascii="Times New Roman" w:hAnsi="Times New Roman" w:cs="Times New Roman"/>
          <w:b/>
          <w:bCs/>
          <w:color w:val="auto"/>
          <w:sz w:val="24"/>
          <w:szCs w:val="24"/>
        </w:rPr>
        <w:t>Supplementary Tables</w:t>
      </w:r>
    </w:p>
    <w:tbl>
      <w:tblPr>
        <w:tblW w:w="9220" w:type="dxa"/>
        <w:tblCellMar>
          <w:left w:w="0" w:type="dxa"/>
          <w:right w:w="0" w:type="dxa"/>
        </w:tblCellMar>
        <w:tblLook w:val="0600" w:firstRow="0" w:lastRow="0" w:firstColumn="0" w:lastColumn="0" w:noHBand="1" w:noVBand="1"/>
      </w:tblPr>
      <w:tblGrid>
        <w:gridCol w:w="2280"/>
        <w:gridCol w:w="2300"/>
        <w:gridCol w:w="1080"/>
        <w:gridCol w:w="2420"/>
        <w:gridCol w:w="1140"/>
      </w:tblGrid>
      <w:tr w:rsidR="004A343C" w:rsidRPr="00412B17" w14:paraId="7778E903" w14:textId="77777777" w:rsidTr="000C61F6">
        <w:trPr>
          <w:trHeight w:val="285"/>
        </w:trPr>
        <w:tc>
          <w:tcPr>
            <w:tcW w:w="9220" w:type="dxa"/>
            <w:gridSpan w:val="5"/>
            <w:tcBorders>
              <w:left w:val="nil"/>
              <w:bottom w:val="single" w:sz="4" w:space="0" w:color="auto"/>
              <w:right w:val="nil"/>
            </w:tcBorders>
            <w:shd w:val="clear" w:color="auto" w:fill="auto"/>
            <w:tcMar>
              <w:top w:w="15" w:type="dxa"/>
              <w:left w:w="15" w:type="dxa"/>
              <w:bottom w:w="0" w:type="dxa"/>
              <w:right w:w="15" w:type="dxa"/>
            </w:tcMar>
            <w:vAlign w:val="bottom"/>
            <w:hideMark/>
          </w:tcPr>
          <w:p w14:paraId="36E7D8E7" w14:textId="77777777" w:rsidR="004A343C" w:rsidRPr="00412B17" w:rsidRDefault="004A343C" w:rsidP="00F82186">
            <w:pPr>
              <w:spacing w:after="0" w:line="240" w:lineRule="auto"/>
              <w:jc w:val="both"/>
              <w:textAlignment w:val="bottom"/>
              <w:rPr>
                <w:rFonts w:ascii="Times New Roman" w:eastAsia="Times New Roman" w:hAnsi="Times New Roman" w:cs="Times New Roman"/>
                <w:b/>
                <w:bCs/>
                <w:kern w:val="0"/>
                <w:sz w:val="20"/>
                <w:szCs w:val="20"/>
                <w14:ligatures w14:val="none"/>
              </w:rPr>
            </w:pPr>
            <w:r w:rsidRPr="00412B17">
              <w:rPr>
                <w:rFonts w:ascii="Times New Roman" w:eastAsia="微软雅黑" w:hAnsi="Times New Roman" w:cs="Times New Roman"/>
                <w:b/>
                <w:bCs/>
                <w:color w:val="000000"/>
                <w:kern w:val="24"/>
                <w:sz w:val="20"/>
                <w:szCs w:val="20"/>
                <w14:ligatures w14:val="none"/>
              </w:rPr>
              <w:t xml:space="preserve">Table </w:t>
            </w:r>
            <w:r w:rsidRPr="003B05EC">
              <w:rPr>
                <w:rFonts w:ascii="Times New Roman" w:eastAsia="微软雅黑" w:hAnsi="Times New Roman" w:cs="Times New Roman" w:hint="eastAsia"/>
                <w:b/>
                <w:bCs/>
                <w:color w:val="000000"/>
                <w:kern w:val="24"/>
                <w:sz w:val="20"/>
                <w:szCs w:val="20"/>
                <w14:ligatures w14:val="none"/>
              </w:rPr>
              <w:t>S1</w:t>
            </w:r>
            <w:r w:rsidRPr="00412B17">
              <w:rPr>
                <w:rFonts w:ascii="Times New Roman" w:eastAsia="微软雅黑" w:hAnsi="Times New Roman" w:cs="Times New Roman"/>
                <w:b/>
                <w:bCs/>
                <w:color w:val="000000"/>
                <w:kern w:val="24"/>
                <w:sz w:val="20"/>
                <w:szCs w:val="20"/>
                <w14:ligatures w14:val="none"/>
              </w:rPr>
              <w:t xml:space="preserve">. Univariate analysis for </w:t>
            </w:r>
            <w:r>
              <w:rPr>
                <w:rFonts w:ascii="Times New Roman" w:eastAsia="微软雅黑" w:hAnsi="Times New Roman" w:cs="Times New Roman" w:hint="eastAsia"/>
                <w:b/>
                <w:bCs/>
                <w:color w:val="000000"/>
                <w:kern w:val="24"/>
                <w:sz w:val="20"/>
                <w:szCs w:val="20"/>
                <w14:ligatures w14:val="none"/>
              </w:rPr>
              <w:t>baseline clinicopathological features</w:t>
            </w:r>
            <w:r w:rsidRPr="00412B17">
              <w:rPr>
                <w:rFonts w:ascii="Times New Roman" w:eastAsia="微软雅黑" w:hAnsi="Times New Roman" w:cs="Times New Roman"/>
                <w:b/>
                <w:bCs/>
                <w:color w:val="000000"/>
                <w:kern w:val="24"/>
                <w:sz w:val="20"/>
                <w:szCs w:val="20"/>
                <w14:ligatures w14:val="none"/>
              </w:rPr>
              <w:t xml:space="preserve"> and survival outcomes</w:t>
            </w:r>
          </w:p>
        </w:tc>
      </w:tr>
      <w:tr w:rsidR="004A343C" w:rsidRPr="00412B17" w14:paraId="073E42BF" w14:textId="77777777" w:rsidTr="000C61F6">
        <w:trPr>
          <w:trHeight w:val="285"/>
        </w:trPr>
        <w:tc>
          <w:tcPr>
            <w:tcW w:w="2280" w:type="dxa"/>
            <w:tcBorders>
              <w:top w:val="single" w:sz="4" w:space="0" w:color="auto"/>
              <w:left w:val="nil"/>
              <w:bottom w:val="nil"/>
              <w:right w:val="nil"/>
            </w:tcBorders>
            <w:shd w:val="clear" w:color="auto" w:fill="auto"/>
            <w:tcMar>
              <w:top w:w="15" w:type="dxa"/>
              <w:left w:w="15" w:type="dxa"/>
              <w:bottom w:w="0" w:type="dxa"/>
              <w:right w:w="15" w:type="dxa"/>
            </w:tcMar>
            <w:vAlign w:val="bottom"/>
            <w:hideMark/>
          </w:tcPr>
          <w:p w14:paraId="749002C9" w14:textId="77777777" w:rsidR="004A343C" w:rsidRPr="00412B17" w:rsidRDefault="004A343C" w:rsidP="00F82186">
            <w:pPr>
              <w:spacing w:after="0" w:line="240" w:lineRule="auto"/>
              <w:jc w:val="both"/>
              <w:rPr>
                <w:rFonts w:ascii="Times New Roman" w:eastAsia="Times New Roman" w:hAnsi="Times New Roman" w:cs="Times New Roman"/>
                <w:kern w:val="0"/>
                <w:sz w:val="20"/>
                <w:szCs w:val="20"/>
                <w14:ligatures w14:val="none"/>
              </w:rPr>
            </w:pPr>
          </w:p>
        </w:tc>
        <w:tc>
          <w:tcPr>
            <w:tcW w:w="3380" w:type="dxa"/>
            <w:gridSpan w:val="2"/>
            <w:tcBorders>
              <w:top w:val="single" w:sz="4" w:space="0" w:color="auto"/>
              <w:left w:val="nil"/>
              <w:bottom w:val="single" w:sz="8" w:space="0" w:color="000000"/>
              <w:right w:val="nil"/>
            </w:tcBorders>
            <w:shd w:val="clear" w:color="auto" w:fill="auto"/>
            <w:tcMar>
              <w:top w:w="15" w:type="dxa"/>
              <w:left w:w="15" w:type="dxa"/>
              <w:bottom w:w="0" w:type="dxa"/>
              <w:right w:w="15" w:type="dxa"/>
            </w:tcMar>
            <w:vAlign w:val="bottom"/>
            <w:hideMark/>
          </w:tcPr>
          <w:p w14:paraId="53C7CC09"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Pr>
                <w:rFonts w:ascii="Times New Roman" w:eastAsia="微软雅黑" w:hAnsi="Times New Roman" w:cs="Times New Roman" w:hint="eastAsia"/>
                <w:color w:val="000000"/>
                <w:kern w:val="24"/>
                <w:sz w:val="20"/>
                <w:szCs w:val="20"/>
                <w14:ligatures w14:val="none"/>
              </w:rPr>
              <w:t>Disease-free survival</w:t>
            </w:r>
          </w:p>
        </w:tc>
        <w:tc>
          <w:tcPr>
            <w:tcW w:w="3560" w:type="dxa"/>
            <w:gridSpan w:val="2"/>
            <w:tcBorders>
              <w:top w:val="single" w:sz="4" w:space="0" w:color="auto"/>
              <w:left w:val="nil"/>
              <w:bottom w:val="single" w:sz="8" w:space="0" w:color="000000"/>
              <w:right w:val="nil"/>
            </w:tcBorders>
            <w:shd w:val="clear" w:color="auto" w:fill="auto"/>
            <w:tcMar>
              <w:top w:w="15" w:type="dxa"/>
              <w:left w:w="15" w:type="dxa"/>
              <w:bottom w:w="0" w:type="dxa"/>
              <w:right w:w="15" w:type="dxa"/>
            </w:tcMar>
            <w:vAlign w:val="bottom"/>
            <w:hideMark/>
          </w:tcPr>
          <w:p w14:paraId="32EB4837"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Pr>
                <w:rFonts w:ascii="Times New Roman" w:eastAsia="微软雅黑" w:hAnsi="Times New Roman" w:cs="Times New Roman" w:hint="eastAsia"/>
                <w:color w:val="000000"/>
                <w:kern w:val="24"/>
                <w:sz w:val="20"/>
                <w:szCs w:val="20"/>
                <w14:ligatures w14:val="none"/>
              </w:rPr>
              <w:t>Overall survival</w:t>
            </w:r>
          </w:p>
        </w:tc>
      </w:tr>
      <w:tr w:rsidR="004A343C" w:rsidRPr="00412B17" w14:paraId="234B93AC" w14:textId="77777777" w:rsidTr="000C61F6">
        <w:trPr>
          <w:trHeight w:val="285"/>
        </w:trPr>
        <w:tc>
          <w:tcPr>
            <w:tcW w:w="228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7A9347EA"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Variable</w:t>
            </w:r>
          </w:p>
        </w:tc>
        <w:tc>
          <w:tcPr>
            <w:tcW w:w="2300" w:type="dxa"/>
            <w:tcBorders>
              <w:top w:val="single" w:sz="8" w:space="0" w:color="000000"/>
              <w:left w:val="nil"/>
              <w:bottom w:val="single" w:sz="4" w:space="0" w:color="auto"/>
              <w:right w:val="nil"/>
            </w:tcBorders>
            <w:shd w:val="clear" w:color="auto" w:fill="auto"/>
            <w:tcMar>
              <w:top w:w="15" w:type="dxa"/>
              <w:left w:w="15" w:type="dxa"/>
              <w:bottom w:w="0" w:type="dxa"/>
              <w:right w:w="15" w:type="dxa"/>
            </w:tcMar>
            <w:vAlign w:val="bottom"/>
            <w:hideMark/>
          </w:tcPr>
          <w:p w14:paraId="7F3AD47D"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HR (95% CI)</w:t>
            </w:r>
          </w:p>
        </w:tc>
        <w:tc>
          <w:tcPr>
            <w:tcW w:w="1080" w:type="dxa"/>
            <w:tcBorders>
              <w:top w:val="single" w:sz="8" w:space="0" w:color="000000"/>
              <w:left w:val="nil"/>
              <w:bottom w:val="single" w:sz="4" w:space="0" w:color="auto"/>
              <w:right w:val="nil"/>
            </w:tcBorders>
            <w:shd w:val="clear" w:color="auto" w:fill="auto"/>
            <w:tcMar>
              <w:top w:w="15" w:type="dxa"/>
              <w:left w:w="15" w:type="dxa"/>
              <w:bottom w:w="0" w:type="dxa"/>
              <w:right w:w="15" w:type="dxa"/>
            </w:tcMar>
            <w:vAlign w:val="bottom"/>
            <w:hideMark/>
          </w:tcPr>
          <w:p w14:paraId="0EF6C29D"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i/>
                <w:iCs/>
                <w:color w:val="000000"/>
                <w:kern w:val="24"/>
                <w:sz w:val="20"/>
                <w:szCs w:val="20"/>
                <w14:ligatures w14:val="none"/>
              </w:rPr>
              <w:t>P</w:t>
            </w:r>
            <w:r w:rsidRPr="00412B17">
              <w:rPr>
                <w:rFonts w:ascii="Times New Roman" w:eastAsia="微软雅黑" w:hAnsi="Times New Roman" w:cs="Times New Roman"/>
                <w:color w:val="000000"/>
                <w:kern w:val="24"/>
                <w:sz w:val="20"/>
                <w:szCs w:val="20"/>
                <w14:ligatures w14:val="none"/>
              </w:rPr>
              <w:t>-value</w:t>
            </w:r>
          </w:p>
        </w:tc>
        <w:tc>
          <w:tcPr>
            <w:tcW w:w="2420" w:type="dxa"/>
            <w:tcBorders>
              <w:top w:val="single" w:sz="8" w:space="0" w:color="000000"/>
              <w:left w:val="nil"/>
              <w:bottom w:val="single" w:sz="4" w:space="0" w:color="auto"/>
              <w:right w:val="nil"/>
            </w:tcBorders>
            <w:shd w:val="clear" w:color="auto" w:fill="auto"/>
            <w:tcMar>
              <w:top w:w="15" w:type="dxa"/>
              <w:left w:w="15" w:type="dxa"/>
              <w:bottom w:w="0" w:type="dxa"/>
              <w:right w:w="15" w:type="dxa"/>
            </w:tcMar>
            <w:vAlign w:val="bottom"/>
            <w:hideMark/>
          </w:tcPr>
          <w:p w14:paraId="2B94B69C"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HR (95% CI)</w:t>
            </w:r>
          </w:p>
        </w:tc>
        <w:tc>
          <w:tcPr>
            <w:tcW w:w="1140" w:type="dxa"/>
            <w:tcBorders>
              <w:top w:val="single" w:sz="8" w:space="0" w:color="000000"/>
              <w:left w:val="nil"/>
              <w:bottom w:val="single" w:sz="4" w:space="0" w:color="auto"/>
              <w:right w:val="nil"/>
            </w:tcBorders>
            <w:shd w:val="clear" w:color="auto" w:fill="auto"/>
            <w:tcMar>
              <w:top w:w="15" w:type="dxa"/>
              <w:left w:w="15" w:type="dxa"/>
              <w:bottom w:w="0" w:type="dxa"/>
              <w:right w:w="15" w:type="dxa"/>
            </w:tcMar>
            <w:vAlign w:val="bottom"/>
            <w:hideMark/>
          </w:tcPr>
          <w:p w14:paraId="032E53A5"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i/>
                <w:iCs/>
                <w:color w:val="000000"/>
                <w:kern w:val="24"/>
                <w:sz w:val="20"/>
                <w:szCs w:val="20"/>
                <w14:ligatures w14:val="none"/>
              </w:rPr>
              <w:t>P</w:t>
            </w:r>
            <w:r w:rsidRPr="00412B17">
              <w:rPr>
                <w:rFonts w:ascii="Times New Roman" w:eastAsia="微软雅黑" w:hAnsi="Times New Roman" w:cs="Times New Roman"/>
                <w:color w:val="000000"/>
                <w:kern w:val="24"/>
                <w:sz w:val="20"/>
                <w:szCs w:val="20"/>
                <w14:ligatures w14:val="none"/>
              </w:rPr>
              <w:t>-value</w:t>
            </w:r>
          </w:p>
        </w:tc>
      </w:tr>
      <w:tr w:rsidR="004A343C" w:rsidRPr="00412B17" w14:paraId="0A753B6F" w14:textId="77777777" w:rsidTr="000C61F6">
        <w:trPr>
          <w:trHeight w:val="285"/>
        </w:trPr>
        <w:tc>
          <w:tcPr>
            <w:tcW w:w="2280" w:type="dxa"/>
            <w:tcBorders>
              <w:top w:val="single" w:sz="4" w:space="0" w:color="auto"/>
              <w:left w:val="nil"/>
              <w:bottom w:val="nil"/>
              <w:right w:val="nil"/>
            </w:tcBorders>
            <w:shd w:val="clear" w:color="auto" w:fill="auto"/>
            <w:tcMar>
              <w:top w:w="15" w:type="dxa"/>
              <w:left w:w="15" w:type="dxa"/>
              <w:bottom w:w="0" w:type="dxa"/>
              <w:right w:w="15" w:type="dxa"/>
            </w:tcMar>
            <w:vAlign w:val="bottom"/>
            <w:hideMark/>
          </w:tcPr>
          <w:p w14:paraId="256CDFD7"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Clinical stage (III vs. II)</w:t>
            </w:r>
          </w:p>
        </w:tc>
        <w:tc>
          <w:tcPr>
            <w:tcW w:w="2300" w:type="dxa"/>
            <w:tcBorders>
              <w:top w:val="single" w:sz="4" w:space="0" w:color="auto"/>
              <w:left w:val="nil"/>
              <w:bottom w:val="nil"/>
              <w:right w:val="nil"/>
            </w:tcBorders>
            <w:shd w:val="clear" w:color="auto" w:fill="auto"/>
            <w:tcMar>
              <w:top w:w="15" w:type="dxa"/>
              <w:left w:w="15" w:type="dxa"/>
              <w:bottom w:w="0" w:type="dxa"/>
              <w:right w:w="15" w:type="dxa"/>
            </w:tcMar>
            <w:vAlign w:val="bottom"/>
            <w:hideMark/>
          </w:tcPr>
          <w:p w14:paraId="5CD407FB"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6.09 (1.45-25.56)</w:t>
            </w:r>
          </w:p>
        </w:tc>
        <w:tc>
          <w:tcPr>
            <w:tcW w:w="1080" w:type="dxa"/>
            <w:tcBorders>
              <w:top w:val="single" w:sz="4" w:space="0" w:color="auto"/>
              <w:left w:val="nil"/>
              <w:bottom w:val="nil"/>
              <w:right w:val="nil"/>
            </w:tcBorders>
            <w:shd w:val="clear" w:color="auto" w:fill="auto"/>
            <w:tcMar>
              <w:top w:w="15" w:type="dxa"/>
              <w:left w:w="15" w:type="dxa"/>
              <w:bottom w:w="0" w:type="dxa"/>
              <w:right w:w="15" w:type="dxa"/>
            </w:tcMar>
            <w:vAlign w:val="bottom"/>
            <w:hideMark/>
          </w:tcPr>
          <w:p w14:paraId="4D430FF5"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0.014*</w:t>
            </w:r>
          </w:p>
        </w:tc>
        <w:tc>
          <w:tcPr>
            <w:tcW w:w="2420" w:type="dxa"/>
            <w:tcBorders>
              <w:top w:val="single" w:sz="4" w:space="0" w:color="auto"/>
              <w:left w:val="nil"/>
              <w:bottom w:val="nil"/>
              <w:right w:val="nil"/>
            </w:tcBorders>
            <w:shd w:val="clear" w:color="auto" w:fill="auto"/>
            <w:tcMar>
              <w:top w:w="15" w:type="dxa"/>
              <w:left w:w="15" w:type="dxa"/>
              <w:bottom w:w="0" w:type="dxa"/>
              <w:right w:w="15" w:type="dxa"/>
            </w:tcMar>
            <w:vAlign w:val="bottom"/>
            <w:hideMark/>
          </w:tcPr>
          <w:p w14:paraId="20C819CD"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6.71 (0.61-74.14)</w:t>
            </w:r>
          </w:p>
        </w:tc>
        <w:tc>
          <w:tcPr>
            <w:tcW w:w="1140" w:type="dxa"/>
            <w:tcBorders>
              <w:top w:val="single" w:sz="4" w:space="0" w:color="auto"/>
              <w:left w:val="nil"/>
              <w:bottom w:val="nil"/>
              <w:right w:val="nil"/>
            </w:tcBorders>
            <w:shd w:val="clear" w:color="auto" w:fill="auto"/>
            <w:tcMar>
              <w:top w:w="15" w:type="dxa"/>
              <w:left w:w="15" w:type="dxa"/>
              <w:bottom w:w="0" w:type="dxa"/>
              <w:right w:w="15" w:type="dxa"/>
            </w:tcMar>
            <w:vAlign w:val="bottom"/>
            <w:hideMark/>
          </w:tcPr>
          <w:p w14:paraId="37928140"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0.120</w:t>
            </w:r>
          </w:p>
        </w:tc>
      </w:tr>
      <w:tr w:rsidR="004A343C" w:rsidRPr="00412B17" w14:paraId="2F8431C6" w14:textId="77777777" w:rsidTr="000C61F6">
        <w:trPr>
          <w:trHeight w:val="285"/>
        </w:trPr>
        <w:tc>
          <w:tcPr>
            <w:tcW w:w="2280" w:type="dxa"/>
            <w:tcBorders>
              <w:top w:val="nil"/>
              <w:left w:val="nil"/>
              <w:bottom w:val="nil"/>
              <w:right w:val="nil"/>
            </w:tcBorders>
            <w:shd w:val="clear" w:color="auto" w:fill="auto"/>
            <w:tcMar>
              <w:top w:w="15" w:type="dxa"/>
              <w:left w:w="15" w:type="dxa"/>
              <w:bottom w:w="0" w:type="dxa"/>
              <w:right w:w="15" w:type="dxa"/>
            </w:tcMar>
            <w:vAlign w:val="bottom"/>
            <w:hideMark/>
          </w:tcPr>
          <w:p w14:paraId="4E75DA3B"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i/>
                <w:iCs/>
                <w:color w:val="000000"/>
                <w:kern w:val="24"/>
                <w:sz w:val="20"/>
                <w:szCs w:val="20"/>
                <w14:ligatures w14:val="none"/>
              </w:rPr>
              <w:t>CHD8</w:t>
            </w:r>
            <w:r>
              <w:rPr>
                <w:rFonts w:ascii="Times New Roman" w:eastAsia="微软雅黑" w:hAnsi="Times New Roman" w:cs="Times New Roman" w:hint="eastAsia"/>
                <w:color w:val="000000"/>
                <w:kern w:val="24"/>
                <w:sz w:val="20"/>
                <w:szCs w:val="20"/>
                <w14:ligatures w14:val="none"/>
              </w:rPr>
              <w:t xml:space="preserve"> </w:t>
            </w:r>
            <w:bookmarkStart w:id="0" w:name="OLE_LINK1"/>
            <w:r>
              <w:rPr>
                <w:rFonts w:ascii="Times New Roman" w:eastAsia="微软雅黑" w:hAnsi="Times New Roman" w:cs="Times New Roman" w:hint="eastAsia"/>
                <w:color w:val="000000"/>
                <w:kern w:val="24"/>
                <w:sz w:val="20"/>
                <w:szCs w:val="20"/>
                <w14:ligatures w14:val="none"/>
              </w:rPr>
              <w:t>mutation</w:t>
            </w:r>
            <w:bookmarkEnd w:id="0"/>
          </w:p>
        </w:tc>
        <w:tc>
          <w:tcPr>
            <w:tcW w:w="2300" w:type="dxa"/>
            <w:tcBorders>
              <w:top w:val="nil"/>
              <w:left w:val="nil"/>
              <w:bottom w:val="nil"/>
              <w:right w:val="nil"/>
            </w:tcBorders>
            <w:shd w:val="clear" w:color="auto" w:fill="auto"/>
            <w:tcMar>
              <w:top w:w="15" w:type="dxa"/>
              <w:left w:w="15" w:type="dxa"/>
              <w:bottom w:w="0" w:type="dxa"/>
              <w:right w:w="15" w:type="dxa"/>
            </w:tcMar>
            <w:vAlign w:val="bottom"/>
            <w:hideMark/>
          </w:tcPr>
          <w:p w14:paraId="1A41D929"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4.43 (1.05-18.68)</w:t>
            </w:r>
          </w:p>
        </w:tc>
        <w:tc>
          <w:tcPr>
            <w:tcW w:w="1080" w:type="dxa"/>
            <w:tcBorders>
              <w:top w:val="nil"/>
              <w:left w:val="nil"/>
              <w:bottom w:val="nil"/>
              <w:right w:val="nil"/>
            </w:tcBorders>
            <w:shd w:val="clear" w:color="auto" w:fill="auto"/>
            <w:tcMar>
              <w:top w:w="15" w:type="dxa"/>
              <w:left w:w="15" w:type="dxa"/>
              <w:bottom w:w="0" w:type="dxa"/>
              <w:right w:w="15" w:type="dxa"/>
            </w:tcMar>
            <w:vAlign w:val="bottom"/>
            <w:hideMark/>
          </w:tcPr>
          <w:p w14:paraId="6B34B78F"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0.043*</w:t>
            </w:r>
          </w:p>
        </w:tc>
        <w:tc>
          <w:tcPr>
            <w:tcW w:w="2420" w:type="dxa"/>
            <w:tcBorders>
              <w:top w:val="nil"/>
              <w:left w:val="nil"/>
              <w:bottom w:val="nil"/>
              <w:right w:val="nil"/>
            </w:tcBorders>
            <w:shd w:val="clear" w:color="auto" w:fill="auto"/>
            <w:tcMar>
              <w:top w:w="15" w:type="dxa"/>
              <w:left w:w="15" w:type="dxa"/>
              <w:bottom w:w="0" w:type="dxa"/>
              <w:right w:w="15" w:type="dxa"/>
            </w:tcMar>
            <w:vAlign w:val="bottom"/>
            <w:hideMark/>
          </w:tcPr>
          <w:p w14:paraId="6072D598"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10.27 (0.93-113.44)</w:t>
            </w:r>
          </w:p>
        </w:tc>
        <w:tc>
          <w:tcPr>
            <w:tcW w:w="1140" w:type="dxa"/>
            <w:tcBorders>
              <w:top w:val="nil"/>
              <w:left w:val="nil"/>
              <w:bottom w:val="nil"/>
              <w:right w:val="nil"/>
            </w:tcBorders>
            <w:shd w:val="clear" w:color="auto" w:fill="auto"/>
            <w:tcMar>
              <w:top w:w="15" w:type="dxa"/>
              <w:left w:w="15" w:type="dxa"/>
              <w:bottom w:w="0" w:type="dxa"/>
              <w:right w:w="15" w:type="dxa"/>
            </w:tcMar>
            <w:vAlign w:val="bottom"/>
            <w:hideMark/>
          </w:tcPr>
          <w:p w14:paraId="307910BF"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0.057</w:t>
            </w:r>
          </w:p>
        </w:tc>
      </w:tr>
      <w:tr w:rsidR="004A343C" w:rsidRPr="00412B17" w14:paraId="12005E91" w14:textId="77777777" w:rsidTr="000C61F6">
        <w:trPr>
          <w:trHeight w:val="285"/>
        </w:trPr>
        <w:tc>
          <w:tcPr>
            <w:tcW w:w="2280" w:type="dxa"/>
            <w:tcBorders>
              <w:top w:val="nil"/>
              <w:left w:val="nil"/>
              <w:bottom w:val="nil"/>
              <w:right w:val="nil"/>
            </w:tcBorders>
            <w:shd w:val="clear" w:color="auto" w:fill="auto"/>
            <w:tcMar>
              <w:top w:w="15" w:type="dxa"/>
              <w:left w:w="15" w:type="dxa"/>
              <w:bottom w:w="0" w:type="dxa"/>
              <w:right w:w="15" w:type="dxa"/>
            </w:tcMar>
            <w:vAlign w:val="bottom"/>
            <w:hideMark/>
          </w:tcPr>
          <w:p w14:paraId="7D765038"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i/>
                <w:iCs/>
                <w:color w:val="000000"/>
                <w:kern w:val="24"/>
                <w:sz w:val="20"/>
                <w:szCs w:val="20"/>
                <w14:ligatures w14:val="none"/>
              </w:rPr>
              <w:t>HMCN1</w:t>
            </w:r>
            <w:r>
              <w:rPr>
                <w:rFonts w:ascii="Times New Roman" w:eastAsia="微软雅黑" w:hAnsi="Times New Roman" w:cs="Times New Roman" w:hint="eastAsia"/>
                <w:i/>
                <w:iCs/>
                <w:color w:val="000000"/>
                <w:kern w:val="24"/>
                <w:sz w:val="20"/>
                <w:szCs w:val="20"/>
                <w14:ligatures w14:val="none"/>
              </w:rPr>
              <w:t xml:space="preserve"> </w:t>
            </w:r>
            <w:r>
              <w:rPr>
                <w:rFonts w:ascii="Times New Roman" w:eastAsia="微软雅黑" w:hAnsi="Times New Roman" w:cs="Times New Roman" w:hint="eastAsia"/>
                <w:color w:val="000000"/>
                <w:kern w:val="24"/>
                <w:sz w:val="20"/>
                <w:szCs w:val="20"/>
                <w14:ligatures w14:val="none"/>
              </w:rPr>
              <w:t>mutation</w:t>
            </w:r>
          </w:p>
        </w:tc>
        <w:tc>
          <w:tcPr>
            <w:tcW w:w="2300" w:type="dxa"/>
            <w:tcBorders>
              <w:top w:val="nil"/>
              <w:left w:val="nil"/>
              <w:bottom w:val="nil"/>
              <w:right w:val="nil"/>
            </w:tcBorders>
            <w:shd w:val="clear" w:color="auto" w:fill="auto"/>
            <w:tcMar>
              <w:top w:w="15" w:type="dxa"/>
              <w:left w:w="15" w:type="dxa"/>
              <w:bottom w:w="0" w:type="dxa"/>
              <w:right w:w="15" w:type="dxa"/>
            </w:tcMar>
            <w:vAlign w:val="bottom"/>
            <w:hideMark/>
          </w:tcPr>
          <w:p w14:paraId="3EF065A3"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5.52 (1.37-22.2)</w:t>
            </w:r>
          </w:p>
        </w:tc>
        <w:tc>
          <w:tcPr>
            <w:tcW w:w="1080" w:type="dxa"/>
            <w:tcBorders>
              <w:top w:val="nil"/>
              <w:left w:val="nil"/>
              <w:bottom w:val="nil"/>
              <w:right w:val="nil"/>
            </w:tcBorders>
            <w:shd w:val="clear" w:color="auto" w:fill="auto"/>
            <w:tcMar>
              <w:top w:w="15" w:type="dxa"/>
              <w:left w:w="15" w:type="dxa"/>
              <w:bottom w:w="0" w:type="dxa"/>
              <w:right w:w="15" w:type="dxa"/>
            </w:tcMar>
            <w:vAlign w:val="bottom"/>
            <w:hideMark/>
          </w:tcPr>
          <w:p w14:paraId="2777EA45"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0.016*</w:t>
            </w:r>
          </w:p>
        </w:tc>
        <w:tc>
          <w:tcPr>
            <w:tcW w:w="2420" w:type="dxa"/>
            <w:tcBorders>
              <w:top w:val="nil"/>
              <w:left w:val="nil"/>
              <w:bottom w:val="nil"/>
              <w:right w:val="nil"/>
            </w:tcBorders>
            <w:shd w:val="clear" w:color="auto" w:fill="auto"/>
            <w:tcMar>
              <w:top w:w="15" w:type="dxa"/>
              <w:left w:w="15" w:type="dxa"/>
              <w:bottom w:w="0" w:type="dxa"/>
              <w:right w:w="15" w:type="dxa"/>
            </w:tcMar>
            <w:vAlign w:val="bottom"/>
            <w:hideMark/>
          </w:tcPr>
          <w:p w14:paraId="3E631A8E"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1.97 (0.18-21.78)</w:t>
            </w:r>
          </w:p>
        </w:tc>
        <w:tc>
          <w:tcPr>
            <w:tcW w:w="1140" w:type="dxa"/>
            <w:tcBorders>
              <w:top w:val="nil"/>
              <w:left w:val="nil"/>
              <w:bottom w:val="nil"/>
              <w:right w:val="nil"/>
            </w:tcBorders>
            <w:shd w:val="clear" w:color="auto" w:fill="auto"/>
            <w:tcMar>
              <w:top w:w="15" w:type="dxa"/>
              <w:left w:w="15" w:type="dxa"/>
              <w:bottom w:w="0" w:type="dxa"/>
              <w:right w:w="15" w:type="dxa"/>
            </w:tcMar>
            <w:vAlign w:val="bottom"/>
            <w:hideMark/>
          </w:tcPr>
          <w:p w14:paraId="7AFE89FB"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0.579</w:t>
            </w:r>
          </w:p>
        </w:tc>
      </w:tr>
      <w:tr w:rsidR="004A343C" w:rsidRPr="00412B17" w14:paraId="3A19CC1D" w14:textId="77777777" w:rsidTr="000C61F6">
        <w:trPr>
          <w:trHeight w:val="285"/>
        </w:trPr>
        <w:tc>
          <w:tcPr>
            <w:tcW w:w="2280" w:type="dxa"/>
            <w:tcBorders>
              <w:top w:val="nil"/>
              <w:left w:val="nil"/>
              <w:bottom w:val="nil"/>
              <w:right w:val="nil"/>
            </w:tcBorders>
            <w:shd w:val="clear" w:color="auto" w:fill="auto"/>
            <w:tcMar>
              <w:top w:w="15" w:type="dxa"/>
              <w:left w:w="15" w:type="dxa"/>
              <w:bottom w:w="0" w:type="dxa"/>
              <w:right w:w="15" w:type="dxa"/>
            </w:tcMar>
            <w:vAlign w:val="bottom"/>
            <w:hideMark/>
          </w:tcPr>
          <w:p w14:paraId="3338A83C"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i/>
                <w:iCs/>
                <w:color w:val="000000"/>
                <w:kern w:val="24"/>
                <w:sz w:val="20"/>
                <w:szCs w:val="20"/>
                <w14:ligatures w14:val="none"/>
              </w:rPr>
              <w:t>SULF1</w:t>
            </w:r>
            <w:r>
              <w:rPr>
                <w:rFonts w:ascii="Times New Roman" w:eastAsia="微软雅黑" w:hAnsi="Times New Roman" w:cs="Times New Roman" w:hint="eastAsia"/>
                <w:i/>
                <w:iCs/>
                <w:color w:val="000000"/>
                <w:kern w:val="24"/>
                <w:sz w:val="20"/>
                <w:szCs w:val="20"/>
                <w14:ligatures w14:val="none"/>
              </w:rPr>
              <w:t xml:space="preserve"> </w:t>
            </w:r>
            <w:r>
              <w:rPr>
                <w:rFonts w:ascii="Times New Roman" w:eastAsia="微软雅黑" w:hAnsi="Times New Roman" w:cs="Times New Roman" w:hint="eastAsia"/>
                <w:color w:val="000000"/>
                <w:kern w:val="24"/>
                <w:sz w:val="20"/>
                <w:szCs w:val="20"/>
                <w14:ligatures w14:val="none"/>
              </w:rPr>
              <w:t>mutation</w:t>
            </w:r>
          </w:p>
        </w:tc>
        <w:tc>
          <w:tcPr>
            <w:tcW w:w="2300" w:type="dxa"/>
            <w:tcBorders>
              <w:top w:val="nil"/>
              <w:left w:val="nil"/>
              <w:bottom w:val="nil"/>
              <w:right w:val="nil"/>
            </w:tcBorders>
            <w:shd w:val="clear" w:color="auto" w:fill="auto"/>
            <w:tcMar>
              <w:top w:w="15" w:type="dxa"/>
              <w:left w:w="15" w:type="dxa"/>
              <w:bottom w:w="0" w:type="dxa"/>
              <w:right w:w="15" w:type="dxa"/>
            </w:tcMar>
            <w:vAlign w:val="bottom"/>
            <w:hideMark/>
          </w:tcPr>
          <w:p w14:paraId="1F9ACB2F"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4.43 (1.05-18.68)</w:t>
            </w:r>
          </w:p>
        </w:tc>
        <w:tc>
          <w:tcPr>
            <w:tcW w:w="1080" w:type="dxa"/>
            <w:tcBorders>
              <w:top w:val="nil"/>
              <w:left w:val="nil"/>
              <w:bottom w:val="nil"/>
              <w:right w:val="nil"/>
            </w:tcBorders>
            <w:shd w:val="clear" w:color="auto" w:fill="auto"/>
            <w:tcMar>
              <w:top w:w="15" w:type="dxa"/>
              <w:left w:w="15" w:type="dxa"/>
              <w:bottom w:w="0" w:type="dxa"/>
              <w:right w:w="15" w:type="dxa"/>
            </w:tcMar>
            <w:vAlign w:val="bottom"/>
            <w:hideMark/>
          </w:tcPr>
          <w:p w14:paraId="10718532"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0.043*</w:t>
            </w:r>
          </w:p>
        </w:tc>
        <w:tc>
          <w:tcPr>
            <w:tcW w:w="2420" w:type="dxa"/>
            <w:tcBorders>
              <w:top w:val="nil"/>
              <w:left w:val="nil"/>
              <w:bottom w:val="nil"/>
              <w:right w:val="nil"/>
            </w:tcBorders>
            <w:shd w:val="clear" w:color="auto" w:fill="auto"/>
            <w:tcMar>
              <w:top w:w="15" w:type="dxa"/>
              <w:left w:w="15" w:type="dxa"/>
              <w:bottom w:w="0" w:type="dxa"/>
              <w:right w:w="15" w:type="dxa"/>
            </w:tcMar>
            <w:vAlign w:val="bottom"/>
            <w:hideMark/>
          </w:tcPr>
          <w:p w14:paraId="6E0F8EB3"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10.27 (0.93-113.44)</w:t>
            </w:r>
          </w:p>
        </w:tc>
        <w:tc>
          <w:tcPr>
            <w:tcW w:w="1140" w:type="dxa"/>
            <w:tcBorders>
              <w:top w:val="nil"/>
              <w:left w:val="nil"/>
              <w:bottom w:val="nil"/>
              <w:right w:val="nil"/>
            </w:tcBorders>
            <w:shd w:val="clear" w:color="auto" w:fill="auto"/>
            <w:tcMar>
              <w:top w:w="15" w:type="dxa"/>
              <w:left w:w="15" w:type="dxa"/>
              <w:bottom w:w="0" w:type="dxa"/>
              <w:right w:w="15" w:type="dxa"/>
            </w:tcMar>
            <w:vAlign w:val="bottom"/>
            <w:hideMark/>
          </w:tcPr>
          <w:p w14:paraId="65E26A6D"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0.057</w:t>
            </w:r>
          </w:p>
        </w:tc>
      </w:tr>
      <w:tr w:rsidR="004A343C" w:rsidRPr="00412B17" w14:paraId="508B932B" w14:textId="77777777" w:rsidTr="007D2D8D">
        <w:trPr>
          <w:trHeight w:val="285"/>
        </w:trPr>
        <w:tc>
          <w:tcPr>
            <w:tcW w:w="2280" w:type="dxa"/>
            <w:tcBorders>
              <w:top w:val="nil"/>
              <w:left w:val="nil"/>
              <w:right w:val="nil"/>
            </w:tcBorders>
            <w:shd w:val="clear" w:color="auto" w:fill="auto"/>
            <w:tcMar>
              <w:top w:w="15" w:type="dxa"/>
              <w:left w:w="15" w:type="dxa"/>
              <w:bottom w:w="0" w:type="dxa"/>
              <w:right w:w="15" w:type="dxa"/>
            </w:tcMar>
            <w:vAlign w:val="bottom"/>
            <w:hideMark/>
          </w:tcPr>
          <w:p w14:paraId="0AB83953"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i/>
                <w:iCs/>
                <w:color w:val="000000"/>
                <w:kern w:val="24"/>
                <w:sz w:val="20"/>
                <w:szCs w:val="20"/>
                <w14:ligatures w14:val="none"/>
              </w:rPr>
              <w:t>UNC80</w:t>
            </w:r>
            <w:r>
              <w:rPr>
                <w:rFonts w:ascii="Times New Roman" w:eastAsia="微软雅黑" w:hAnsi="Times New Roman" w:cs="Times New Roman" w:hint="eastAsia"/>
                <w:i/>
                <w:iCs/>
                <w:color w:val="000000"/>
                <w:kern w:val="24"/>
                <w:sz w:val="20"/>
                <w:szCs w:val="20"/>
                <w14:ligatures w14:val="none"/>
              </w:rPr>
              <w:t xml:space="preserve"> </w:t>
            </w:r>
            <w:r>
              <w:rPr>
                <w:rFonts w:ascii="Times New Roman" w:eastAsia="微软雅黑" w:hAnsi="Times New Roman" w:cs="Times New Roman" w:hint="eastAsia"/>
                <w:color w:val="000000"/>
                <w:kern w:val="24"/>
                <w:sz w:val="20"/>
                <w:szCs w:val="20"/>
                <w14:ligatures w14:val="none"/>
              </w:rPr>
              <w:t>mutation</w:t>
            </w:r>
          </w:p>
        </w:tc>
        <w:tc>
          <w:tcPr>
            <w:tcW w:w="2300" w:type="dxa"/>
            <w:tcBorders>
              <w:top w:val="nil"/>
              <w:left w:val="nil"/>
              <w:right w:val="nil"/>
            </w:tcBorders>
            <w:shd w:val="clear" w:color="auto" w:fill="auto"/>
            <w:tcMar>
              <w:top w:w="15" w:type="dxa"/>
              <w:left w:w="15" w:type="dxa"/>
              <w:bottom w:w="0" w:type="dxa"/>
              <w:right w:w="15" w:type="dxa"/>
            </w:tcMar>
            <w:vAlign w:val="bottom"/>
            <w:hideMark/>
          </w:tcPr>
          <w:p w14:paraId="587BCEE3"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4.43 (1.05-18.68)</w:t>
            </w:r>
          </w:p>
        </w:tc>
        <w:tc>
          <w:tcPr>
            <w:tcW w:w="1080" w:type="dxa"/>
            <w:tcBorders>
              <w:top w:val="nil"/>
              <w:left w:val="nil"/>
              <w:right w:val="nil"/>
            </w:tcBorders>
            <w:shd w:val="clear" w:color="auto" w:fill="auto"/>
            <w:tcMar>
              <w:top w:w="15" w:type="dxa"/>
              <w:left w:w="15" w:type="dxa"/>
              <w:bottom w:w="0" w:type="dxa"/>
              <w:right w:w="15" w:type="dxa"/>
            </w:tcMar>
            <w:vAlign w:val="bottom"/>
            <w:hideMark/>
          </w:tcPr>
          <w:p w14:paraId="20BCBAFA"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0.043*</w:t>
            </w:r>
          </w:p>
        </w:tc>
        <w:tc>
          <w:tcPr>
            <w:tcW w:w="2420" w:type="dxa"/>
            <w:tcBorders>
              <w:top w:val="nil"/>
              <w:left w:val="nil"/>
              <w:right w:val="nil"/>
            </w:tcBorders>
            <w:shd w:val="clear" w:color="auto" w:fill="auto"/>
            <w:tcMar>
              <w:top w:w="15" w:type="dxa"/>
              <w:left w:w="15" w:type="dxa"/>
              <w:bottom w:w="0" w:type="dxa"/>
              <w:right w:w="15" w:type="dxa"/>
            </w:tcMar>
            <w:vAlign w:val="bottom"/>
            <w:hideMark/>
          </w:tcPr>
          <w:p w14:paraId="035DBA80"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10.27 (0.93-113.44)</w:t>
            </w:r>
          </w:p>
        </w:tc>
        <w:tc>
          <w:tcPr>
            <w:tcW w:w="1140" w:type="dxa"/>
            <w:tcBorders>
              <w:top w:val="nil"/>
              <w:left w:val="nil"/>
              <w:right w:val="nil"/>
            </w:tcBorders>
            <w:shd w:val="clear" w:color="auto" w:fill="auto"/>
            <w:tcMar>
              <w:top w:w="15" w:type="dxa"/>
              <w:left w:w="15" w:type="dxa"/>
              <w:bottom w:w="0" w:type="dxa"/>
              <w:right w:w="15" w:type="dxa"/>
            </w:tcMar>
            <w:vAlign w:val="bottom"/>
            <w:hideMark/>
          </w:tcPr>
          <w:p w14:paraId="3DC88463"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0.057</w:t>
            </w:r>
          </w:p>
        </w:tc>
      </w:tr>
      <w:tr w:rsidR="004A343C" w:rsidRPr="00412B17" w14:paraId="0494C514" w14:textId="77777777" w:rsidTr="007D2D8D">
        <w:trPr>
          <w:trHeight w:val="285"/>
        </w:trPr>
        <w:tc>
          <w:tcPr>
            <w:tcW w:w="228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1599C439"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i/>
                <w:iCs/>
                <w:color w:val="000000"/>
                <w:kern w:val="24"/>
                <w:sz w:val="20"/>
                <w:szCs w:val="20"/>
                <w14:ligatures w14:val="none"/>
              </w:rPr>
              <w:t>USH2A</w:t>
            </w:r>
            <w:r>
              <w:rPr>
                <w:rFonts w:ascii="Times New Roman" w:eastAsia="微软雅黑" w:hAnsi="Times New Roman" w:cs="Times New Roman" w:hint="eastAsia"/>
                <w:i/>
                <w:iCs/>
                <w:color w:val="000000"/>
                <w:kern w:val="24"/>
                <w:sz w:val="20"/>
                <w:szCs w:val="20"/>
                <w14:ligatures w14:val="none"/>
              </w:rPr>
              <w:t xml:space="preserve"> </w:t>
            </w:r>
            <w:r>
              <w:rPr>
                <w:rFonts w:ascii="Times New Roman" w:eastAsia="微软雅黑" w:hAnsi="Times New Roman" w:cs="Times New Roman" w:hint="eastAsia"/>
                <w:color w:val="000000"/>
                <w:kern w:val="24"/>
                <w:sz w:val="20"/>
                <w:szCs w:val="20"/>
                <w14:ligatures w14:val="none"/>
              </w:rPr>
              <w:t>mutation</w:t>
            </w:r>
          </w:p>
        </w:tc>
        <w:tc>
          <w:tcPr>
            <w:tcW w:w="23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47096BE4"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11.85 (2.77-50.81)</w:t>
            </w:r>
          </w:p>
        </w:tc>
        <w:tc>
          <w:tcPr>
            <w:tcW w:w="108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4F7CD19C"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0.001***</w:t>
            </w:r>
          </w:p>
        </w:tc>
        <w:tc>
          <w:tcPr>
            <w:tcW w:w="242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028227F7"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8.42 (0.76-92.94)</w:t>
            </w:r>
          </w:p>
        </w:tc>
        <w:tc>
          <w:tcPr>
            <w:tcW w:w="114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5643DD7C" w14:textId="77777777" w:rsidR="004A343C" w:rsidRPr="00412B17"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412B17">
              <w:rPr>
                <w:rFonts w:ascii="Times New Roman" w:eastAsia="微软雅黑" w:hAnsi="Times New Roman" w:cs="Times New Roman"/>
                <w:color w:val="000000"/>
                <w:kern w:val="24"/>
                <w:sz w:val="20"/>
                <w:szCs w:val="20"/>
                <w14:ligatures w14:val="none"/>
              </w:rPr>
              <w:t>0.082</w:t>
            </w:r>
          </w:p>
        </w:tc>
      </w:tr>
      <w:tr w:rsidR="007D2D8D" w:rsidRPr="00412B17" w14:paraId="4F131F26" w14:textId="77777777" w:rsidTr="007D2D8D">
        <w:trPr>
          <w:trHeight w:val="285"/>
        </w:trPr>
        <w:tc>
          <w:tcPr>
            <w:tcW w:w="9220" w:type="dxa"/>
            <w:gridSpan w:val="5"/>
            <w:tcBorders>
              <w:top w:val="single" w:sz="4" w:space="0" w:color="auto"/>
              <w:left w:val="nil"/>
              <w:right w:val="nil"/>
            </w:tcBorders>
            <w:shd w:val="clear" w:color="auto" w:fill="auto"/>
            <w:tcMar>
              <w:top w:w="15" w:type="dxa"/>
              <w:left w:w="15" w:type="dxa"/>
              <w:bottom w:w="0" w:type="dxa"/>
              <w:right w:w="15" w:type="dxa"/>
            </w:tcMar>
            <w:vAlign w:val="bottom"/>
          </w:tcPr>
          <w:p w14:paraId="5E286763" w14:textId="4C8769FD" w:rsidR="007D2D8D" w:rsidRPr="00412B17" w:rsidRDefault="007D2D8D" w:rsidP="00F82186">
            <w:pPr>
              <w:spacing w:after="0" w:line="240" w:lineRule="auto"/>
              <w:jc w:val="both"/>
              <w:textAlignment w:val="bottom"/>
              <w:rPr>
                <w:rFonts w:ascii="Times New Roman" w:eastAsia="微软雅黑" w:hAnsi="Times New Roman" w:cs="Times New Roman"/>
                <w:color w:val="000000"/>
                <w:kern w:val="24"/>
                <w:sz w:val="20"/>
                <w:szCs w:val="20"/>
                <w14:ligatures w14:val="none"/>
              </w:rPr>
            </w:pPr>
            <w:r>
              <w:rPr>
                <w:rFonts w:ascii="Times New Roman" w:eastAsia="微软雅黑" w:hAnsi="Times New Roman" w:cs="Times New Roman" w:hint="eastAsia"/>
                <w:color w:val="000000"/>
                <w:kern w:val="24"/>
                <w:sz w:val="20"/>
                <w:szCs w:val="20"/>
                <w14:ligatures w14:val="none"/>
              </w:rPr>
              <w:t>Abbreviations: HR, hazard ratio; CI, confidence interval</w:t>
            </w:r>
          </w:p>
        </w:tc>
      </w:tr>
    </w:tbl>
    <w:p w14:paraId="2FF3CC0D" w14:textId="53BF4B27" w:rsidR="004A343C" w:rsidRDefault="004A343C" w:rsidP="00F82186">
      <w:pPr>
        <w:jc w:val="both"/>
        <w:rPr>
          <w:rFonts w:ascii="Times New Roman" w:hAnsi="Times New Roman" w:cs="Times New Roman"/>
        </w:rPr>
      </w:pPr>
    </w:p>
    <w:p w14:paraId="6CB30336" w14:textId="77777777" w:rsidR="004A343C" w:rsidRDefault="004A343C" w:rsidP="00F82186">
      <w:pPr>
        <w:jc w:val="both"/>
        <w:rPr>
          <w:rFonts w:ascii="Times New Roman" w:hAnsi="Times New Roman" w:cs="Times New Roman"/>
        </w:rPr>
      </w:pPr>
      <w:r>
        <w:rPr>
          <w:rFonts w:ascii="Times New Roman" w:hAnsi="Times New Roman" w:cs="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559"/>
        <w:gridCol w:w="5523"/>
      </w:tblGrid>
      <w:tr w:rsidR="004A343C" w:rsidRPr="009371B0" w14:paraId="3DA5145D" w14:textId="77777777" w:rsidTr="000C61F6">
        <w:trPr>
          <w:trHeight w:val="300"/>
        </w:trPr>
        <w:tc>
          <w:tcPr>
            <w:tcW w:w="9209" w:type="dxa"/>
            <w:gridSpan w:val="3"/>
            <w:tcBorders>
              <w:bottom w:val="single" w:sz="4" w:space="0" w:color="auto"/>
            </w:tcBorders>
            <w:noWrap/>
          </w:tcPr>
          <w:p w14:paraId="152EC0BF" w14:textId="77777777" w:rsidR="004A343C" w:rsidRPr="009371B0" w:rsidRDefault="004A343C" w:rsidP="00F82186">
            <w:pPr>
              <w:jc w:val="both"/>
              <w:rPr>
                <w:rFonts w:ascii="Times New Roman" w:hAnsi="Times New Roman" w:cs="Times New Roman"/>
                <w:sz w:val="20"/>
                <w:szCs w:val="20"/>
              </w:rPr>
            </w:pPr>
            <w:r>
              <w:rPr>
                <w:lang w:val="en-US"/>
              </w:rPr>
              <w:lastRenderedPageBreak/>
              <w:br w:type="page"/>
            </w:r>
            <w:r>
              <w:rPr>
                <w:lang w:val="en-US"/>
              </w:rPr>
              <w:br w:type="page"/>
            </w:r>
            <w:r>
              <w:rPr>
                <w:i/>
                <w:iCs/>
                <w:lang w:val="en-US"/>
              </w:rPr>
              <w:br w:type="page"/>
            </w:r>
            <w:bookmarkStart w:id="1" w:name="OLE_LINK20"/>
            <w:r w:rsidRPr="00E21BD3">
              <w:rPr>
                <w:rFonts w:ascii="Times New Roman" w:hAnsi="Times New Roman" w:cs="Times New Roman" w:hint="eastAsia"/>
                <w:b/>
                <w:bCs/>
                <w:sz w:val="20"/>
                <w:szCs w:val="20"/>
              </w:rPr>
              <w:t xml:space="preserve">Table S2. </w:t>
            </w:r>
            <w:r>
              <w:rPr>
                <w:rFonts w:ascii="Times New Roman" w:hAnsi="Times New Roman" w:cs="Times New Roman" w:hint="eastAsia"/>
                <w:b/>
                <w:bCs/>
                <w:sz w:val="20"/>
                <w:szCs w:val="20"/>
              </w:rPr>
              <w:t>AUC</w:t>
            </w:r>
            <w:r w:rsidRPr="00E21BD3">
              <w:rPr>
                <w:rFonts w:ascii="Times New Roman" w:hAnsi="Times New Roman" w:cs="Times New Roman" w:hint="eastAsia"/>
                <w:b/>
                <w:bCs/>
                <w:sz w:val="20"/>
                <w:szCs w:val="20"/>
              </w:rPr>
              <w:t xml:space="preserve"> of baseline gene expression for predicting pathological response</w:t>
            </w:r>
            <w:bookmarkEnd w:id="1"/>
          </w:p>
        </w:tc>
      </w:tr>
      <w:tr w:rsidR="004A343C" w:rsidRPr="009371B0" w14:paraId="65607F01" w14:textId="77777777" w:rsidTr="005F57B7">
        <w:trPr>
          <w:trHeight w:val="300"/>
        </w:trPr>
        <w:tc>
          <w:tcPr>
            <w:tcW w:w="2127" w:type="dxa"/>
            <w:tcBorders>
              <w:top w:val="single" w:sz="4" w:space="0" w:color="auto"/>
              <w:bottom w:val="single" w:sz="4" w:space="0" w:color="auto"/>
            </w:tcBorders>
            <w:noWrap/>
            <w:hideMark/>
          </w:tcPr>
          <w:p w14:paraId="010AF760" w14:textId="77777777" w:rsidR="004A343C" w:rsidRPr="009371B0" w:rsidRDefault="004A343C" w:rsidP="00F82186">
            <w:pPr>
              <w:jc w:val="both"/>
              <w:rPr>
                <w:rFonts w:ascii="Times New Roman" w:hAnsi="Times New Roman" w:cs="Times New Roman"/>
                <w:sz w:val="20"/>
                <w:szCs w:val="20"/>
              </w:rPr>
            </w:pPr>
            <w:bookmarkStart w:id="2" w:name="_Hlk173411124"/>
            <w:r w:rsidRPr="009371B0">
              <w:rPr>
                <w:rFonts w:ascii="Times New Roman" w:hAnsi="Times New Roman" w:cs="Times New Roman"/>
                <w:sz w:val="20"/>
                <w:szCs w:val="20"/>
              </w:rPr>
              <w:t>Baseline expression</w:t>
            </w:r>
          </w:p>
        </w:tc>
        <w:tc>
          <w:tcPr>
            <w:tcW w:w="1559" w:type="dxa"/>
            <w:tcBorders>
              <w:top w:val="single" w:sz="4" w:space="0" w:color="auto"/>
              <w:bottom w:val="single" w:sz="4" w:space="0" w:color="auto"/>
            </w:tcBorders>
            <w:noWrap/>
            <w:hideMark/>
          </w:tcPr>
          <w:p w14:paraId="1CC0CB36"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AUC (95% CI)</w:t>
            </w:r>
          </w:p>
        </w:tc>
        <w:tc>
          <w:tcPr>
            <w:tcW w:w="5523" w:type="dxa"/>
            <w:tcBorders>
              <w:top w:val="single" w:sz="4" w:space="0" w:color="auto"/>
              <w:bottom w:val="single" w:sz="4" w:space="0" w:color="auto"/>
            </w:tcBorders>
            <w:noWrap/>
            <w:hideMark/>
          </w:tcPr>
          <w:p w14:paraId="2B4085FA"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Description</w:t>
            </w:r>
          </w:p>
        </w:tc>
      </w:tr>
      <w:tr w:rsidR="004A343C" w:rsidRPr="009371B0" w14:paraId="762AFBA3" w14:textId="77777777" w:rsidTr="005F57B7">
        <w:trPr>
          <w:trHeight w:val="300"/>
        </w:trPr>
        <w:tc>
          <w:tcPr>
            <w:tcW w:w="2127" w:type="dxa"/>
            <w:tcBorders>
              <w:top w:val="single" w:sz="4" w:space="0" w:color="auto"/>
            </w:tcBorders>
            <w:noWrap/>
            <w:hideMark/>
          </w:tcPr>
          <w:p w14:paraId="41F52DE1" w14:textId="77777777" w:rsidR="004A343C" w:rsidRPr="009371B0" w:rsidRDefault="004A343C" w:rsidP="00F82186">
            <w:pPr>
              <w:jc w:val="both"/>
              <w:rPr>
                <w:rFonts w:ascii="Times New Roman" w:hAnsi="Times New Roman" w:cs="Times New Roman"/>
                <w:i/>
                <w:iCs/>
                <w:sz w:val="20"/>
                <w:szCs w:val="20"/>
              </w:rPr>
            </w:pPr>
            <w:r w:rsidRPr="009371B0">
              <w:rPr>
                <w:rFonts w:ascii="Times New Roman" w:hAnsi="Times New Roman" w:cs="Times New Roman"/>
                <w:i/>
                <w:iCs/>
                <w:sz w:val="20"/>
                <w:szCs w:val="20"/>
              </w:rPr>
              <w:t>GYLTL1B</w:t>
            </w:r>
          </w:p>
        </w:tc>
        <w:tc>
          <w:tcPr>
            <w:tcW w:w="1559" w:type="dxa"/>
            <w:tcBorders>
              <w:top w:val="single" w:sz="4" w:space="0" w:color="auto"/>
            </w:tcBorders>
            <w:noWrap/>
            <w:hideMark/>
          </w:tcPr>
          <w:p w14:paraId="75EDF118"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0.93 (0.84-1)</w:t>
            </w:r>
          </w:p>
        </w:tc>
        <w:tc>
          <w:tcPr>
            <w:tcW w:w="5523" w:type="dxa"/>
            <w:tcBorders>
              <w:top w:val="single" w:sz="4" w:space="0" w:color="auto"/>
            </w:tcBorders>
            <w:noWrap/>
            <w:hideMark/>
          </w:tcPr>
          <w:p w14:paraId="44471630"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Involved in protein O-linked mannosylation</w:t>
            </w:r>
          </w:p>
        </w:tc>
      </w:tr>
      <w:tr w:rsidR="004A343C" w:rsidRPr="009371B0" w14:paraId="28395582" w14:textId="77777777" w:rsidTr="005F57B7">
        <w:trPr>
          <w:trHeight w:val="300"/>
        </w:trPr>
        <w:tc>
          <w:tcPr>
            <w:tcW w:w="2127" w:type="dxa"/>
            <w:noWrap/>
            <w:hideMark/>
          </w:tcPr>
          <w:p w14:paraId="6A049200" w14:textId="77777777" w:rsidR="004A343C" w:rsidRPr="009371B0" w:rsidRDefault="004A343C" w:rsidP="00F82186">
            <w:pPr>
              <w:jc w:val="both"/>
              <w:rPr>
                <w:rFonts w:ascii="Times New Roman" w:hAnsi="Times New Roman" w:cs="Times New Roman"/>
                <w:i/>
                <w:iCs/>
                <w:sz w:val="20"/>
                <w:szCs w:val="20"/>
              </w:rPr>
            </w:pPr>
            <w:r w:rsidRPr="009371B0">
              <w:rPr>
                <w:rFonts w:ascii="Times New Roman" w:hAnsi="Times New Roman" w:cs="Times New Roman"/>
                <w:i/>
                <w:iCs/>
                <w:sz w:val="20"/>
                <w:szCs w:val="20"/>
              </w:rPr>
              <w:t>SOX6</w:t>
            </w:r>
          </w:p>
        </w:tc>
        <w:tc>
          <w:tcPr>
            <w:tcW w:w="1559" w:type="dxa"/>
            <w:noWrap/>
            <w:hideMark/>
          </w:tcPr>
          <w:p w14:paraId="4C61F885" w14:textId="2A15C429"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0.9</w:t>
            </w:r>
            <w:r w:rsidR="00026CFF">
              <w:rPr>
                <w:rFonts w:ascii="Times New Roman" w:hAnsi="Times New Roman" w:cs="Times New Roman" w:hint="eastAsia"/>
                <w:sz w:val="20"/>
                <w:szCs w:val="20"/>
              </w:rPr>
              <w:t>0</w:t>
            </w:r>
            <w:r w:rsidRPr="009371B0">
              <w:rPr>
                <w:rFonts w:ascii="Times New Roman" w:hAnsi="Times New Roman" w:cs="Times New Roman"/>
                <w:sz w:val="20"/>
                <w:szCs w:val="20"/>
              </w:rPr>
              <w:t xml:space="preserve"> (0.78-1)</w:t>
            </w:r>
          </w:p>
        </w:tc>
        <w:tc>
          <w:tcPr>
            <w:tcW w:w="5523" w:type="dxa"/>
            <w:noWrap/>
            <w:hideMark/>
          </w:tcPr>
          <w:p w14:paraId="6587DD15"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Transcriptional activator required for CNS development, chondrogenesis and maintenance of cardiac and skeletal muscle cells</w:t>
            </w:r>
          </w:p>
        </w:tc>
      </w:tr>
      <w:tr w:rsidR="004A343C" w:rsidRPr="009371B0" w14:paraId="0F9322E0" w14:textId="77777777" w:rsidTr="005F57B7">
        <w:trPr>
          <w:trHeight w:val="300"/>
        </w:trPr>
        <w:tc>
          <w:tcPr>
            <w:tcW w:w="2127" w:type="dxa"/>
            <w:noWrap/>
            <w:hideMark/>
          </w:tcPr>
          <w:p w14:paraId="3A921EC3" w14:textId="77777777" w:rsidR="004A343C" w:rsidRPr="009371B0" w:rsidRDefault="004A343C" w:rsidP="00F82186">
            <w:pPr>
              <w:jc w:val="both"/>
              <w:rPr>
                <w:rFonts w:ascii="Times New Roman" w:hAnsi="Times New Roman" w:cs="Times New Roman"/>
                <w:i/>
                <w:iCs/>
                <w:sz w:val="20"/>
                <w:szCs w:val="20"/>
              </w:rPr>
            </w:pPr>
            <w:bookmarkStart w:id="3" w:name="RANGE!A4"/>
            <w:r w:rsidRPr="009371B0">
              <w:rPr>
                <w:rFonts w:ascii="Times New Roman" w:hAnsi="Times New Roman" w:cs="Times New Roman"/>
                <w:i/>
                <w:iCs/>
                <w:sz w:val="20"/>
                <w:szCs w:val="20"/>
              </w:rPr>
              <w:t>CYB5R2</w:t>
            </w:r>
            <w:bookmarkEnd w:id="3"/>
          </w:p>
        </w:tc>
        <w:tc>
          <w:tcPr>
            <w:tcW w:w="1559" w:type="dxa"/>
            <w:noWrap/>
            <w:hideMark/>
          </w:tcPr>
          <w:p w14:paraId="12B30412"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0.89 (0.78-1)</w:t>
            </w:r>
          </w:p>
        </w:tc>
        <w:tc>
          <w:tcPr>
            <w:tcW w:w="5523" w:type="dxa"/>
            <w:noWrap/>
            <w:hideMark/>
          </w:tcPr>
          <w:p w14:paraId="78AFE939"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Involved in cholesterol biosynthesis, fatty acid desaturation and elongation, and respiratory burst in neutrophils and macrophages</w:t>
            </w:r>
          </w:p>
        </w:tc>
      </w:tr>
      <w:tr w:rsidR="004A343C" w:rsidRPr="009371B0" w14:paraId="5B5F18EB" w14:textId="77777777" w:rsidTr="005F57B7">
        <w:trPr>
          <w:trHeight w:val="300"/>
        </w:trPr>
        <w:tc>
          <w:tcPr>
            <w:tcW w:w="2127" w:type="dxa"/>
            <w:noWrap/>
            <w:hideMark/>
          </w:tcPr>
          <w:p w14:paraId="1AADA5E6" w14:textId="77777777" w:rsidR="004A343C" w:rsidRPr="009371B0" w:rsidRDefault="004A343C" w:rsidP="00F82186">
            <w:pPr>
              <w:jc w:val="both"/>
              <w:rPr>
                <w:rFonts w:ascii="Times New Roman" w:hAnsi="Times New Roman" w:cs="Times New Roman"/>
                <w:i/>
                <w:iCs/>
                <w:sz w:val="20"/>
                <w:szCs w:val="20"/>
              </w:rPr>
            </w:pPr>
            <w:bookmarkStart w:id="4" w:name="RANGE!A5"/>
            <w:r w:rsidRPr="009371B0">
              <w:rPr>
                <w:rFonts w:ascii="Times New Roman" w:hAnsi="Times New Roman" w:cs="Times New Roman"/>
                <w:i/>
                <w:iCs/>
                <w:sz w:val="20"/>
                <w:szCs w:val="20"/>
              </w:rPr>
              <w:t>TRDMT1</w:t>
            </w:r>
            <w:bookmarkEnd w:id="4"/>
          </w:p>
        </w:tc>
        <w:tc>
          <w:tcPr>
            <w:tcW w:w="1559" w:type="dxa"/>
            <w:noWrap/>
            <w:hideMark/>
          </w:tcPr>
          <w:p w14:paraId="12C216B7"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0.89 (0.69-1)</w:t>
            </w:r>
          </w:p>
        </w:tc>
        <w:tc>
          <w:tcPr>
            <w:tcW w:w="5523" w:type="dxa"/>
            <w:noWrap/>
            <w:hideMark/>
          </w:tcPr>
          <w:p w14:paraId="3AEE19C3"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Methylation of aspartic acid transfer RNA</w:t>
            </w:r>
          </w:p>
        </w:tc>
      </w:tr>
      <w:tr w:rsidR="004A343C" w:rsidRPr="009371B0" w14:paraId="04F4FA24" w14:textId="77777777" w:rsidTr="005F57B7">
        <w:trPr>
          <w:trHeight w:val="300"/>
        </w:trPr>
        <w:tc>
          <w:tcPr>
            <w:tcW w:w="2127" w:type="dxa"/>
            <w:noWrap/>
            <w:hideMark/>
          </w:tcPr>
          <w:p w14:paraId="6A4BC95C" w14:textId="77777777" w:rsidR="004A343C" w:rsidRPr="009371B0" w:rsidRDefault="004A343C" w:rsidP="00F82186">
            <w:pPr>
              <w:jc w:val="both"/>
              <w:rPr>
                <w:rFonts w:ascii="Times New Roman" w:hAnsi="Times New Roman" w:cs="Times New Roman"/>
                <w:i/>
                <w:iCs/>
                <w:sz w:val="20"/>
                <w:szCs w:val="20"/>
              </w:rPr>
            </w:pPr>
            <w:bookmarkStart w:id="5" w:name="RANGE!A6"/>
            <w:r w:rsidRPr="009371B0">
              <w:rPr>
                <w:rFonts w:ascii="Times New Roman" w:hAnsi="Times New Roman" w:cs="Times New Roman"/>
                <w:i/>
                <w:iCs/>
                <w:sz w:val="20"/>
                <w:szCs w:val="20"/>
              </w:rPr>
              <w:t>DLGAP1</w:t>
            </w:r>
            <w:bookmarkEnd w:id="5"/>
          </w:p>
        </w:tc>
        <w:tc>
          <w:tcPr>
            <w:tcW w:w="1559" w:type="dxa"/>
            <w:noWrap/>
            <w:hideMark/>
          </w:tcPr>
          <w:p w14:paraId="7878AE07"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0.88 (0.76-1)</w:t>
            </w:r>
          </w:p>
        </w:tc>
        <w:tc>
          <w:tcPr>
            <w:tcW w:w="5523" w:type="dxa"/>
            <w:noWrap/>
            <w:hideMark/>
          </w:tcPr>
          <w:p w14:paraId="48B93A0E"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Predicted to enable molecular adaptor activity</w:t>
            </w:r>
          </w:p>
        </w:tc>
      </w:tr>
      <w:tr w:rsidR="004A343C" w:rsidRPr="009371B0" w14:paraId="52FF8A0D" w14:textId="77777777" w:rsidTr="005F57B7">
        <w:trPr>
          <w:trHeight w:val="300"/>
        </w:trPr>
        <w:tc>
          <w:tcPr>
            <w:tcW w:w="2127" w:type="dxa"/>
            <w:noWrap/>
            <w:hideMark/>
          </w:tcPr>
          <w:p w14:paraId="452CDC64" w14:textId="77777777" w:rsidR="004A343C" w:rsidRPr="009371B0" w:rsidRDefault="004A343C" w:rsidP="00F82186">
            <w:pPr>
              <w:jc w:val="both"/>
              <w:rPr>
                <w:rFonts w:ascii="Times New Roman" w:hAnsi="Times New Roman" w:cs="Times New Roman"/>
                <w:i/>
                <w:iCs/>
                <w:sz w:val="20"/>
                <w:szCs w:val="20"/>
              </w:rPr>
            </w:pPr>
            <w:bookmarkStart w:id="6" w:name="RANGE!A7"/>
            <w:r w:rsidRPr="009371B0">
              <w:rPr>
                <w:rFonts w:ascii="Times New Roman" w:hAnsi="Times New Roman" w:cs="Times New Roman"/>
                <w:i/>
                <w:iCs/>
                <w:sz w:val="20"/>
                <w:szCs w:val="20"/>
              </w:rPr>
              <w:t>PM20D2</w:t>
            </w:r>
            <w:bookmarkEnd w:id="6"/>
          </w:p>
        </w:tc>
        <w:tc>
          <w:tcPr>
            <w:tcW w:w="1559" w:type="dxa"/>
            <w:noWrap/>
            <w:hideMark/>
          </w:tcPr>
          <w:p w14:paraId="650FD3B3"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0.88 (0.75-1)</w:t>
            </w:r>
          </w:p>
        </w:tc>
        <w:tc>
          <w:tcPr>
            <w:tcW w:w="5523" w:type="dxa"/>
            <w:noWrap/>
            <w:hideMark/>
          </w:tcPr>
          <w:p w14:paraId="2B395F08"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Enables dipeptidase activity and identical protein binding activity</w:t>
            </w:r>
          </w:p>
        </w:tc>
      </w:tr>
      <w:tr w:rsidR="004A343C" w:rsidRPr="009371B0" w14:paraId="7D6E9296" w14:textId="77777777" w:rsidTr="005F57B7">
        <w:trPr>
          <w:trHeight w:val="300"/>
        </w:trPr>
        <w:tc>
          <w:tcPr>
            <w:tcW w:w="2127" w:type="dxa"/>
            <w:noWrap/>
            <w:hideMark/>
          </w:tcPr>
          <w:p w14:paraId="305FEDE3" w14:textId="77777777" w:rsidR="004A343C" w:rsidRPr="009371B0" w:rsidRDefault="004A343C" w:rsidP="00F82186">
            <w:pPr>
              <w:jc w:val="both"/>
              <w:rPr>
                <w:rFonts w:ascii="Times New Roman" w:hAnsi="Times New Roman" w:cs="Times New Roman"/>
                <w:i/>
                <w:iCs/>
                <w:sz w:val="20"/>
                <w:szCs w:val="20"/>
              </w:rPr>
            </w:pPr>
            <w:bookmarkStart w:id="7" w:name="RANGE!A8"/>
            <w:r w:rsidRPr="009371B0">
              <w:rPr>
                <w:rFonts w:ascii="Times New Roman" w:hAnsi="Times New Roman" w:cs="Times New Roman"/>
                <w:i/>
                <w:iCs/>
                <w:sz w:val="20"/>
                <w:szCs w:val="20"/>
              </w:rPr>
              <w:t>MID1</w:t>
            </w:r>
            <w:bookmarkEnd w:id="7"/>
          </w:p>
        </w:tc>
        <w:tc>
          <w:tcPr>
            <w:tcW w:w="1559" w:type="dxa"/>
            <w:noWrap/>
            <w:hideMark/>
          </w:tcPr>
          <w:p w14:paraId="6B35FD25"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0.87 (0.73-1)</w:t>
            </w:r>
          </w:p>
        </w:tc>
        <w:tc>
          <w:tcPr>
            <w:tcW w:w="5523" w:type="dxa"/>
            <w:noWrap/>
            <w:hideMark/>
          </w:tcPr>
          <w:p w14:paraId="113D72EC"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Formation of homodimers acting as anchor points to microtubules</w:t>
            </w:r>
          </w:p>
        </w:tc>
      </w:tr>
      <w:tr w:rsidR="004A343C" w:rsidRPr="009371B0" w14:paraId="7D6CEEB0" w14:textId="77777777" w:rsidTr="005F57B7">
        <w:trPr>
          <w:trHeight w:val="300"/>
        </w:trPr>
        <w:tc>
          <w:tcPr>
            <w:tcW w:w="2127" w:type="dxa"/>
            <w:noWrap/>
            <w:hideMark/>
          </w:tcPr>
          <w:p w14:paraId="15FA6FF1" w14:textId="77777777" w:rsidR="004A343C" w:rsidRPr="009371B0" w:rsidRDefault="004A343C" w:rsidP="00F82186">
            <w:pPr>
              <w:jc w:val="both"/>
              <w:rPr>
                <w:rFonts w:ascii="Times New Roman" w:hAnsi="Times New Roman" w:cs="Times New Roman"/>
                <w:i/>
                <w:iCs/>
                <w:sz w:val="20"/>
                <w:szCs w:val="20"/>
              </w:rPr>
            </w:pPr>
            <w:bookmarkStart w:id="8" w:name="RANGE!A9"/>
            <w:r w:rsidRPr="009371B0">
              <w:rPr>
                <w:rFonts w:ascii="Times New Roman" w:hAnsi="Times New Roman" w:cs="Times New Roman"/>
                <w:i/>
                <w:iCs/>
                <w:sz w:val="20"/>
                <w:szCs w:val="20"/>
              </w:rPr>
              <w:t>DDX26B</w:t>
            </w:r>
            <w:bookmarkEnd w:id="8"/>
          </w:p>
        </w:tc>
        <w:tc>
          <w:tcPr>
            <w:tcW w:w="1559" w:type="dxa"/>
            <w:noWrap/>
            <w:hideMark/>
          </w:tcPr>
          <w:p w14:paraId="43A5364F"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0.85 (0.66-1)</w:t>
            </w:r>
          </w:p>
        </w:tc>
        <w:tc>
          <w:tcPr>
            <w:tcW w:w="5523" w:type="dxa"/>
            <w:noWrap/>
            <w:hideMark/>
          </w:tcPr>
          <w:p w14:paraId="342152A9"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Predicted to be involved in snRNA 3'-end processing</w:t>
            </w:r>
          </w:p>
        </w:tc>
      </w:tr>
      <w:tr w:rsidR="004A343C" w:rsidRPr="009371B0" w14:paraId="0FA3629F" w14:textId="77777777" w:rsidTr="005F57B7">
        <w:trPr>
          <w:trHeight w:val="300"/>
        </w:trPr>
        <w:tc>
          <w:tcPr>
            <w:tcW w:w="2127" w:type="dxa"/>
            <w:noWrap/>
            <w:hideMark/>
          </w:tcPr>
          <w:p w14:paraId="570DD936" w14:textId="77777777" w:rsidR="004A343C" w:rsidRPr="009371B0" w:rsidRDefault="004A343C" w:rsidP="00F82186">
            <w:pPr>
              <w:jc w:val="both"/>
              <w:rPr>
                <w:rFonts w:ascii="Times New Roman" w:hAnsi="Times New Roman" w:cs="Times New Roman"/>
                <w:i/>
                <w:iCs/>
                <w:sz w:val="20"/>
                <w:szCs w:val="20"/>
              </w:rPr>
            </w:pPr>
            <w:bookmarkStart w:id="9" w:name="RANGE!A10"/>
            <w:r w:rsidRPr="009371B0">
              <w:rPr>
                <w:rFonts w:ascii="Times New Roman" w:hAnsi="Times New Roman" w:cs="Times New Roman"/>
                <w:i/>
                <w:iCs/>
                <w:sz w:val="20"/>
                <w:szCs w:val="20"/>
              </w:rPr>
              <w:t>PSAT1</w:t>
            </w:r>
            <w:bookmarkEnd w:id="9"/>
          </w:p>
        </w:tc>
        <w:tc>
          <w:tcPr>
            <w:tcW w:w="1559" w:type="dxa"/>
            <w:noWrap/>
            <w:hideMark/>
          </w:tcPr>
          <w:p w14:paraId="4952CF73"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0.84 (0.7-0.99)</w:t>
            </w:r>
          </w:p>
        </w:tc>
        <w:tc>
          <w:tcPr>
            <w:tcW w:w="5523" w:type="dxa"/>
            <w:noWrap/>
            <w:hideMark/>
          </w:tcPr>
          <w:p w14:paraId="08ED38A9"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Encodes a phosphoserine aminotransferase</w:t>
            </w:r>
          </w:p>
        </w:tc>
      </w:tr>
      <w:tr w:rsidR="004A343C" w:rsidRPr="009371B0" w14:paraId="1EAA8C35" w14:textId="77777777" w:rsidTr="005F57B7">
        <w:trPr>
          <w:trHeight w:val="300"/>
        </w:trPr>
        <w:tc>
          <w:tcPr>
            <w:tcW w:w="2127" w:type="dxa"/>
            <w:noWrap/>
            <w:hideMark/>
          </w:tcPr>
          <w:p w14:paraId="0A0B1C39" w14:textId="77777777" w:rsidR="004A343C" w:rsidRPr="009371B0" w:rsidRDefault="004A343C" w:rsidP="00F82186">
            <w:pPr>
              <w:jc w:val="both"/>
              <w:rPr>
                <w:rFonts w:ascii="Times New Roman" w:hAnsi="Times New Roman" w:cs="Times New Roman"/>
                <w:i/>
                <w:iCs/>
                <w:sz w:val="20"/>
                <w:szCs w:val="20"/>
              </w:rPr>
            </w:pPr>
            <w:bookmarkStart w:id="10" w:name="RANGE!A11"/>
            <w:r w:rsidRPr="009371B0">
              <w:rPr>
                <w:rFonts w:ascii="Times New Roman" w:hAnsi="Times New Roman" w:cs="Times New Roman"/>
                <w:i/>
                <w:iCs/>
                <w:sz w:val="20"/>
                <w:szCs w:val="20"/>
              </w:rPr>
              <w:t>L3MBTL4</w:t>
            </w:r>
            <w:bookmarkEnd w:id="10"/>
          </w:p>
        </w:tc>
        <w:tc>
          <w:tcPr>
            <w:tcW w:w="1559" w:type="dxa"/>
            <w:noWrap/>
            <w:hideMark/>
          </w:tcPr>
          <w:p w14:paraId="67465B7F"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0.84 (0.67-1)</w:t>
            </w:r>
          </w:p>
        </w:tc>
        <w:tc>
          <w:tcPr>
            <w:tcW w:w="5523" w:type="dxa"/>
            <w:noWrap/>
            <w:hideMark/>
          </w:tcPr>
          <w:p w14:paraId="1130F819"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Predicted to enable chromatin binding activity and histone binding activity</w:t>
            </w:r>
          </w:p>
        </w:tc>
      </w:tr>
      <w:tr w:rsidR="004A343C" w:rsidRPr="009371B0" w14:paraId="5A8178B6" w14:textId="77777777" w:rsidTr="005F57B7">
        <w:trPr>
          <w:trHeight w:val="300"/>
        </w:trPr>
        <w:tc>
          <w:tcPr>
            <w:tcW w:w="2127" w:type="dxa"/>
            <w:noWrap/>
            <w:hideMark/>
          </w:tcPr>
          <w:p w14:paraId="0FD19EC7" w14:textId="77777777" w:rsidR="004A343C" w:rsidRPr="009371B0" w:rsidRDefault="004A343C" w:rsidP="00F82186">
            <w:pPr>
              <w:jc w:val="both"/>
              <w:rPr>
                <w:rFonts w:ascii="Times New Roman" w:hAnsi="Times New Roman" w:cs="Times New Roman"/>
                <w:i/>
                <w:iCs/>
                <w:sz w:val="20"/>
                <w:szCs w:val="20"/>
              </w:rPr>
            </w:pPr>
            <w:bookmarkStart w:id="11" w:name="RANGE!A12"/>
            <w:r w:rsidRPr="009371B0">
              <w:rPr>
                <w:rFonts w:ascii="Times New Roman" w:hAnsi="Times New Roman" w:cs="Times New Roman"/>
                <w:i/>
                <w:iCs/>
                <w:sz w:val="20"/>
                <w:szCs w:val="20"/>
              </w:rPr>
              <w:t>TAF4B</w:t>
            </w:r>
            <w:bookmarkEnd w:id="11"/>
          </w:p>
        </w:tc>
        <w:tc>
          <w:tcPr>
            <w:tcW w:w="1559" w:type="dxa"/>
            <w:noWrap/>
            <w:hideMark/>
          </w:tcPr>
          <w:p w14:paraId="77C503BE"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0.82 (0.63-1)</w:t>
            </w:r>
          </w:p>
        </w:tc>
        <w:tc>
          <w:tcPr>
            <w:tcW w:w="5523" w:type="dxa"/>
            <w:noWrap/>
            <w:hideMark/>
          </w:tcPr>
          <w:p w14:paraId="5C2D8CDA"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Encodes a TBP-associated factor that may be responsible for mediating transcription by a subset of activators in B cells</w:t>
            </w:r>
          </w:p>
        </w:tc>
      </w:tr>
      <w:tr w:rsidR="004A343C" w:rsidRPr="009371B0" w14:paraId="3E28FEA6" w14:textId="77777777" w:rsidTr="005F57B7">
        <w:trPr>
          <w:trHeight w:val="300"/>
        </w:trPr>
        <w:tc>
          <w:tcPr>
            <w:tcW w:w="2127" w:type="dxa"/>
            <w:noWrap/>
            <w:hideMark/>
          </w:tcPr>
          <w:p w14:paraId="3400BF13" w14:textId="77777777" w:rsidR="004A343C" w:rsidRPr="009371B0" w:rsidRDefault="004A343C" w:rsidP="00F82186">
            <w:pPr>
              <w:jc w:val="both"/>
              <w:rPr>
                <w:rFonts w:ascii="Times New Roman" w:hAnsi="Times New Roman" w:cs="Times New Roman"/>
                <w:i/>
                <w:iCs/>
                <w:sz w:val="20"/>
                <w:szCs w:val="20"/>
              </w:rPr>
            </w:pPr>
            <w:bookmarkStart w:id="12" w:name="RANGE!A13"/>
            <w:r w:rsidRPr="009371B0">
              <w:rPr>
                <w:rFonts w:ascii="Times New Roman" w:hAnsi="Times New Roman" w:cs="Times New Roman"/>
                <w:i/>
                <w:iCs/>
                <w:sz w:val="20"/>
                <w:szCs w:val="20"/>
              </w:rPr>
              <w:t>PRKX</w:t>
            </w:r>
            <w:bookmarkEnd w:id="12"/>
          </w:p>
        </w:tc>
        <w:tc>
          <w:tcPr>
            <w:tcW w:w="1559" w:type="dxa"/>
            <w:noWrap/>
            <w:hideMark/>
          </w:tcPr>
          <w:p w14:paraId="1BAF1764"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0.81 (0.61-1)</w:t>
            </w:r>
          </w:p>
        </w:tc>
        <w:tc>
          <w:tcPr>
            <w:tcW w:w="5523" w:type="dxa"/>
            <w:noWrap/>
            <w:hideMark/>
          </w:tcPr>
          <w:p w14:paraId="272128DA"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Involved in macrophage and granulocyte maturation</w:t>
            </w:r>
          </w:p>
        </w:tc>
      </w:tr>
      <w:tr w:rsidR="004A343C" w:rsidRPr="009371B0" w14:paraId="69150B32" w14:textId="77777777" w:rsidTr="005F57B7">
        <w:trPr>
          <w:trHeight w:val="300"/>
        </w:trPr>
        <w:tc>
          <w:tcPr>
            <w:tcW w:w="2127" w:type="dxa"/>
            <w:noWrap/>
            <w:hideMark/>
          </w:tcPr>
          <w:p w14:paraId="45BDFCC6" w14:textId="77777777" w:rsidR="004A343C" w:rsidRPr="009371B0" w:rsidRDefault="004A343C" w:rsidP="00F82186">
            <w:pPr>
              <w:jc w:val="both"/>
              <w:rPr>
                <w:rFonts w:ascii="Times New Roman" w:hAnsi="Times New Roman" w:cs="Times New Roman"/>
                <w:i/>
                <w:iCs/>
                <w:sz w:val="20"/>
                <w:szCs w:val="20"/>
              </w:rPr>
            </w:pPr>
            <w:bookmarkStart w:id="13" w:name="RANGE!A14"/>
            <w:r w:rsidRPr="009371B0">
              <w:rPr>
                <w:rFonts w:ascii="Times New Roman" w:hAnsi="Times New Roman" w:cs="Times New Roman"/>
                <w:i/>
                <w:iCs/>
                <w:sz w:val="20"/>
                <w:szCs w:val="20"/>
              </w:rPr>
              <w:t>KIAA0020</w:t>
            </w:r>
            <w:bookmarkEnd w:id="13"/>
          </w:p>
        </w:tc>
        <w:tc>
          <w:tcPr>
            <w:tcW w:w="1559" w:type="dxa"/>
            <w:noWrap/>
            <w:hideMark/>
          </w:tcPr>
          <w:p w14:paraId="249702EF" w14:textId="2013210E"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0.8</w:t>
            </w:r>
            <w:r w:rsidR="00026CFF">
              <w:rPr>
                <w:rFonts w:ascii="Times New Roman" w:hAnsi="Times New Roman" w:cs="Times New Roman" w:hint="eastAsia"/>
                <w:sz w:val="20"/>
                <w:szCs w:val="20"/>
              </w:rPr>
              <w:t>0</w:t>
            </w:r>
            <w:r w:rsidRPr="009371B0">
              <w:rPr>
                <w:rFonts w:ascii="Times New Roman" w:hAnsi="Times New Roman" w:cs="Times New Roman"/>
                <w:sz w:val="20"/>
                <w:szCs w:val="20"/>
              </w:rPr>
              <w:t xml:space="preserve"> (0.62-0.98)</w:t>
            </w:r>
          </w:p>
        </w:tc>
        <w:tc>
          <w:tcPr>
            <w:tcW w:w="5523" w:type="dxa"/>
            <w:noWrap/>
            <w:hideMark/>
          </w:tcPr>
          <w:p w14:paraId="50585DD8"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Enables RNA binding activity</w:t>
            </w:r>
          </w:p>
        </w:tc>
      </w:tr>
      <w:tr w:rsidR="004A343C" w:rsidRPr="009371B0" w14:paraId="025035E8" w14:textId="77777777" w:rsidTr="005F57B7">
        <w:trPr>
          <w:trHeight w:val="300"/>
        </w:trPr>
        <w:tc>
          <w:tcPr>
            <w:tcW w:w="2127" w:type="dxa"/>
            <w:noWrap/>
            <w:hideMark/>
          </w:tcPr>
          <w:p w14:paraId="675B744C" w14:textId="77777777" w:rsidR="004A343C" w:rsidRPr="009371B0" w:rsidRDefault="004A343C" w:rsidP="00F82186">
            <w:pPr>
              <w:jc w:val="both"/>
              <w:rPr>
                <w:rFonts w:ascii="Times New Roman" w:hAnsi="Times New Roman" w:cs="Times New Roman"/>
                <w:i/>
                <w:iCs/>
                <w:sz w:val="20"/>
                <w:szCs w:val="20"/>
              </w:rPr>
            </w:pPr>
            <w:bookmarkStart w:id="14" w:name="RANGE!A15"/>
            <w:r w:rsidRPr="009371B0">
              <w:rPr>
                <w:rFonts w:ascii="Times New Roman" w:hAnsi="Times New Roman" w:cs="Times New Roman"/>
                <w:i/>
                <w:iCs/>
                <w:sz w:val="20"/>
                <w:szCs w:val="20"/>
              </w:rPr>
              <w:t>CENPW</w:t>
            </w:r>
            <w:bookmarkEnd w:id="14"/>
          </w:p>
        </w:tc>
        <w:tc>
          <w:tcPr>
            <w:tcW w:w="1559" w:type="dxa"/>
            <w:noWrap/>
            <w:hideMark/>
          </w:tcPr>
          <w:p w14:paraId="3A898078" w14:textId="18E7C67E"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0.8</w:t>
            </w:r>
            <w:r w:rsidR="00026CFF">
              <w:rPr>
                <w:rFonts w:ascii="Times New Roman" w:hAnsi="Times New Roman" w:cs="Times New Roman" w:hint="eastAsia"/>
                <w:sz w:val="20"/>
                <w:szCs w:val="20"/>
              </w:rPr>
              <w:t>0</w:t>
            </w:r>
            <w:r w:rsidRPr="009371B0">
              <w:rPr>
                <w:rFonts w:ascii="Times New Roman" w:hAnsi="Times New Roman" w:cs="Times New Roman"/>
                <w:sz w:val="20"/>
                <w:szCs w:val="20"/>
              </w:rPr>
              <w:t xml:space="preserve"> (0.61-0.99)</w:t>
            </w:r>
          </w:p>
        </w:tc>
        <w:tc>
          <w:tcPr>
            <w:tcW w:w="5523" w:type="dxa"/>
            <w:noWrap/>
            <w:hideMark/>
          </w:tcPr>
          <w:p w14:paraId="481254E8"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Predicted to enable DNA binding activity and protein heterodimerization activity. Involved in chromosome segregation, kinetochore assembly, and mitotic cell cycle.</w:t>
            </w:r>
          </w:p>
        </w:tc>
      </w:tr>
      <w:tr w:rsidR="004A343C" w:rsidRPr="009371B0" w14:paraId="562B34B8" w14:textId="77777777" w:rsidTr="005F57B7">
        <w:trPr>
          <w:trHeight w:val="300"/>
        </w:trPr>
        <w:tc>
          <w:tcPr>
            <w:tcW w:w="2127" w:type="dxa"/>
            <w:noWrap/>
            <w:hideMark/>
          </w:tcPr>
          <w:p w14:paraId="5A30AECA" w14:textId="77777777" w:rsidR="004A343C" w:rsidRPr="009371B0" w:rsidRDefault="004A343C" w:rsidP="00F82186">
            <w:pPr>
              <w:jc w:val="both"/>
              <w:rPr>
                <w:rFonts w:ascii="Times New Roman" w:hAnsi="Times New Roman" w:cs="Times New Roman"/>
                <w:i/>
                <w:iCs/>
                <w:sz w:val="20"/>
                <w:szCs w:val="20"/>
              </w:rPr>
            </w:pPr>
            <w:bookmarkStart w:id="15" w:name="RANGE!A16"/>
            <w:r w:rsidRPr="009371B0">
              <w:rPr>
                <w:rFonts w:ascii="Times New Roman" w:hAnsi="Times New Roman" w:cs="Times New Roman"/>
                <w:i/>
                <w:iCs/>
                <w:sz w:val="20"/>
                <w:szCs w:val="20"/>
              </w:rPr>
              <w:t>RCL1</w:t>
            </w:r>
            <w:bookmarkEnd w:id="15"/>
          </w:p>
        </w:tc>
        <w:tc>
          <w:tcPr>
            <w:tcW w:w="1559" w:type="dxa"/>
            <w:noWrap/>
            <w:hideMark/>
          </w:tcPr>
          <w:p w14:paraId="18AE6D5B"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0.78 (0.56-1)</w:t>
            </w:r>
          </w:p>
        </w:tc>
        <w:tc>
          <w:tcPr>
            <w:tcW w:w="5523" w:type="dxa"/>
            <w:noWrap/>
            <w:hideMark/>
          </w:tcPr>
          <w:p w14:paraId="76A5EABC"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Enable endoribonuclease activity</w:t>
            </w:r>
          </w:p>
        </w:tc>
      </w:tr>
      <w:tr w:rsidR="004A343C" w:rsidRPr="009371B0" w14:paraId="1609393C" w14:textId="77777777" w:rsidTr="005F57B7">
        <w:trPr>
          <w:trHeight w:val="300"/>
        </w:trPr>
        <w:tc>
          <w:tcPr>
            <w:tcW w:w="2127" w:type="dxa"/>
            <w:noWrap/>
            <w:hideMark/>
          </w:tcPr>
          <w:p w14:paraId="52924B96" w14:textId="77777777" w:rsidR="004A343C" w:rsidRPr="009371B0" w:rsidRDefault="004A343C" w:rsidP="00F82186">
            <w:pPr>
              <w:jc w:val="both"/>
              <w:rPr>
                <w:rFonts w:ascii="Times New Roman" w:hAnsi="Times New Roman" w:cs="Times New Roman"/>
                <w:i/>
                <w:iCs/>
                <w:sz w:val="20"/>
                <w:szCs w:val="20"/>
              </w:rPr>
            </w:pPr>
            <w:bookmarkStart w:id="16" w:name="RANGE!A17"/>
            <w:r w:rsidRPr="009371B0">
              <w:rPr>
                <w:rFonts w:ascii="Times New Roman" w:hAnsi="Times New Roman" w:cs="Times New Roman"/>
                <w:i/>
                <w:iCs/>
                <w:sz w:val="20"/>
                <w:szCs w:val="20"/>
              </w:rPr>
              <w:t>PSRC1</w:t>
            </w:r>
            <w:bookmarkEnd w:id="16"/>
          </w:p>
        </w:tc>
        <w:tc>
          <w:tcPr>
            <w:tcW w:w="1559" w:type="dxa"/>
            <w:noWrap/>
            <w:hideMark/>
          </w:tcPr>
          <w:p w14:paraId="516AA40A"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0.78 (0.53-1)</w:t>
            </w:r>
          </w:p>
        </w:tc>
        <w:tc>
          <w:tcPr>
            <w:tcW w:w="5523" w:type="dxa"/>
            <w:noWrap/>
            <w:hideMark/>
          </w:tcPr>
          <w:p w14:paraId="0323F8B7"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Encodes a target for regulation by TP53</w:t>
            </w:r>
          </w:p>
        </w:tc>
      </w:tr>
      <w:tr w:rsidR="004A343C" w:rsidRPr="009371B0" w14:paraId="73A0BA4B" w14:textId="77777777" w:rsidTr="005F57B7">
        <w:trPr>
          <w:trHeight w:val="300"/>
        </w:trPr>
        <w:tc>
          <w:tcPr>
            <w:tcW w:w="2127" w:type="dxa"/>
            <w:noWrap/>
            <w:hideMark/>
          </w:tcPr>
          <w:p w14:paraId="7AE5617A" w14:textId="77777777" w:rsidR="004A343C" w:rsidRPr="009371B0" w:rsidRDefault="004A343C" w:rsidP="00F82186">
            <w:pPr>
              <w:jc w:val="both"/>
              <w:rPr>
                <w:rFonts w:ascii="Times New Roman" w:hAnsi="Times New Roman" w:cs="Times New Roman"/>
                <w:i/>
                <w:iCs/>
                <w:sz w:val="20"/>
                <w:szCs w:val="20"/>
              </w:rPr>
            </w:pPr>
            <w:bookmarkStart w:id="17" w:name="RANGE!A18"/>
            <w:r w:rsidRPr="009371B0">
              <w:rPr>
                <w:rFonts w:ascii="Times New Roman" w:hAnsi="Times New Roman" w:cs="Times New Roman"/>
                <w:i/>
                <w:iCs/>
                <w:sz w:val="20"/>
                <w:szCs w:val="20"/>
              </w:rPr>
              <w:t>ZNF695</w:t>
            </w:r>
            <w:bookmarkEnd w:id="17"/>
          </w:p>
        </w:tc>
        <w:tc>
          <w:tcPr>
            <w:tcW w:w="1559" w:type="dxa"/>
            <w:noWrap/>
            <w:hideMark/>
          </w:tcPr>
          <w:p w14:paraId="4CD97C62"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0.76 (0.55-0.98)</w:t>
            </w:r>
          </w:p>
        </w:tc>
        <w:tc>
          <w:tcPr>
            <w:tcW w:w="5523" w:type="dxa"/>
            <w:noWrap/>
            <w:hideMark/>
          </w:tcPr>
          <w:p w14:paraId="4E858734"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Predicted to enable DNA-binding transcription factor activity, RNA polymerase II-specific and RNA polymerase II cis-regulatory region sequence-specific DNA binding activity</w:t>
            </w:r>
          </w:p>
        </w:tc>
      </w:tr>
      <w:tr w:rsidR="004A343C" w:rsidRPr="009371B0" w14:paraId="1EF7EC28" w14:textId="77777777" w:rsidTr="005F57B7">
        <w:trPr>
          <w:trHeight w:val="300"/>
        </w:trPr>
        <w:tc>
          <w:tcPr>
            <w:tcW w:w="2127" w:type="dxa"/>
            <w:tcBorders>
              <w:bottom w:val="single" w:sz="4" w:space="0" w:color="auto"/>
            </w:tcBorders>
            <w:noWrap/>
            <w:hideMark/>
          </w:tcPr>
          <w:p w14:paraId="7817B85E" w14:textId="77777777" w:rsidR="004A343C" w:rsidRPr="009371B0" w:rsidRDefault="004A343C" w:rsidP="00F82186">
            <w:pPr>
              <w:jc w:val="both"/>
              <w:rPr>
                <w:rFonts w:ascii="Times New Roman" w:hAnsi="Times New Roman" w:cs="Times New Roman"/>
                <w:i/>
                <w:iCs/>
                <w:sz w:val="20"/>
                <w:szCs w:val="20"/>
              </w:rPr>
            </w:pPr>
            <w:bookmarkStart w:id="18" w:name="RANGE!A19"/>
            <w:r w:rsidRPr="009371B0">
              <w:rPr>
                <w:rFonts w:ascii="Times New Roman" w:hAnsi="Times New Roman" w:cs="Times New Roman"/>
                <w:i/>
                <w:iCs/>
                <w:sz w:val="20"/>
                <w:szCs w:val="20"/>
              </w:rPr>
              <w:t>LBR</w:t>
            </w:r>
            <w:bookmarkEnd w:id="18"/>
          </w:p>
        </w:tc>
        <w:tc>
          <w:tcPr>
            <w:tcW w:w="1559" w:type="dxa"/>
            <w:tcBorders>
              <w:bottom w:val="single" w:sz="4" w:space="0" w:color="auto"/>
            </w:tcBorders>
            <w:noWrap/>
            <w:hideMark/>
          </w:tcPr>
          <w:p w14:paraId="4108E85B"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0.76 (0.51-1)</w:t>
            </w:r>
          </w:p>
        </w:tc>
        <w:tc>
          <w:tcPr>
            <w:tcW w:w="5523" w:type="dxa"/>
            <w:tcBorders>
              <w:bottom w:val="single" w:sz="4" w:space="0" w:color="auto"/>
            </w:tcBorders>
            <w:noWrap/>
            <w:hideMark/>
          </w:tcPr>
          <w:p w14:paraId="0DC6CECB" w14:textId="77777777" w:rsidR="004A343C" w:rsidRPr="009371B0" w:rsidRDefault="004A343C" w:rsidP="00F82186">
            <w:pPr>
              <w:jc w:val="both"/>
              <w:rPr>
                <w:rFonts w:ascii="Times New Roman" w:hAnsi="Times New Roman" w:cs="Times New Roman"/>
                <w:sz w:val="20"/>
                <w:szCs w:val="20"/>
              </w:rPr>
            </w:pPr>
            <w:r w:rsidRPr="009371B0">
              <w:rPr>
                <w:rFonts w:ascii="Times New Roman" w:hAnsi="Times New Roman" w:cs="Times New Roman"/>
                <w:sz w:val="20"/>
                <w:szCs w:val="20"/>
              </w:rPr>
              <w:t>Encodes a protein that mediates interaction between chromatin and lamin B</w:t>
            </w:r>
          </w:p>
        </w:tc>
      </w:tr>
      <w:bookmarkEnd w:id="2"/>
      <w:tr w:rsidR="004A343C" w:rsidRPr="009371B0" w14:paraId="29CE1EDC" w14:textId="77777777" w:rsidTr="000C61F6">
        <w:trPr>
          <w:trHeight w:val="300"/>
        </w:trPr>
        <w:tc>
          <w:tcPr>
            <w:tcW w:w="9209" w:type="dxa"/>
            <w:gridSpan w:val="3"/>
            <w:tcBorders>
              <w:top w:val="single" w:sz="4" w:space="0" w:color="auto"/>
            </w:tcBorders>
            <w:noWrap/>
          </w:tcPr>
          <w:p w14:paraId="282B8D07" w14:textId="77777777" w:rsidR="004A343C" w:rsidRPr="009371B0" w:rsidRDefault="004A343C" w:rsidP="00F82186">
            <w:pPr>
              <w:jc w:val="both"/>
              <w:rPr>
                <w:rFonts w:ascii="Times New Roman" w:hAnsi="Times New Roman" w:cs="Times New Roman"/>
                <w:sz w:val="20"/>
                <w:szCs w:val="20"/>
              </w:rPr>
            </w:pPr>
            <w:r>
              <w:rPr>
                <w:rFonts w:ascii="Times New Roman" w:hAnsi="Times New Roman" w:cs="Times New Roman" w:hint="eastAsia"/>
                <w:sz w:val="20"/>
                <w:szCs w:val="20"/>
              </w:rPr>
              <w:t>Abbreviations: AUC, area under the curve; CI, confidence interval</w:t>
            </w:r>
          </w:p>
        </w:tc>
      </w:tr>
    </w:tbl>
    <w:p w14:paraId="2F93CA29" w14:textId="31F3FDAA" w:rsidR="004A343C" w:rsidRDefault="004A343C" w:rsidP="00F82186">
      <w:pPr>
        <w:jc w:val="both"/>
        <w:rPr>
          <w:rFonts w:ascii="Times New Roman" w:hAnsi="Times New Roman" w:cs="Times New Roman"/>
        </w:rPr>
      </w:pPr>
    </w:p>
    <w:p w14:paraId="78571ED9" w14:textId="77777777" w:rsidR="004A343C" w:rsidRDefault="004A343C" w:rsidP="00F82186">
      <w:pPr>
        <w:jc w:val="both"/>
        <w:rPr>
          <w:rFonts w:ascii="Times New Roman" w:hAnsi="Times New Roman" w:cs="Times New Roman"/>
        </w:rPr>
      </w:pPr>
      <w:r>
        <w:rPr>
          <w:rFonts w:ascii="Times New Roman" w:hAnsi="Times New Roman" w:cs="Times New Roman"/>
        </w:rPr>
        <w:br w:type="page"/>
      </w:r>
    </w:p>
    <w:tbl>
      <w:tblPr>
        <w:tblW w:w="8840" w:type="dxa"/>
        <w:tblCellMar>
          <w:left w:w="0" w:type="dxa"/>
          <w:right w:w="0" w:type="dxa"/>
        </w:tblCellMar>
        <w:tblLook w:val="0600" w:firstRow="0" w:lastRow="0" w:firstColumn="0" w:lastColumn="0" w:noHBand="1" w:noVBand="1"/>
      </w:tblPr>
      <w:tblGrid>
        <w:gridCol w:w="2552"/>
        <w:gridCol w:w="1843"/>
        <w:gridCol w:w="1417"/>
        <w:gridCol w:w="1843"/>
        <w:gridCol w:w="1185"/>
      </w:tblGrid>
      <w:tr w:rsidR="004A343C" w:rsidRPr="009F3680" w14:paraId="6A04DF7B" w14:textId="77777777" w:rsidTr="000C61F6">
        <w:trPr>
          <w:trHeight w:val="285"/>
        </w:trPr>
        <w:tc>
          <w:tcPr>
            <w:tcW w:w="8840" w:type="dxa"/>
            <w:gridSpan w:val="5"/>
            <w:tcBorders>
              <w:left w:val="nil"/>
              <w:bottom w:val="single" w:sz="4" w:space="0" w:color="auto"/>
              <w:right w:val="nil"/>
            </w:tcBorders>
            <w:shd w:val="clear" w:color="auto" w:fill="auto"/>
            <w:tcMar>
              <w:top w:w="15" w:type="dxa"/>
              <w:left w:w="15" w:type="dxa"/>
              <w:bottom w:w="0" w:type="dxa"/>
              <w:right w:w="15" w:type="dxa"/>
            </w:tcMar>
            <w:vAlign w:val="bottom"/>
            <w:hideMark/>
          </w:tcPr>
          <w:p w14:paraId="41475E99" w14:textId="77777777" w:rsidR="004A343C" w:rsidRPr="009F3680" w:rsidRDefault="004A343C" w:rsidP="00F82186">
            <w:pPr>
              <w:spacing w:after="0" w:line="240" w:lineRule="auto"/>
              <w:jc w:val="both"/>
              <w:textAlignment w:val="bottom"/>
              <w:rPr>
                <w:rFonts w:ascii="Times New Roman" w:eastAsia="Times New Roman" w:hAnsi="Times New Roman" w:cs="Times New Roman"/>
                <w:b/>
                <w:bCs/>
                <w:kern w:val="0"/>
                <w:sz w:val="20"/>
                <w:szCs w:val="20"/>
                <w14:ligatures w14:val="none"/>
              </w:rPr>
            </w:pPr>
            <w:r>
              <w:rPr>
                <w:i/>
                <w:iCs/>
              </w:rPr>
              <w:lastRenderedPageBreak/>
              <w:br w:type="page"/>
            </w:r>
            <w:r w:rsidRPr="009F3680">
              <w:rPr>
                <w:rFonts w:ascii="Times New Roman" w:eastAsia="微软雅黑" w:hAnsi="Times New Roman" w:cs="Times New Roman"/>
                <w:b/>
                <w:bCs/>
                <w:color w:val="000000" w:themeColor="text1"/>
                <w:kern w:val="24"/>
                <w:sz w:val="20"/>
                <w:szCs w:val="20"/>
                <w14:ligatures w14:val="none"/>
              </w:rPr>
              <w:t>Table S</w:t>
            </w:r>
            <w:r>
              <w:rPr>
                <w:rFonts w:ascii="Times New Roman" w:eastAsia="微软雅黑" w:hAnsi="Times New Roman" w:cs="Times New Roman" w:hint="eastAsia"/>
                <w:b/>
                <w:bCs/>
                <w:color w:val="000000" w:themeColor="text1"/>
                <w:kern w:val="24"/>
                <w:sz w:val="20"/>
                <w:szCs w:val="20"/>
                <w14:ligatures w14:val="none"/>
              </w:rPr>
              <w:t>3</w:t>
            </w:r>
            <w:r w:rsidRPr="009F3680">
              <w:rPr>
                <w:rFonts w:ascii="Times New Roman" w:eastAsia="微软雅黑" w:hAnsi="Times New Roman" w:cs="Times New Roman"/>
                <w:b/>
                <w:bCs/>
                <w:color w:val="000000" w:themeColor="text1"/>
                <w:kern w:val="24"/>
                <w:sz w:val="20"/>
                <w:szCs w:val="20"/>
                <w14:ligatures w14:val="none"/>
              </w:rPr>
              <w:t xml:space="preserve">. Univariate analysis of baseline gene expression for </w:t>
            </w:r>
            <w:r w:rsidRPr="009F3680">
              <w:rPr>
                <w:rFonts w:ascii="Times New Roman" w:eastAsia="微软雅黑" w:hAnsi="Times New Roman" w:cs="Times New Roman" w:hint="eastAsia"/>
                <w:b/>
                <w:bCs/>
                <w:color w:val="000000" w:themeColor="text1"/>
                <w:kern w:val="24"/>
                <w:sz w:val="20"/>
                <w:szCs w:val="20"/>
                <w14:ligatures w14:val="none"/>
              </w:rPr>
              <w:t>survival out</w:t>
            </w:r>
            <w:r>
              <w:rPr>
                <w:rFonts w:ascii="Times New Roman" w:eastAsia="微软雅黑" w:hAnsi="Times New Roman" w:cs="Times New Roman" w:hint="eastAsia"/>
                <w:b/>
                <w:bCs/>
                <w:color w:val="000000" w:themeColor="text1"/>
                <w:kern w:val="24"/>
                <w:sz w:val="20"/>
                <w:szCs w:val="20"/>
                <w14:ligatures w14:val="none"/>
              </w:rPr>
              <w:t>c</w:t>
            </w:r>
            <w:r w:rsidRPr="009F3680">
              <w:rPr>
                <w:rFonts w:ascii="Times New Roman" w:eastAsia="微软雅黑" w:hAnsi="Times New Roman" w:cs="Times New Roman" w:hint="eastAsia"/>
                <w:b/>
                <w:bCs/>
                <w:color w:val="000000" w:themeColor="text1"/>
                <w:kern w:val="24"/>
                <w:sz w:val="20"/>
                <w:szCs w:val="20"/>
                <w14:ligatures w14:val="none"/>
              </w:rPr>
              <w:t>omes</w:t>
            </w:r>
          </w:p>
        </w:tc>
      </w:tr>
      <w:tr w:rsidR="004A343C" w:rsidRPr="009F3680" w14:paraId="5C841D3C" w14:textId="77777777" w:rsidTr="000C61F6">
        <w:trPr>
          <w:trHeight w:val="285"/>
        </w:trPr>
        <w:tc>
          <w:tcPr>
            <w:tcW w:w="2552" w:type="dxa"/>
            <w:tcBorders>
              <w:top w:val="single" w:sz="4" w:space="0" w:color="auto"/>
              <w:left w:val="nil"/>
              <w:bottom w:val="nil"/>
              <w:right w:val="nil"/>
            </w:tcBorders>
            <w:shd w:val="clear" w:color="auto" w:fill="auto"/>
            <w:tcMar>
              <w:top w:w="15" w:type="dxa"/>
              <w:left w:w="15" w:type="dxa"/>
              <w:bottom w:w="0" w:type="dxa"/>
              <w:right w:w="15" w:type="dxa"/>
            </w:tcMar>
            <w:vAlign w:val="bottom"/>
            <w:hideMark/>
          </w:tcPr>
          <w:p w14:paraId="57FE71F6" w14:textId="77777777" w:rsidR="004A343C" w:rsidRPr="009F3680" w:rsidRDefault="004A343C" w:rsidP="00F82186">
            <w:pPr>
              <w:spacing w:after="0" w:line="240" w:lineRule="auto"/>
              <w:jc w:val="both"/>
              <w:rPr>
                <w:rFonts w:ascii="Times New Roman" w:eastAsia="Times New Roman" w:hAnsi="Times New Roman" w:cs="Times New Roman"/>
                <w:kern w:val="0"/>
                <w:sz w:val="20"/>
                <w:szCs w:val="20"/>
                <w14:ligatures w14:val="none"/>
              </w:rPr>
            </w:pPr>
          </w:p>
        </w:tc>
        <w:tc>
          <w:tcPr>
            <w:tcW w:w="3260" w:type="dxa"/>
            <w:gridSpan w:val="2"/>
            <w:tcBorders>
              <w:top w:val="single" w:sz="4" w:space="0" w:color="auto"/>
              <w:left w:val="nil"/>
              <w:bottom w:val="single" w:sz="8" w:space="0" w:color="000000"/>
              <w:right w:val="nil"/>
            </w:tcBorders>
            <w:shd w:val="clear" w:color="auto" w:fill="auto"/>
            <w:tcMar>
              <w:top w:w="15" w:type="dxa"/>
              <w:left w:w="15" w:type="dxa"/>
              <w:bottom w:w="0" w:type="dxa"/>
              <w:right w:w="15" w:type="dxa"/>
            </w:tcMar>
            <w:vAlign w:val="bottom"/>
            <w:hideMark/>
          </w:tcPr>
          <w:p w14:paraId="5766C302"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Disease-free survival</w:t>
            </w:r>
          </w:p>
        </w:tc>
        <w:tc>
          <w:tcPr>
            <w:tcW w:w="3028" w:type="dxa"/>
            <w:gridSpan w:val="2"/>
            <w:tcBorders>
              <w:top w:val="single" w:sz="4" w:space="0" w:color="auto"/>
              <w:left w:val="nil"/>
              <w:bottom w:val="single" w:sz="8" w:space="0" w:color="000000"/>
              <w:right w:val="nil"/>
            </w:tcBorders>
            <w:shd w:val="clear" w:color="auto" w:fill="auto"/>
            <w:tcMar>
              <w:top w:w="15" w:type="dxa"/>
              <w:left w:w="15" w:type="dxa"/>
              <w:bottom w:w="0" w:type="dxa"/>
              <w:right w:w="15" w:type="dxa"/>
            </w:tcMar>
            <w:vAlign w:val="bottom"/>
            <w:hideMark/>
          </w:tcPr>
          <w:p w14:paraId="1C53F8FF"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Overall survival</w:t>
            </w:r>
          </w:p>
        </w:tc>
      </w:tr>
      <w:tr w:rsidR="004A343C" w:rsidRPr="009F3680" w14:paraId="3A49A150" w14:textId="77777777" w:rsidTr="000C61F6">
        <w:trPr>
          <w:trHeight w:val="285"/>
        </w:trPr>
        <w:tc>
          <w:tcPr>
            <w:tcW w:w="2552"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53627564"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Gene</w:t>
            </w:r>
            <w:r>
              <w:rPr>
                <w:rFonts w:ascii="Times New Roman" w:eastAsia="微软雅黑" w:hAnsi="Times New Roman" w:cs="Times New Roman" w:hint="eastAsia"/>
                <w:color w:val="000000" w:themeColor="text1"/>
                <w:kern w:val="24"/>
                <w:sz w:val="20"/>
                <w:szCs w:val="20"/>
                <w14:ligatures w14:val="none"/>
              </w:rPr>
              <w:t xml:space="preserve"> (High vs. Low)</w:t>
            </w:r>
          </w:p>
        </w:tc>
        <w:tc>
          <w:tcPr>
            <w:tcW w:w="18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bottom"/>
            <w:hideMark/>
          </w:tcPr>
          <w:p w14:paraId="033E5B11"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HR (95% CI)</w:t>
            </w:r>
          </w:p>
        </w:tc>
        <w:tc>
          <w:tcPr>
            <w:tcW w:w="1417"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bottom"/>
            <w:hideMark/>
          </w:tcPr>
          <w:p w14:paraId="0A385792"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i/>
                <w:iCs/>
                <w:color w:val="000000" w:themeColor="text1"/>
                <w:kern w:val="24"/>
                <w:sz w:val="20"/>
                <w:szCs w:val="20"/>
                <w14:ligatures w14:val="none"/>
              </w:rPr>
              <w:t>P</w:t>
            </w:r>
            <w:r w:rsidRPr="009F3680">
              <w:rPr>
                <w:rFonts w:ascii="Times New Roman" w:eastAsia="微软雅黑" w:hAnsi="Times New Roman" w:cs="Times New Roman"/>
                <w:color w:val="000000" w:themeColor="text1"/>
                <w:kern w:val="24"/>
                <w:sz w:val="20"/>
                <w:szCs w:val="20"/>
                <w14:ligatures w14:val="none"/>
              </w:rPr>
              <w:t>-value</w:t>
            </w:r>
          </w:p>
        </w:tc>
        <w:tc>
          <w:tcPr>
            <w:tcW w:w="18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bottom"/>
            <w:hideMark/>
          </w:tcPr>
          <w:p w14:paraId="2E843EF4"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HR (95% CI)</w:t>
            </w:r>
          </w:p>
        </w:tc>
        <w:tc>
          <w:tcPr>
            <w:tcW w:w="1185"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bottom"/>
            <w:hideMark/>
          </w:tcPr>
          <w:p w14:paraId="226FE8FB"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i/>
                <w:iCs/>
                <w:color w:val="000000" w:themeColor="text1"/>
                <w:kern w:val="24"/>
                <w:sz w:val="20"/>
                <w:szCs w:val="20"/>
                <w14:ligatures w14:val="none"/>
              </w:rPr>
              <w:t>P</w:t>
            </w:r>
            <w:r w:rsidRPr="009F3680">
              <w:rPr>
                <w:rFonts w:ascii="Times New Roman" w:eastAsia="微软雅黑" w:hAnsi="Times New Roman" w:cs="Times New Roman"/>
                <w:color w:val="000000" w:themeColor="text1"/>
                <w:kern w:val="24"/>
                <w:sz w:val="20"/>
                <w:szCs w:val="20"/>
                <w14:ligatures w14:val="none"/>
              </w:rPr>
              <w:t>-value</w:t>
            </w:r>
          </w:p>
        </w:tc>
      </w:tr>
      <w:tr w:rsidR="004A343C" w:rsidRPr="009F3680" w14:paraId="296B46A6" w14:textId="77777777" w:rsidTr="000C61F6">
        <w:trPr>
          <w:trHeight w:val="285"/>
        </w:trPr>
        <w:tc>
          <w:tcPr>
            <w:tcW w:w="2552"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35BE5E21"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i/>
                <w:iCs/>
                <w:color w:val="000000" w:themeColor="text1"/>
                <w:kern w:val="24"/>
                <w:sz w:val="20"/>
                <w:szCs w:val="20"/>
                <w14:ligatures w14:val="none"/>
              </w:rPr>
              <w:t>NHSL1</w:t>
            </w:r>
          </w:p>
        </w:tc>
        <w:tc>
          <w:tcPr>
            <w:tcW w:w="1843"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632DF4E6"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4.7 (1.05-21.13)</w:t>
            </w:r>
          </w:p>
        </w:tc>
        <w:tc>
          <w:tcPr>
            <w:tcW w:w="1417"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7518FE62"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0.043*</w:t>
            </w:r>
          </w:p>
        </w:tc>
        <w:tc>
          <w:tcPr>
            <w:tcW w:w="1843"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5AE3E5D8"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8.76 (0.91-84.24)</w:t>
            </w:r>
          </w:p>
        </w:tc>
        <w:tc>
          <w:tcPr>
            <w:tcW w:w="1185"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73F56D34"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0.060</w:t>
            </w:r>
          </w:p>
        </w:tc>
      </w:tr>
      <w:tr w:rsidR="004A343C" w:rsidRPr="009F3680" w14:paraId="25562177" w14:textId="77777777" w:rsidTr="000C61F6">
        <w:trPr>
          <w:trHeight w:val="285"/>
        </w:trPr>
        <w:tc>
          <w:tcPr>
            <w:tcW w:w="2552" w:type="dxa"/>
            <w:tcBorders>
              <w:top w:val="nil"/>
              <w:left w:val="nil"/>
              <w:bottom w:val="nil"/>
              <w:right w:val="nil"/>
            </w:tcBorders>
            <w:shd w:val="clear" w:color="auto" w:fill="auto"/>
            <w:tcMar>
              <w:top w:w="15" w:type="dxa"/>
              <w:left w:w="15" w:type="dxa"/>
              <w:bottom w:w="0" w:type="dxa"/>
              <w:right w:w="15" w:type="dxa"/>
            </w:tcMar>
            <w:vAlign w:val="bottom"/>
            <w:hideMark/>
          </w:tcPr>
          <w:p w14:paraId="1382115E"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i/>
                <w:iCs/>
                <w:color w:val="000000" w:themeColor="text1"/>
                <w:kern w:val="24"/>
                <w:sz w:val="20"/>
                <w:szCs w:val="20"/>
                <w14:ligatures w14:val="none"/>
              </w:rPr>
              <w:t>TRMT11</w:t>
            </w:r>
          </w:p>
        </w:tc>
        <w:tc>
          <w:tcPr>
            <w:tcW w:w="1843" w:type="dxa"/>
            <w:tcBorders>
              <w:top w:val="nil"/>
              <w:left w:val="nil"/>
              <w:bottom w:val="nil"/>
              <w:right w:val="nil"/>
            </w:tcBorders>
            <w:shd w:val="clear" w:color="auto" w:fill="auto"/>
            <w:tcMar>
              <w:top w:w="15" w:type="dxa"/>
              <w:left w:w="15" w:type="dxa"/>
              <w:bottom w:w="0" w:type="dxa"/>
              <w:right w:w="15" w:type="dxa"/>
            </w:tcMar>
            <w:vAlign w:val="bottom"/>
            <w:hideMark/>
          </w:tcPr>
          <w:p w14:paraId="7FE10C6D"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4.4 (0.98-19.7)</w:t>
            </w:r>
          </w:p>
        </w:tc>
        <w:tc>
          <w:tcPr>
            <w:tcW w:w="1417" w:type="dxa"/>
            <w:tcBorders>
              <w:top w:val="nil"/>
              <w:left w:val="nil"/>
              <w:bottom w:val="nil"/>
              <w:right w:val="nil"/>
            </w:tcBorders>
            <w:shd w:val="clear" w:color="auto" w:fill="auto"/>
            <w:tcMar>
              <w:top w:w="15" w:type="dxa"/>
              <w:left w:w="15" w:type="dxa"/>
              <w:bottom w:w="0" w:type="dxa"/>
              <w:right w:w="15" w:type="dxa"/>
            </w:tcMar>
            <w:vAlign w:val="bottom"/>
            <w:hideMark/>
          </w:tcPr>
          <w:p w14:paraId="77A6A429"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0.053</w:t>
            </w:r>
          </w:p>
        </w:tc>
        <w:tc>
          <w:tcPr>
            <w:tcW w:w="1843" w:type="dxa"/>
            <w:tcBorders>
              <w:top w:val="nil"/>
              <w:left w:val="nil"/>
              <w:bottom w:val="nil"/>
              <w:right w:val="nil"/>
            </w:tcBorders>
            <w:shd w:val="clear" w:color="auto" w:fill="auto"/>
            <w:tcMar>
              <w:top w:w="15" w:type="dxa"/>
              <w:left w:w="15" w:type="dxa"/>
              <w:bottom w:w="0" w:type="dxa"/>
              <w:right w:w="15" w:type="dxa"/>
            </w:tcMar>
            <w:vAlign w:val="bottom"/>
            <w:hideMark/>
          </w:tcPr>
          <w:p w14:paraId="4EF4AEC2"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2.79 (0.39-19.8)</w:t>
            </w:r>
          </w:p>
        </w:tc>
        <w:tc>
          <w:tcPr>
            <w:tcW w:w="1185" w:type="dxa"/>
            <w:tcBorders>
              <w:top w:val="nil"/>
              <w:left w:val="nil"/>
              <w:bottom w:val="nil"/>
              <w:right w:val="nil"/>
            </w:tcBorders>
            <w:shd w:val="clear" w:color="auto" w:fill="auto"/>
            <w:tcMar>
              <w:top w:w="15" w:type="dxa"/>
              <w:left w:w="15" w:type="dxa"/>
              <w:bottom w:w="0" w:type="dxa"/>
              <w:right w:w="15" w:type="dxa"/>
            </w:tcMar>
            <w:vAlign w:val="bottom"/>
            <w:hideMark/>
          </w:tcPr>
          <w:p w14:paraId="1BE117AE"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0.305</w:t>
            </w:r>
          </w:p>
        </w:tc>
      </w:tr>
      <w:tr w:rsidR="004A343C" w:rsidRPr="009F3680" w14:paraId="2265B261" w14:textId="77777777" w:rsidTr="000C61F6">
        <w:trPr>
          <w:trHeight w:val="285"/>
        </w:trPr>
        <w:tc>
          <w:tcPr>
            <w:tcW w:w="2552" w:type="dxa"/>
            <w:tcBorders>
              <w:top w:val="nil"/>
              <w:left w:val="nil"/>
              <w:bottom w:val="nil"/>
              <w:right w:val="nil"/>
            </w:tcBorders>
            <w:shd w:val="clear" w:color="auto" w:fill="auto"/>
            <w:tcMar>
              <w:top w:w="15" w:type="dxa"/>
              <w:left w:w="15" w:type="dxa"/>
              <w:bottom w:w="0" w:type="dxa"/>
              <w:right w:w="15" w:type="dxa"/>
            </w:tcMar>
            <w:vAlign w:val="bottom"/>
            <w:hideMark/>
          </w:tcPr>
          <w:p w14:paraId="744E8EFF"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i/>
                <w:iCs/>
                <w:color w:val="000000" w:themeColor="text1"/>
                <w:kern w:val="24"/>
                <w:sz w:val="20"/>
                <w:szCs w:val="20"/>
                <w14:ligatures w14:val="none"/>
              </w:rPr>
              <w:t>REPS1</w:t>
            </w:r>
          </w:p>
        </w:tc>
        <w:tc>
          <w:tcPr>
            <w:tcW w:w="1843" w:type="dxa"/>
            <w:tcBorders>
              <w:top w:val="nil"/>
              <w:left w:val="nil"/>
              <w:bottom w:val="nil"/>
              <w:right w:val="nil"/>
            </w:tcBorders>
            <w:shd w:val="clear" w:color="auto" w:fill="auto"/>
            <w:tcMar>
              <w:top w:w="15" w:type="dxa"/>
              <w:left w:w="15" w:type="dxa"/>
              <w:bottom w:w="0" w:type="dxa"/>
              <w:right w:w="15" w:type="dxa"/>
            </w:tcMar>
            <w:vAlign w:val="bottom"/>
            <w:hideMark/>
          </w:tcPr>
          <w:p w14:paraId="04D0B265"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4.4 (0.98-19.7)</w:t>
            </w:r>
          </w:p>
        </w:tc>
        <w:tc>
          <w:tcPr>
            <w:tcW w:w="1417" w:type="dxa"/>
            <w:tcBorders>
              <w:top w:val="nil"/>
              <w:left w:val="nil"/>
              <w:bottom w:val="nil"/>
              <w:right w:val="nil"/>
            </w:tcBorders>
            <w:shd w:val="clear" w:color="auto" w:fill="auto"/>
            <w:tcMar>
              <w:top w:w="15" w:type="dxa"/>
              <w:left w:w="15" w:type="dxa"/>
              <w:bottom w:w="0" w:type="dxa"/>
              <w:right w:w="15" w:type="dxa"/>
            </w:tcMar>
            <w:vAlign w:val="bottom"/>
            <w:hideMark/>
          </w:tcPr>
          <w:p w14:paraId="55587394"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0.053</w:t>
            </w:r>
          </w:p>
        </w:tc>
        <w:tc>
          <w:tcPr>
            <w:tcW w:w="1843" w:type="dxa"/>
            <w:tcBorders>
              <w:top w:val="nil"/>
              <w:left w:val="nil"/>
              <w:bottom w:val="nil"/>
              <w:right w:val="nil"/>
            </w:tcBorders>
            <w:shd w:val="clear" w:color="auto" w:fill="auto"/>
            <w:tcMar>
              <w:top w:w="15" w:type="dxa"/>
              <w:left w:w="15" w:type="dxa"/>
              <w:bottom w:w="0" w:type="dxa"/>
              <w:right w:w="15" w:type="dxa"/>
            </w:tcMar>
            <w:vAlign w:val="bottom"/>
            <w:hideMark/>
          </w:tcPr>
          <w:p w14:paraId="3D56D905"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2.79 (0.39-19.8)</w:t>
            </w:r>
          </w:p>
        </w:tc>
        <w:tc>
          <w:tcPr>
            <w:tcW w:w="1185" w:type="dxa"/>
            <w:tcBorders>
              <w:top w:val="nil"/>
              <w:left w:val="nil"/>
              <w:bottom w:val="nil"/>
              <w:right w:val="nil"/>
            </w:tcBorders>
            <w:shd w:val="clear" w:color="auto" w:fill="auto"/>
            <w:tcMar>
              <w:top w:w="15" w:type="dxa"/>
              <w:left w:w="15" w:type="dxa"/>
              <w:bottom w:w="0" w:type="dxa"/>
              <w:right w:w="15" w:type="dxa"/>
            </w:tcMar>
            <w:vAlign w:val="bottom"/>
            <w:hideMark/>
          </w:tcPr>
          <w:p w14:paraId="47D07001"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0.305</w:t>
            </w:r>
          </w:p>
        </w:tc>
      </w:tr>
      <w:tr w:rsidR="004A343C" w:rsidRPr="009F3680" w14:paraId="134941CE" w14:textId="77777777" w:rsidTr="000C61F6">
        <w:trPr>
          <w:trHeight w:val="285"/>
        </w:trPr>
        <w:tc>
          <w:tcPr>
            <w:tcW w:w="2552" w:type="dxa"/>
            <w:tcBorders>
              <w:top w:val="nil"/>
              <w:left w:val="nil"/>
              <w:bottom w:val="nil"/>
              <w:right w:val="nil"/>
            </w:tcBorders>
            <w:shd w:val="clear" w:color="auto" w:fill="auto"/>
            <w:tcMar>
              <w:top w:w="15" w:type="dxa"/>
              <w:left w:w="15" w:type="dxa"/>
              <w:bottom w:w="0" w:type="dxa"/>
              <w:right w:w="15" w:type="dxa"/>
            </w:tcMar>
            <w:vAlign w:val="bottom"/>
            <w:hideMark/>
          </w:tcPr>
          <w:p w14:paraId="3278E8D0"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i/>
                <w:iCs/>
                <w:color w:val="000000" w:themeColor="text1"/>
                <w:kern w:val="24"/>
                <w:sz w:val="20"/>
                <w:szCs w:val="20"/>
                <w14:ligatures w14:val="none"/>
              </w:rPr>
              <w:t>CDCA3</w:t>
            </w:r>
          </w:p>
        </w:tc>
        <w:tc>
          <w:tcPr>
            <w:tcW w:w="1843" w:type="dxa"/>
            <w:tcBorders>
              <w:top w:val="nil"/>
              <w:left w:val="nil"/>
              <w:bottom w:val="nil"/>
              <w:right w:val="nil"/>
            </w:tcBorders>
            <w:shd w:val="clear" w:color="auto" w:fill="auto"/>
            <w:tcMar>
              <w:top w:w="15" w:type="dxa"/>
              <w:left w:w="15" w:type="dxa"/>
              <w:bottom w:w="0" w:type="dxa"/>
              <w:right w:w="15" w:type="dxa"/>
            </w:tcMar>
            <w:vAlign w:val="bottom"/>
            <w:hideMark/>
          </w:tcPr>
          <w:p w14:paraId="63884888"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4.29 (0.96-19.22)</w:t>
            </w:r>
          </w:p>
        </w:tc>
        <w:tc>
          <w:tcPr>
            <w:tcW w:w="1417" w:type="dxa"/>
            <w:tcBorders>
              <w:top w:val="nil"/>
              <w:left w:val="nil"/>
              <w:bottom w:val="nil"/>
              <w:right w:val="nil"/>
            </w:tcBorders>
            <w:shd w:val="clear" w:color="auto" w:fill="auto"/>
            <w:tcMar>
              <w:top w:w="15" w:type="dxa"/>
              <w:left w:w="15" w:type="dxa"/>
              <w:bottom w:w="0" w:type="dxa"/>
              <w:right w:w="15" w:type="dxa"/>
            </w:tcMar>
            <w:vAlign w:val="bottom"/>
            <w:hideMark/>
          </w:tcPr>
          <w:p w14:paraId="7E53627E"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0.057</w:t>
            </w:r>
          </w:p>
        </w:tc>
        <w:tc>
          <w:tcPr>
            <w:tcW w:w="1843" w:type="dxa"/>
            <w:tcBorders>
              <w:top w:val="nil"/>
              <w:left w:val="nil"/>
              <w:bottom w:val="nil"/>
              <w:right w:val="nil"/>
            </w:tcBorders>
            <w:shd w:val="clear" w:color="auto" w:fill="auto"/>
            <w:tcMar>
              <w:top w:w="15" w:type="dxa"/>
              <w:left w:w="15" w:type="dxa"/>
              <w:bottom w:w="0" w:type="dxa"/>
              <w:right w:w="15" w:type="dxa"/>
            </w:tcMar>
            <w:vAlign w:val="bottom"/>
            <w:hideMark/>
          </w:tcPr>
          <w:p w14:paraId="5FF67ADA"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3.05 (0.43-21.68)</w:t>
            </w:r>
          </w:p>
        </w:tc>
        <w:tc>
          <w:tcPr>
            <w:tcW w:w="1185" w:type="dxa"/>
            <w:tcBorders>
              <w:top w:val="nil"/>
              <w:left w:val="nil"/>
              <w:bottom w:val="nil"/>
              <w:right w:val="nil"/>
            </w:tcBorders>
            <w:shd w:val="clear" w:color="auto" w:fill="auto"/>
            <w:tcMar>
              <w:top w:w="15" w:type="dxa"/>
              <w:left w:w="15" w:type="dxa"/>
              <w:bottom w:w="0" w:type="dxa"/>
              <w:right w:w="15" w:type="dxa"/>
            </w:tcMar>
            <w:vAlign w:val="bottom"/>
            <w:hideMark/>
          </w:tcPr>
          <w:p w14:paraId="0DD3D96F"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0.266</w:t>
            </w:r>
          </w:p>
        </w:tc>
      </w:tr>
      <w:tr w:rsidR="004A343C" w:rsidRPr="009F3680" w14:paraId="332235AF" w14:textId="77777777" w:rsidTr="000C61F6">
        <w:trPr>
          <w:trHeight w:val="285"/>
        </w:trPr>
        <w:tc>
          <w:tcPr>
            <w:tcW w:w="2552" w:type="dxa"/>
            <w:tcBorders>
              <w:top w:val="nil"/>
              <w:left w:val="nil"/>
              <w:bottom w:val="nil"/>
              <w:right w:val="nil"/>
            </w:tcBorders>
            <w:shd w:val="clear" w:color="auto" w:fill="auto"/>
            <w:tcMar>
              <w:top w:w="15" w:type="dxa"/>
              <w:left w:w="15" w:type="dxa"/>
              <w:bottom w:w="0" w:type="dxa"/>
              <w:right w:w="15" w:type="dxa"/>
            </w:tcMar>
            <w:vAlign w:val="bottom"/>
            <w:hideMark/>
          </w:tcPr>
          <w:p w14:paraId="7C6E4470"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i/>
                <w:iCs/>
                <w:color w:val="000000" w:themeColor="text1"/>
                <w:kern w:val="24"/>
                <w:sz w:val="20"/>
                <w:szCs w:val="20"/>
                <w14:ligatures w14:val="none"/>
              </w:rPr>
              <w:t>ZNF695</w:t>
            </w:r>
          </w:p>
        </w:tc>
        <w:tc>
          <w:tcPr>
            <w:tcW w:w="1843" w:type="dxa"/>
            <w:tcBorders>
              <w:top w:val="nil"/>
              <w:left w:val="nil"/>
              <w:bottom w:val="nil"/>
              <w:right w:val="nil"/>
            </w:tcBorders>
            <w:shd w:val="clear" w:color="auto" w:fill="auto"/>
            <w:tcMar>
              <w:top w:w="15" w:type="dxa"/>
              <w:left w:w="15" w:type="dxa"/>
              <w:bottom w:w="0" w:type="dxa"/>
              <w:right w:w="15" w:type="dxa"/>
            </w:tcMar>
            <w:vAlign w:val="bottom"/>
            <w:hideMark/>
          </w:tcPr>
          <w:p w14:paraId="2D447D44"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4.29 (0.96-19.22)</w:t>
            </w:r>
          </w:p>
        </w:tc>
        <w:tc>
          <w:tcPr>
            <w:tcW w:w="1417" w:type="dxa"/>
            <w:tcBorders>
              <w:top w:val="nil"/>
              <w:left w:val="nil"/>
              <w:bottom w:val="nil"/>
              <w:right w:val="nil"/>
            </w:tcBorders>
            <w:shd w:val="clear" w:color="auto" w:fill="auto"/>
            <w:tcMar>
              <w:top w:w="15" w:type="dxa"/>
              <w:left w:w="15" w:type="dxa"/>
              <w:bottom w:w="0" w:type="dxa"/>
              <w:right w:w="15" w:type="dxa"/>
            </w:tcMar>
            <w:vAlign w:val="bottom"/>
            <w:hideMark/>
          </w:tcPr>
          <w:p w14:paraId="378667DB"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0.057</w:t>
            </w:r>
          </w:p>
        </w:tc>
        <w:tc>
          <w:tcPr>
            <w:tcW w:w="1843" w:type="dxa"/>
            <w:tcBorders>
              <w:top w:val="nil"/>
              <w:left w:val="nil"/>
              <w:bottom w:val="nil"/>
              <w:right w:val="nil"/>
            </w:tcBorders>
            <w:shd w:val="clear" w:color="auto" w:fill="auto"/>
            <w:tcMar>
              <w:top w:w="15" w:type="dxa"/>
              <w:left w:w="15" w:type="dxa"/>
              <w:bottom w:w="0" w:type="dxa"/>
              <w:right w:w="15" w:type="dxa"/>
            </w:tcMar>
            <w:vAlign w:val="bottom"/>
            <w:hideMark/>
          </w:tcPr>
          <w:p w14:paraId="3A4B0158"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3.05 (0.43-21.68)</w:t>
            </w:r>
          </w:p>
        </w:tc>
        <w:tc>
          <w:tcPr>
            <w:tcW w:w="1185" w:type="dxa"/>
            <w:tcBorders>
              <w:top w:val="nil"/>
              <w:left w:val="nil"/>
              <w:bottom w:val="nil"/>
              <w:right w:val="nil"/>
            </w:tcBorders>
            <w:shd w:val="clear" w:color="auto" w:fill="auto"/>
            <w:tcMar>
              <w:top w:w="15" w:type="dxa"/>
              <w:left w:w="15" w:type="dxa"/>
              <w:bottom w:w="0" w:type="dxa"/>
              <w:right w:w="15" w:type="dxa"/>
            </w:tcMar>
            <w:vAlign w:val="bottom"/>
            <w:hideMark/>
          </w:tcPr>
          <w:p w14:paraId="6A7F5D11"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0.266</w:t>
            </w:r>
          </w:p>
        </w:tc>
      </w:tr>
      <w:tr w:rsidR="004A343C" w:rsidRPr="009F3680" w14:paraId="57A7AD62" w14:textId="77777777" w:rsidTr="000C61F6">
        <w:trPr>
          <w:trHeight w:val="285"/>
        </w:trPr>
        <w:tc>
          <w:tcPr>
            <w:tcW w:w="2552" w:type="dxa"/>
            <w:tcBorders>
              <w:top w:val="nil"/>
              <w:left w:val="nil"/>
              <w:bottom w:val="nil"/>
              <w:right w:val="nil"/>
            </w:tcBorders>
            <w:shd w:val="clear" w:color="auto" w:fill="auto"/>
            <w:tcMar>
              <w:top w:w="15" w:type="dxa"/>
              <w:left w:w="15" w:type="dxa"/>
              <w:bottom w:w="0" w:type="dxa"/>
              <w:right w:w="15" w:type="dxa"/>
            </w:tcMar>
            <w:vAlign w:val="bottom"/>
            <w:hideMark/>
          </w:tcPr>
          <w:p w14:paraId="4272529D"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i/>
                <w:iCs/>
                <w:color w:val="000000" w:themeColor="text1"/>
                <w:kern w:val="24"/>
                <w:sz w:val="20"/>
                <w:szCs w:val="20"/>
                <w14:ligatures w14:val="none"/>
              </w:rPr>
              <w:t>COLEC12</w:t>
            </w:r>
          </w:p>
        </w:tc>
        <w:tc>
          <w:tcPr>
            <w:tcW w:w="1843" w:type="dxa"/>
            <w:tcBorders>
              <w:top w:val="nil"/>
              <w:left w:val="nil"/>
              <w:bottom w:val="nil"/>
              <w:right w:val="nil"/>
            </w:tcBorders>
            <w:shd w:val="clear" w:color="auto" w:fill="auto"/>
            <w:tcMar>
              <w:top w:w="15" w:type="dxa"/>
              <w:left w:w="15" w:type="dxa"/>
              <w:bottom w:w="0" w:type="dxa"/>
              <w:right w:w="15" w:type="dxa"/>
            </w:tcMar>
            <w:vAlign w:val="bottom"/>
            <w:hideMark/>
          </w:tcPr>
          <w:p w14:paraId="36D83B49"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4.05 (0.91-18.11)</w:t>
            </w:r>
          </w:p>
        </w:tc>
        <w:tc>
          <w:tcPr>
            <w:tcW w:w="1417" w:type="dxa"/>
            <w:tcBorders>
              <w:top w:val="nil"/>
              <w:left w:val="nil"/>
              <w:bottom w:val="nil"/>
              <w:right w:val="nil"/>
            </w:tcBorders>
            <w:shd w:val="clear" w:color="auto" w:fill="auto"/>
            <w:tcMar>
              <w:top w:w="15" w:type="dxa"/>
              <w:left w:w="15" w:type="dxa"/>
              <w:bottom w:w="0" w:type="dxa"/>
              <w:right w:w="15" w:type="dxa"/>
            </w:tcMar>
            <w:vAlign w:val="bottom"/>
            <w:hideMark/>
          </w:tcPr>
          <w:p w14:paraId="206728BA"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0.067</w:t>
            </w:r>
          </w:p>
        </w:tc>
        <w:tc>
          <w:tcPr>
            <w:tcW w:w="1843" w:type="dxa"/>
            <w:tcBorders>
              <w:top w:val="nil"/>
              <w:left w:val="nil"/>
              <w:bottom w:val="nil"/>
              <w:right w:val="nil"/>
            </w:tcBorders>
            <w:shd w:val="clear" w:color="auto" w:fill="auto"/>
            <w:tcMar>
              <w:top w:w="15" w:type="dxa"/>
              <w:left w:w="15" w:type="dxa"/>
              <w:bottom w:w="0" w:type="dxa"/>
              <w:right w:w="15" w:type="dxa"/>
            </w:tcMar>
            <w:vAlign w:val="bottom"/>
            <w:hideMark/>
          </w:tcPr>
          <w:p w14:paraId="30922CCE"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3.05 (0.43-21.68)</w:t>
            </w:r>
          </w:p>
        </w:tc>
        <w:tc>
          <w:tcPr>
            <w:tcW w:w="1185" w:type="dxa"/>
            <w:tcBorders>
              <w:top w:val="nil"/>
              <w:left w:val="nil"/>
              <w:bottom w:val="nil"/>
              <w:right w:val="nil"/>
            </w:tcBorders>
            <w:shd w:val="clear" w:color="auto" w:fill="auto"/>
            <w:tcMar>
              <w:top w:w="15" w:type="dxa"/>
              <w:left w:w="15" w:type="dxa"/>
              <w:bottom w:w="0" w:type="dxa"/>
              <w:right w:w="15" w:type="dxa"/>
            </w:tcMar>
            <w:vAlign w:val="bottom"/>
            <w:hideMark/>
          </w:tcPr>
          <w:p w14:paraId="72CDAE61"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0.266</w:t>
            </w:r>
          </w:p>
        </w:tc>
      </w:tr>
      <w:tr w:rsidR="004A343C" w:rsidRPr="009F3680" w14:paraId="3AB92ADF" w14:textId="77777777" w:rsidTr="00F13E07">
        <w:trPr>
          <w:trHeight w:val="285"/>
        </w:trPr>
        <w:tc>
          <w:tcPr>
            <w:tcW w:w="2552" w:type="dxa"/>
            <w:tcBorders>
              <w:top w:val="nil"/>
              <w:left w:val="nil"/>
              <w:right w:val="nil"/>
            </w:tcBorders>
            <w:shd w:val="clear" w:color="auto" w:fill="auto"/>
            <w:tcMar>
              <w:top w:w="15" w:type="dxa"/>
              <w:left w:w="15" w:type="dxa"/>
              <w:bottom w:w="0" w:type="dxa"/>
              <w:right w:w="15" w:type="dxa"/>
            </w:tcMar>
            <w:vAlign w:val="bottom"/>
            <w:hideMark/>
          </w:tcPr>
          <w:p w14:paraId="56B3630A"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i/>
                <w:iCs/>
                <w:color w:val="000000" w:themeColor="text1"/>
                <w:kern w:val="24"/>
                <w:sz w:val="20"/>
                <w:szCs w:val="20"/>
                <w14:ligatures w14:val="none"/>
              </w:rPr>
              <w:t>LBR</w:t>
            </w:r>
          </w:p>
        </w:tc>
        <w:tc>
          <w:tcPr>
            <w:tcW w:w="1843" w:type="dxa"/>
            <w:tcBorders>
              <w:top w:val="nil"/>
              <w:left w:val="nil"/>
              <w:right w:val="nil"/>
            </w:tcBorders>
            <w:shd w:val="clear" w:color="auto" w:fill="auto"/>
            <w:tcMar>
              <w:top w:w="15" w:type="dxa"/>
              <w:left w:w="15" w:type="dxa"/>
              <w:bottom w:w="0" w:type="dxa"/>
              <w:right w:w="15" w:type="dxa"/>
            </w:tcMar>
            <w:vAlign w:val="bottom"/>
            <w:hideMark/>
          </w:tcPr>
          <w:p w14:paraId="3AEB59B0"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2.54 (0.57-11.38)</w:t>
            </w:r>
          </w:p>
        </w:tc>
        <w:tc>
          <w:tcPr>
            <w:tcW w:w="1417" w:type="dxa"/>
            <w:tcBorders>
              <w:top w:val="nil"/>
              <w:left w:val="nil"/>
              <w:right w:val="nil"/>
            </w:tcBorders>
            <w:shd w:val="clear" w:color="auto" w:fill="auto"/>
            <w:tcMar>
              <w:top w:w="15" w:type="dxa"/>
              <w:left w:w="15" w:type="dxa"/>
              <w:bottom w:w="0" w:type="dxa"/>
              <w:right w:w="15" w:type="dxa"/>
            </w:tcMar>
            <w:vAlign w:val="bottom"/>
            <w:hideMark/>
          </w:tcPr>
          <w:p w14:paraId="71DC93B8"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0.223</w:t>
            </w:r>
          </w:p>
        </w:tc>
        <w:tc>
          <w:tcPr>
            <w:tcW w:w="1843" w:type="dxa"/>
            <w:tcBorders>
              <w:top w:val="nil"/>
              <w:left w:val="nil"/>
              <w:right w:val="nil"/>
            </w:tcBorders>
            <w:shd w:val="clear" w:color="auto" w:fill="auto"/>
            <w:tcMar>
              <w:top w:w="15" w:type="dxa"/>
              <w:left w:w="15" w:type="dxa"/>
              <w:bottom w:w="0" w:type="dxa"/>
              <w:right w:w="15" w:type="dxa"/>
            </w:tcMar>
            <w:vAlign w:val="bottom"/>
            <w:hideMark/>
          </w:tcPr>
          <w:p w14:paraId="361BF16E"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9.16 (0.95-88.21)</w:t>
            </w:r>
          </w:p>
        </w:tc>
        <w:tc>
          <w:tcPr>
            <w:tcW w:w="1185" w:type="dxa"/>
            <w:tcBorders>
              <w:top w:val="nil"/>
              <w:left w:val="nil"/>
              <w:right w:val="nil"/>
            </w:tcBorders>
            <w:shd w:val="clear" w:color="auto" w:fill="auto"/>
            <w:tcMar>
              <w:top w:w="15" w:type="dxa"/>
              <w:left w:w="15" w:type="dxa"/>
              <w:bottom w:w="0" w:type="dxa"/>
              <w:right w:w="15" w:type="dxa"/>
            </w:tcMar>
            <w:vAlign w:val="bottom"/>
            <w:hideMark/>
          </w:tcPr>
          <w:p w14:paraId="6909DEE7"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0.055</w:t>
            </w:r>
          </w:p>
        </w:tc>
      </w:tr>
      <w:tr w:rsidR="004A343C" w:rsidRPr="009F3680" w14:paraId="6F5734FB" w14:textId="77777777" w:rsidTr="00F13E07">
        <w:trPr>
          <w:trHeight w:val="285"/>
        </w:trPr>
        <w:tc>
          <w:tcPr>
            <w:tcW w:w="2552"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6CAE7684"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i/>
                <w:iCs/>
                <w:color w:val="000000" w:themeColor="text1"/>
                <w:kern w:val="24"/>
                <w:sz w:val="20"/>
                <w:szCs w:val="20"/>
                <w14:ligatures w14:val="none"/>
              </w:rPr>
              <w:t>RAVER2</w:t>
            </w:r>
          </w:p>
        </w:tc>
        <w:tc>
          <w:tcPr>
            <w:tcW w:w="1843"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7C05870F"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2.54 (0.57-11.38)</w:t>
            </w:r>
          </w:p>
        </w:tc>
        <w:tc>
          <w:tcPr>
            <w:tcW w:w="1417"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7B1B33DF"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0.223</w:t>
            </w:r>
          </w:p>
        </w:tc>
        <w:tc>
          <w:tcPr>
            <w:tcW w:w="1843"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5DA1E1BA"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9.16 (0.95-88.21)</w:t>
            </w:r>
          </w:p>
        </w:tc>
        <w:tc>
          <w:tcPr>
            <w:tcW w:w="1185"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265D962E" w14:textId="77777777" w:rsidR="004A343C" w:rsidRPr="009F3680" w:rsidRDefault="004A343C" w:rsidP="00F82186">
            <w:pPr>
              <w:spacing w:after="0" w:line="240" w:lineRule="auto"/>
              <w:jc w:val="both"/>
              <w:textAlignment w:val="bottom"/>
              <w:rPr>
                <w:rFonts w:ascii="Times New Roman" w:eastAsia="Times New Roman" w:hAnsi="Times New Roman" w:cs="Times New Roman"/>
                <w:kern w:val="0"/>
                <w:sz w:val="20"/>
                <w:szCs w:val="20"/>
                <w14:ligatures w14:val="none"/>
              </w:rPr>
            </w:pPr>
            <w:r w:rsidRPr="009F3680">
              <w:rPr>
                <w:rFonts w:ascii="Times New Roman" w:eastAsia="微软雅黑" w:hAnsi="Times New Roman" w:cs="Times New Roman"/>
                <w:color w:val="000000" w:themeColor="text1"/>
                <w:kern w:val="24"/>
                <w:sz w:val="20"/>
                <w:szCs w:val="20"/>
                <w14:ligatures w14:val="none"/>
              </w:rPr>
              <w:t>0.055</w:t>
            </w:r>
          </w:p>
        </w:tc>
      </w:tr>
      <w:tr w:rsidR="00F13E07" w:rsidRPr="009F3680" w14:paraId="74690E59" w14:textId="77777777" w:rsidTr="00F13E07">
        <w:trPr>
          <w:trHeight w:val="285"/>
        </w:trPr>
        <w:tc>
          <w:tcPr>
            <w:tcW w:w="8840" w:type="dxa"/>
            <w:gridSpan w:val="5"/>
            <w:tcBorders>
              <w:top w:val="single" w:sz="4" w:space="0" w:color="auto"/>
              <w:left w:val="nil"/>
              <w:right w:val="nil"/>
            </w:tcBorders>
            <w:shd w:val="clear" w:color="auto" w:fill="auto"/>
            <w:tcMar>
              <w:top w:w="15" w:type="dxa"/>
              <w:left w:w="15" w:type="dxa"/>
              <w:bottom w:w="0" w:type="dxa"/>
              <w:right w:w="15" w:type="dxa"/>
            </w:tcMar>
            <w:vAlign w:val="bottom"/>
          </w:tcPr>
          <w:p w14:paraId="75AC7748" w14:textId="24455D37" w:rsidR="00F13E07" w:rsidRPr="009F3680" w:rsidRDefault="00F13E07" w:rsidP="00F82186">
            <w:pPr>
              <w:spacing w:after="0" w:line="240" w:lineRule="auto"/>
              <w:jc w:val="both"/>
              <w:textAlignment w:val="bottom"/>
              <w:rPr>
                <w:rFonts w:ascii="Times New Roman" w:eastAsia="微软雅黑" w:hAnsi="Times New Roman" w:cs="Times New Roman"/>
                <w:color w:val="000000" w:themeColor="text1"/>
                <w:kern w:val="24"/>
                <w:sz w:val="20"/>
                <w:szCs w:val="20"/>
                <w14:ligatures w14:val="none"/>
              </w:rPr>
            </w:pPr>
            <w:r>
              <w:rPr>
                <w:rFonts w:ascii="Times New Roman" w:eastAsia="微软雅黑" w:hAnsi="Times New Roman" w:cs="Times New Roman" w:hint="eastAsia"/>
                <w:color w:val="000000"/>
                <w:kern w:val="24"/>
                <w:sz w:val="20"/>
                <w:szCs w:val="20"/>
                <w14:ligatures w14:val="none"/>
              </w:rPr>
              <w:t>Abbreviations: HR, hazard ratio; CI, confidence interval</w:t>
            </w:r>
          </w:p>
        </w:tc>
      </w:tr>
    </w:tbl>
    <w:p w14:paraId="5CFB5B8C" w14:textId="0BF3A2AC" w:rsidR="00F16E8E" w:rsidRDefault="00F16E8E" w:rsidP="00F82186">
      <w:pPr>
        <w:jc w:val="both"/>
        <w:rPr>
          <w:rFonts w:ascii="Times New Roman" w:hAnsi="Times New Roman" w:cs="Times New Roman"/>
        </w:rPr>
      </w:pPr>
    </w:p>
    <w:p w14:paraId="1CB45310" w14:textId="77777777" w:rsidR="00F16E8E" w:rsidRDefault="00F16E8E" w:rsidP="00F82186">
      <w:pPr>
        <w:jc w:val="both"/>
        <w:rPr>
          <w:rFonts w:ascii="Times New Roman" w:hAnsi="Times New Roman" w:cs="Times New Roman"/>
        </w:rPr>
      </w:pPr>
      <w:r>
        <w:rPr>
          <w:rFonts w:ascii="Times New Roman" w:hAnsi="Times New Roman" w:cs="Times New Roman"/>
        </w:rPr>
        <w:br w:type="page"/>
      </w:r>
    </w:p>
    <w:p w14:paraId="59758171" w14:textId="072C1BC3" w:rsidR="004A343C" w:rsidRDefault="00F16E8E" w:rsidP="00F82186">
      <w:pPr>
        <w:pStyle w:val="Heading2"/>
        <w:jc w:val="both"/>
        <w:rPr>
          <w:rFonts w:ascii="Times New Roman" w:hAnsi="Times New Roman" w:cs="Times New Roman"/>
          <w:b/>
          <w:bCs/>
          <w:color w:val="auto"/>
          <w:sz w:val="24"/>
          <w:szCs w:val="24"/>
        </w:rPr>
      </w:pPr>
      <w:r w:rsidRPr="00AF1DFE">
        <w:rPr>
          <w:rFonts w:ascii="Times New Roman" w:hAnsi="Times New Roman" w:cs="Times New Roman" w:hint="eastAsia"/>
          <w:b/>
          <w:bCs/>
          <w:color w:val="auto"/>
          <w:sz w:val="24"/>
          <w:szCs w:val="24"/>
        </w:rPr>
        <w:lastRenderedPageBreak/>
        <w:t xml:space="preserve">Supplementary Figures </w:t>
      </w:r>
    </w:p>
    <w:p w14:paraId="38A308BB" w14:textId="77777777" w:rsidR="002852EC" w:rsidRPr="002852EC" w:rsidRDefault="002852EC" w:rsidP="002852EC"/>
    <w:p w14:paraId="079E8244" w14:textId="6A49EC72" w:rsidR="008642F2" w:rsidRDefault="00993627" w:rsidP="00F82186">
      <w:pPr>
        <w:jc w:val="both"/>
      </w:pPr>
      <w:r>
        <w:rPr>
          <w:noProof/>
        </w:rPr>
        <w:drawing>
          <wp:inline distT="0" distB="0" distL="0" distR="0" wp14:anchorId="3100B2BF" wp14:editId="18F06584">
            <wp:extent cx="5943600" cy="837565"/>
            <wp:effectExtent l="0" t="0" r="0" b="635"/>
            <wp:docPr id="467822667" name="Picture 1" descr="A colorful squar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822667" name="Picture 1" descr="A colorful squares with black text&#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837565"/>
                    </a:xfrm>
                    <a:prstGeom prst="rect">
                      <a:avLst/>
                    </a:prstGeom>
                  </pic:spPr>
                </pic:pic>
              </a:graphicData>
            </a:graphic>
          </wp:inline>
        </w:drawing>
      </w:r>
    </w:p>
    <w:p w14:paraId="72D81FEF" w14:textId="77777777" w:rsidR="002852EC" w:rsidRDefault="002852EC" w:rsidP="002D2DAA">
      <w:pPr>
        <w:spacing w:line="360" w:lineRule="auto"/>
      </w:pPr>
    </w:p>
    <w:p w14:paraId="07A0489C" w14:textId="5838FCE0" w:rsidR="002852EC" w:rsidRDefault="002852EC" w:rsidP="00BF51A1">
      <w:pPr>
        <w:pStyle w:val="Heading3"/>
        <w:spacing w:line="480" w:lineRule="auto"/>
        <w:jc w:val="both"/>
        <w:rPr>
          <w:rFonts w:ascii="Times New Roman" w:hAnsi="Times New Roman" w:cs="Times New Roman"/>
          <w:b/>
          <w:bCs/>
          <w:color w:val="auto"/>
          <w:sz w:val="24"/>
          <w:szCs w:val="24"/>
        </w:rPr>
      </w:pPr>
      <w:r w:rsidRPr="008642F2">
        <w:rPr>
          <w:rFonts w:ascii="Times New Roman" w:hAnsi="Times New Roman" w:cs="Times New Roman"/>
          <w:b/>
          <w:bCs/>
          <w:color w:val="auto"/>
          <w:sz w:val="24"/>
          <w:szCs w:val="24"/>
        </w:rPr>
        <w:t xml:space="preserve">Figure S1. </w:t>
      </w:r>
      <w:r>
        <w:rPr>
          <w:rFonts w:ascii="Times New Roman" w:hAnsi="Times New Roman" w:cs="Times New Roman" w:hint="eastAsia"/>
          <w:b/>
          <w:bCs/>
          <w:color w:val="auto"/>
          <w:sz w:val="24"/>
          <w:szCs w:val="24"/>
        </w:rPr>
        <w:t>Sample availability</w:t>
      </w:r>
      <w:r w:rsidR="00C3028D">
        <w:rPr>
          <w:rFonts w:ascii="Times New Roman" w:hAnsi="Times New Roman" w:cs="Times New Roman" w:hint="eastAsia"/>
          <w:b/>
          <w:bCs/>
          <w:color w:val="auto"/>
          <w:sz w:val="24"/>
          <w:szCs w:val="24"/>
        </w:rPr>
        <w:t xml:space="preserve"> for the study cohort</w:t>
      </w:r>
    </w:p>
    <w:p w14:paraId="25836433" w14:textId="4627CC98" w:rsidR="00BF51A1" w:rsidRDefault="00604FED" w:rsidP="00BF51A1">
      <w:pPr>
        <w:spacing w:line="480" w:lineRule="auto"/>
        <w:jc w:val="both"/>
        <w:rPr>
          <w:rFonts w:ascii="Times New Roman" w:hAnsi="Times New Roman" w:cs="Times New Roman"/>
        </w:rPr>
      </w:pPr>
      <w:r>
        <w:rPr>
          <w:rFonts w:ascii="Times New Roman" w:hAnsi="Times New Roman" w:cs="Times New Roman" w:hint="eastAsia"/>
        </w:rPr>
        <w:t xml:space="preserve">The heatmap </w:t>
      </w:r>
      <w:r w:rsidR="0097576A">
        <w:rPr>
          <w:rFonts w:ascii="Times New Roman" w:hAnsi="Times New Roman" w:cs="Times New Roman" w:hint="eastAsia"/>
        </w:rPr>
        <w:t>displays</w:t>
      </w:r>
      <w:r>
        <w:rPr>
          <w:rFonts w:ascii="Times New Roman" w:hAnsi="Times New Roman" w:cs="Times New Roman" w:hint="eastAsia"/>
        </w:rPr>
        <w:t xml:space="preserve"> the </w:t>
      </w:r>
      <w:r w:rsidR="0097576A">
        <w:rPr>
          <w:rFonts w:ascii="Times New Roman" w:hAnsi="Times New Roman" w:cs="Times New Roman" w:hint="eastAsia"/>
        </w:rPr>
        <w:t xml:space="preserve">availability of data </w:t>
      </w:r>
      <w:r w:rsidR="0097576A">
        <w:rPr>
          <w:rFonts w:ascii="Times New Roman" w:hAnsi="Times New Roman" w:cs="Times New Roman"/>
        </w:rPr>
        <w:t>across</w:t>
      </w:r>
      <w:r w:rsidR="0097576A">
        <w:rPr>
          <w:rFonts w:ascii="Times New Roman" w:hAnsi="Times New Roman" w:cs="Times New Roman" w:hint="eastAsia"/>
        </w:rPr>
        <w:t xml:space="preserve"> various analyses for each of the 73 patients. </w:t>
      </w:r>
      <w:r>
        <w:rPr>
          <w:rFonts w:ascii="Times New Roman" w:hAnsi="Times New Roman" w:cs="Times New Roman" w:hint="eastAsia"/>
        </w:rPr>
        <w:t xml:space="preserve">Each column represents a patient, </w:t>
      </w:r>
      <w:r w:rsidR="0097576A">
        <w:rPr>
          <w:rFonts w:ascii="Times New Roman" w:hAnsi="Times New Roman" w:cs="Times New Roman" w:hint="eastAsia"/>
        </w:rPr>
        <w:t>and each row</w:t>
      </w:r>
      <w:r>
        <w:rPr>
          <w:rFonts w:ascii="Times New Roman" w:hAnsi="Times New Roman" w:cs="Times New Roman" w:hint="eastAsia"/>
        </w:rPr>
        <w:t xml:space="preserve"> correspond</w:t>
      </w:r>
      <w:r w:rsidR="0097576A">
        <w:rPr>
          <w:rFonts w:ascii="Times New Roman" w:hAnsi="Times New Roman" w:cs="Times New Roman" w:hint="eastAsia"/>
        </w:rPr>
        <w:t>s</w:t>
      </w:r>
      <w:r>
        <w:rPr>
          <w:rFonts w:ascii="Times New Roman" w:hAnsi="Times New Roman" w:cs="Times New Roman" w:hint="eastAsia"/>
        </w:rPr>
        <w:t xml:space="preserve"> to </w:t>
      </w:r>
      <w:r w:rsidR="0097576A">
        <w:rPr>
          <w:rFonts w:ascii="Times New Roman" w:hAnsi="Times New Roman" w:cs="Times New Roman" w:hint="eastAsia"/>
        </w:rPr>
        <w:t>a specific sample</w:t>
      </w:r>
      <w:r>
        <w:rPr>
          <w:rFonts w:ascii="Times New Roman" w:hAnsi="Times New Roman" w:cs="Times New Roman" w:hint="eastAsia"/>
        </w:rPr>
        <w:t>.</w:t>
      </w:r>
      <w:r w:rsidR="00C3028D">
        <w:rPr>
          <w:rFonts w:ascii="Times New Roman" w:hAnsi="Times New Roman" w:cs="Times New Roman" w:hint="eastAsia"/>
        </w:rPr>
        <w:t xml:space="preserve"> </w:t>
      </w:r>
      <w:r w:rsidR="00BF51A1">
        <w:rPr>
          <w:rFonts w:ascii="Times New Roman" w:hAnsi="Times New Roman" w:cs="Times New Roman" w:hint="eastAsia"/>
        </w:rPr>
        <w:t xml:space="preserve">ctDNA profiling was </w:t>
      </w:r>
      <w:r w:rsidR="00FC786C">
        <w:rPr>
          <w:rFonts w:ascii="Times New Roman" w:hAnsi="Times New Roman" w:cs="Times New Roman" w:hint="eastAsia"/>
        </w:rPr>
        <w:t>performed</w:t>
      </w:r>
      <w:r w:rsidR="00BF51A1">
        <w:rPr>
          <w:rFonts w:ascii="Times New Roman" w:hAnsi="Times New Roman" w:cs="Times New Roman" w:hint="eastAsia"/>
        </w:rPr>
        <w:t xml:space="preserve"> on plasma samples collected at three time points: </w:t>
      </w:r>
      <w:r w:rsidR="00FC786C">
        <w:rPr>
          <w:rFonts w:ascii="Times New Roman" w:hAnsi="Times New Roman" w:cs="Times New Roman" w:hint="eastAsia"/>
        </w:rPr>
        <w:t xml:space="preserve">before </w:t>
      </w:r>
      <w:r w:rsidR="00BF51A1">
        <w:rPr>
          <w:rFonts w:ascii="Times New Roman" w:hAnsi="Times New Roman" w:cs="Times New Roman" w:hint="eastAsia"/>
        </w:rPr>
        <w:t xml:space="preserve">NAC (P1), during NAC (P2), and </w:t>
      </w:r>
      <w:r w:rsidR="00FC786C">
        <w:rPr>
          <w:rFonts w:ascii="Times New Roman" w:hAnsi="Times New Roman" w:cs="Times New Roman" w:hint="eastAsia"/>
        </w:rPr>
        <w:t xml:space="preserve">after </w:t>
      </w:r>
      <w:r w:rsidR="00BF51A1">
        <w:rPr>
          <w:rFonts w:ascii="Times New Roman" w:hAnsi="Times New Roman" w:cs="Times New Roman" w:hint="eastAsia"/>
        </w:rPr>
        <w:t>NAC (P3).</w:t>
      </w:r>
    </w:p>
    <w:p w14:paraId="0968056C" w14:textId="15E00097" w:rsidR="002852EC" w:rsidRPr="002D2DAA" w:rsidRDefault="00BF51A1" w:rsidP="000043CE">
      <w:pPr>
        <w:rPr>
          <w:rFonts w:ascii="Times New Roman" w:hAnsi="Times New Roman" w:cs="Times New Roman"/>
        </w:rPr>
      </w:pPr>
      <w:r>
        <w:rPr>
          <w:rFonts w:ascii="Times New Roman" w:hAnsi="Times New Roman" w:cs="Times New Roman"/>
        </w:rPr>
        <w:br w:type="page"/>
      </w:r>
    </w:p>
    <w:p w14:paraId="247E105D" w14:textId="10DD61B9" w:rsidR="00AF1DFE" w:rsidRDefault="00AF1DFE" w:rsidP="00F82186">
      <w:pPr>
        <w:jc w:val="both"/>
      </w:pPr>
      <w:r>
        <w:rPr>
          <w:noProof/>
        </w:rPr>
        <w:lastRenderedPageBreak/>
        <w:drawing>
          <wp:inline distT="0" distB="0" distL="0" distR="0" wp14:anchorId="17FAA664" wp14:editId="1D50F54A">
            <wp:extent cx="5943600" cy="3618230"/>
            <wp:effectExtent l="0" t="0" r="0" b="1270"/>
            <wp:docPr id="42267975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679757" name="Picture 1" descr="A screenshot of a graph&#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618230"/>
                    </a:xfrm>
                    <a:prstGeom prst="rect">
                      <a:avLst/>
                    </a:prstGeom>
                  </pic:spPr>
                </pic:pic>
              </a:graphicData>
            </a:graphic>
          </wp:inline>
        </w:drawing>
      </w:r>
    </w:p>
    <w:p w14:paraId="48C5C594" w14:textId="77777777" w:rsidR="00AF1DFE" w:rsidRDefault="00AF1DFE" w:rsidP="00F82186">
      <w:pPr>
        <w:jc w:val="both"/>
      </w:pPr>
    </w:p>
    <w:p w14:paraId="48C31973" w14:textId="339F54C3" w:rsidR="00AF1DFE" w:rsidRDefault="00AF1DFE" w:rsidP="00F82186">
      <w:pPr>
        <w:pStyle w:val="Heading3"/>
        <w:spacing w:line="480" w:lineRule="auto"/>
        <w:jc w:val="both"/>
        <w:rPr>
          <w:rFonts w:ascii="Times New Roman" w:hAnsi="Times New Roman" w:cs="Times New Roman"/>
          <w:b/>
          <w:bCs/>
          <w:color w:val="auto"/>
          <w:sz w:val="24"/>
          <w:szCs w:val="24"/>
        </w:rPr>
      </w:pPr>
      <w:r w:rsidRPr="008642F2">
        <w:rPr>
          <w:rFonts w:ascii="Times New Roman" w:hAnsi="Times New Roman" w:cs="Times New Roman"/>
          <w:b/>
          <w:bCs/>
          <w:color w:val="auto"/>
          <w:sz w:val="24"/>
          <w:szCs w:val="24"/>
        </w:rPr>
        <w:t>Figure S</w:t>
      </w:r>
      <w:r w:rsidR="002D2DAA">
        <w:rPr>
          <w:rFonts w:ascii="Times New Roman" w:hAnsi="Times New Roman" w:cs="Times New Roman" w:hint="eastAsia"/>
          <w:b/>
          <w:bCs/>
          <w:color w:val="auto"/>
          <w:sz w:val="24"/>
          <w:szCs w:val="24"/>
        </w:rPr>
        <w:t>2</w:t>
      </w:r>
      <w:r w:rsidRPr="008642F2">
        <w:rPr>
          <w:rFonts w:ascii="Times New Roman" w:hAnsi="Times New Roman" w:cs="Times New Roman"/>
          <w:b/>
          <w:bCs/>
          <w:color w:val="auto"/>
          <w:sz w:val="24"/>
          <w:szCs w:val="24"/>
        </w:rPr>
        <w:t xml:space="preserve">. </w:t>
      </w:r>
      <w:r w:rsidR="008642F2" w:rsidRPr="008642F2">
        <w:rPr>
          <w:rFonts w:ascii="Times New Roman" w:hAnsi="Times New Roman" w:cs="Times New Roman"/>
          <w:b/>
          <w:bCs/>
          <w:color w:val="auto"/>
          <w:sz w:val="24"/>
          <w:szCs w:val="24"/>
        </w:rPr>
        <w:t>Pathological complete response predicts long-term outcomes</w:t>
      </w:r>
    </w:p>
    <w:p w14:paraId="6DBFCAFB" w14:textId="316E7B2A" w:rsidR="00E10D29" w:rsidRPr="00E85C51" w:rsidRDefault="00E10D29" w:rsidP="00F82186">
      <w:pPr>
        <w:spacing w:line="480" w:lineRule="auto"/>
        <w:jc w:val="both"/>
        <w:rPr>
          <w:rFonts w:ascii="Times New Roman" w:hAnsi="Times New Roman" w:cs="Times New Roman"/>
        </w:rPr>
      </w:pPr>
      <w:r w:rsidRPr="00E10D29">
        <w:rPr>
          <w:rFonts w:ascii="Times New Roman" w:hAnsi="Times New Roman" w:cs="Times New Roman"/>
        </w:rPr>
        <w:t>(</w:t>
      </w:r>
      <w:r w:rsidRPr="00E85C51">
        <w:rPr>
          <w:rFonts w:ascii="Times New Roman" w:hAnsi="Times New Roman" w:cs="Times New Roman"/>
          <w:b/>
          <w:bCs/>
        </w:rPr>
        <w:t>A</w:t>
      </w:r>
      <w:r w:rsidRPr="00E10D29">
        <w:rPr>
          <w:rFonts w:ascii="Times New Roman" w:hAnsi="Times New Roman" w:cs="Times New Roman"/>
        </w:rPr>
        <w:t>)</w:t>
      </w:r>
      <w:r w:rsidR="00EB0593">
        <w:rPr>
          <w:rFonts w:ascii="Times New Roman" w:hAnsi="Times New Roman" w:cs="Times New Roman" w:hint="eastAsia"/>
        </w:rPr>
        <w:t xml:space="preserve"> </w:t>
      </w:r>
      <w:r w:rsidR="004849D8">
        <w:rPr>
          <w:rFonts w:ascii="Times New Roman" w:hAnsi="Times New Roman" w:cs="Times New Roman" w:hint="eastAsia"/>
        </w:rPr>
        <w:t xml:space="preserve">Odds ratio (OR) and 95% confidence intervals (CI) for the association </w:t>
      </w:r>
      <w:r w:rsidR="00F87551">
        <w:rPr>
          <w:rFonts w:ascii="Times New Roman" w:hAnsi="Times New Roman" w:cs="Times New Roman" w:hint="eastAsia"/>
        </w:rPr>
        <w:t>between</w:t>
      </w:r>
      <w:r w:rsidR="004849D8">
        <w:rPr>
          <w:rFonts w:ascii="Times New Roman" w:hAnsi="Times New Roman" w:cs="Times New Roman" w:hint="eastAsia"/>
        </w:rPr>
        <w:t xml:space="preserve"> clinical features </w:t>
      </w:r>
      <w:r w:rsidR="00F87551">
        <w:rPr>
          <w:rFonts w:ascii="Times New Roman" w:hAnsi="Times New Roman" w:cs="Times New Roman" w:hint="eastAsia"/>
        </w:rPr>
        <w:t>and</w:t>
      </w:r>
      <w:r w:rsidR="004849D8">
        <w:rPr>
          <w:rFonts w:ascii="Times New Roman" w:hAnsi="Times New Roman" w:cs="Times New Roman" w:hint="eastAsia"/>
        </w:rPr>
        <w:t xml:space="preserve"> pathological complete response (pCR) </w:t>
      </w:r>
      <w:r w:rsidR="00F87551">
        <w:rPr>
          <w:rFonts w:ascii="Times New Roman" w:hAnsi="Times New Roman" w:cs="Times New Roman" w:hint="eastAsia"/>
        </w:rPr>
        <w:t>following</w:t>
      </w:r>
      <w:r w:rsidR="004849D8">
        <w:rPr>
          <w:rFonts w:ascii="Times New Roman" w:hAnsi="Times New Roman" w:cs="Times New Roman" w:hint="eastAsia"/>
        </w:rPr>
        <w:t xml:space="preserve"> neoadjuvant chemotherapy. </w:t>
      </w:r>
      <w:r w:rsidR="00E85C51">
        <w:rPr>
          <w:rFonts w:ascii="Times New Roman" w:hAnsi="Times New Roman" w:cs="Times New Roman" w:hint="eastAsia"/>
        </w:rPr>
        <w:t>(</w:t>
      </w:r>
      <w:r w:rsidR="00E85C51" w:rsidRPr="005D31B1">
        <w:rPr>
          <w:rFonts w:ascii="Times New Roman" w:hAnsi="Times New Roman" w:cs="Times New Roman" w:hint="eastAsia"/>
          <w:b/>
          <w:bCs/>
        </w:rPr>
        <w:t>B</w:t>
      </w:r>
      <w:r w:rsidR="00E85C51">
        <w:rPr>
          <w:rFonts w:ascii="Times New Roman" w:hAnsi="Times New Roman" w:cs="Times New Roman" w:hint="eastAsia"/>
        </w:rPr>
        <w:t xml:space="preserve">) Bar plots </w:t>
      </w:r>
      <w:r w:rsidR="00F87551">
        <w:rPr>
          <w:rFonts w:ascii="Times New Roman" w:hAnsi="Times New Roman" w:cs="Times New Roman" w:hint="eastAsia"/>
        </w:rPr>
        <w:t>showing</w:t>
      </w:r>
      <w:r w:rsidR="00E85C51">
        <w:rPr>
          <w:rFonts w:ascii="Times New Roman" w:hAnsi="Times New Roman" w:cs="Times New Roman" w:hint="eastAsia"/>
        </w:rPr>
        <w:t xml:space="preserve"> the proportion of patients in subgroups</w:t>
      </w:r>
      <w:r w:rsidR="00F87551">
        <w:rPr>
          <w:rFonts w:ascii="Times New Roman" w:hAnsi="Times New Roman" w:cs="Times New Roman" w:hint="eastAsia"/>
        </w:rPr>
        <w:t>,</w:t>
      </w:r>
      <w:r w:rsidR="00E85C51">
        <w:rPr>
          <w:rFonts w:ascii="Times New Roman" w:hAnsi="Times New Roman" w:cs="Times New Roman" w:hint="eastAsia"/>
        </w:rPr>
        <w:t xml:space="preserve"> stratified by pathological response</w:t>
      </w:r>
      <w:r w:rsidR="00F87551">
        <w:rPr>
          <w:rFonts w:ascii="Times New Roman" w:hAnsi="Times New Roman" w:cs="Times New Roman" w:hint="eastAsia"/>
        </w:rPr>
        <w:t>,</w:t>
      </w:r>
      <w:r w:rsidR="00E85C51">
        <w:rPr>
          <w:rFonts w:ascii="Times New Roman" w:hAnsi="Times New Roman" w:cs="Times New Roman" w:hint="eastAsia"/>
        </w:rPr>
        <w:t xml:space="preserve"> </w:t>
      </w:r>
      <w:r w:rsidR="00F87551">
        <w:rPr>
          <w:rFonts w:ascii="Times New Roman" w:hAnsi="Times New Roman" w:cs="Times New Roman" w:hint="eastAsia"/>
        </w:rPr>
        <w:t>who experienced</w:t>
      </w:r>
      <w:r w:rsidR="00E85C51">
        <w:rPr>
          <w:rFonts w:ascii="Times New Roman" w:hAnsi="Times New Roman" w:cs="Times New Roman" w:hint="eastAsia"/>
        </w:rPr>
        <w:t xml:space="preserve"> disease recurrence or death. </w:t>
      </w:r>
      <w:r w:rsidR="00486CB6">
        <w:rPr>
          <w:rFonts w:ascii="Times New Roman" w:hAnsi="Times New Roman" w:cs="Times New Roman" w:hint="eastAsia"/>
        </w:rPr>
        <w:t>(</w:t>
      </w:r>
      <w:r w:rsidR="00486CB6" w:rsidRPr="00BA7296">
        <w:rPr>
          <w:rFonts w:ascii="Times New Roman" w:hAnsi="Times New Roman" w:cs="Times New Roman" w:hint="eastAsia"/>
          <w:b/>
          <w:bCs/>
        </w:rPr>
        <w:t>C, D</w:t>
      </w:r>
      <w:r w:rsidR="00486CB6">
        <w:rPr>
          <w:rFonts w:ascii="Times New Roman" w:hAnsi="Times New Roman" w:cs="Times New Roman" w:hint="eastAsia"/>
        </w:rPr>
        <w:t xml:space="preserve">) </w:t>
      </w:r>
      <w:r w:rsidR="000B44DF">
        <w:rPr>
          <w:rFonts w:ascii="Times New Roman" w:hAnsi="Times New Roman" w:cs="Times New Roman"/>
        </w:rPr>
        <w:t>Kaplan</w:t>
      </w:r>
      <w:r w:rsidR="000B44DF">
        <w:rPr>
          <w:rFonts w:ascii="Times New Roman" w:hAnsi="Times New Roman" w:cs="Times New Roman" w:hint="eastAsia"/>
        </w:rPr>
        <w:t>-Meier curves illustrate the disease-free survival (</w:t>
      </w:r>
      <w:r w:rsidR="000B44DF" w:rsidRPr="006A1E49">
        <w:rPr>
          <w:rFonts w:ascii="Times New Roman" w:hAnsi="Times New Roman" w:cs="Times New Roman" w:hint="eastAsia"/>
        </w:rPr>
        <w:t>C</w:t>
      </w:r>
      <w:r w:rsidR="000B44DF">
        <w:rPr>
          <w:rFonts w:ascii="Times New Roman" w:hAnsi="Times New Roman" w:cs="Times New Roman" w:hint="eastAsia"/>
        </w:rPr>
        <w:t>) and overall survival (</w:t>
      </w:r>
      <w:r w:rsidR="000B44DF" w:rsidRPr="006A1E49">
        <w:rPr>
          <w:rFonts w:ascii="Times New Roman" w:hAnsi="Times New Roman" w:cs="Times New Roman" w:hint="eastAsia"/>
        </w:rPr>
        <w:t>D</w:t>
      </w:r>
      <w:r w:rsidR="000B44DF">
        <w:rPr>
          <w:rFonts w:ascii="Times New Roman" w:hAnsi="Times New Roman" w:cs="Times New Roman" w:hint="eastAsia"/>
        </w:rPr>
        <w:t xml:space="preserve">) </w:t>
      </w:r>
      <w:r w:rsidR="00F87551">
        <w:rPr>
          <w:rFonts w:ascii="Times New Roman" w:hAnsi="Times New Roman" w:cs="Times New Roman" w:hint="eastAsia"/>
        </w:rPr>
        <w:t>in</w:t>
      </w:r>
      <w:r w:rsidR="000B44DF">
        <w:rPr>
          <w:rFonts w:ascii="Times New Roman" w:hAnsi="Times New Roman" w:cs="Times New Roman" w:hint="eastAsia"/>
        </w:rPr>
        <w:t xml:space="preserve"> pCR and non-pCR patients within the final evaluable population. </w:t>
      </w:r>
    </w:p>
    <w:p w14:paraId="43834453" w14:textId="77777777" w:rsidR="000043CE" w:rsidRDefault="000043CE">
      <w:pPr>
        <w:rPr>
          <w:rFonts w:ascii="Times New Roman" w:hAnsi="Times New Roman" w:cs="Times New Roman"/>
        </w:rPr>
      </w:pPr>
      <w:r>
        <w:rPr>
          <w:rFonts w:ascii="Times New Roman" w:hAnsi="Times New Roman" w:cs="Times New Roman"/>
        </w:rPr>
        <w:br w:type="page"/>
      </w:r>
    </w:p>
    <w:p w14:paraId="1DE10496" w14:textId="77777777" w:rsidR="000043CE" w:rsidRDefault="000043CE" w:rsidP="000043CE">
      <w:pPr>
        <w:rPr>
          <w:rFonts w:ascii="Times New Roman" w:hAnsi="Times New Roman" w:cs="Times New Roman"/>
        </w:rPr>
      </w:pPr>
      <w:r>
        <w:rPr>
          <w:rFonts w:ascii="Times New Roman" w:hAnsi="Times New Roman" w:cs="Times New Roman"/>
          <w:noProof/>
        </w:rPr>
        <w:lastRenderedPageBreak/>
        <w:drawing>
          <wp:inline distT="0" distB="0" distL="0" distR="0" wp14:anchorId="14963368" wp14:editId="613EE589">
            <wp:extent cx="5943600" cy="2428875"/>
            <wp:effectExtent l="0" t="0" r="0" b="9525"/>
            <wp:docPr id="1336660463" name="Picture 1" descr="A diagram of a dna sam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660463" name="Picture 1" descr="A diagram of a dna sampl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428875"/>
                    </a:xfrm>
                    <a:prstGeom prst="rect">
                      <a:avLst/>
                    </a:prstGeom>
                  </pic:spPr>
                </pic:pic>
              </a:graphicData>
            </a:graphic>
          </wp:inline>
        </w:drawing>
      </w:r>
    </w:p>
    <w:p w14:paraId="5C79BF90" w14:textId="114243A5" w:rsidR="000043CE" w:rsidRDefault="000043CE" w:rsidP="000043CE">
      <w:pPr>
        <w:pStyle w:val="Heading3"/>
        <w:spacing w:line="480" w:lineRule="auto"/>
        <w:jc w:val="both"/>
        <w:rPr>
          <w:rFonts w:ascii="Times New Roman" w:hAnsi="Times New Roman" w:cs="Times New Roman"/>
          <w:b/>
          <w:bCs/>
          <w:color w:val="auto"/>
          <w:sz w:val="24"/>
          <w:szCs w:val="24"/>
        </w:rPr>
      </w:pPr>
      <w:r w:rsidRPr="008642F2">
        <w:rPr>
          <w:rFonts w:ascii="Times New Roman" w:hAnsi="Times New Roman" w:cs="Times New Roman"/>
          <w:b/>
          <w:bCs/>
          <w:color w:val="auto"/>
          <w:sz w:val="24"/>
          <w:szCs w:val="24"/>
        </w:rPr>
        <w:t>Figure S</w:t>
      </w:r>
      <w:r>
        <w:rPr>
          <w:rFonts w:ascii="Times New Roman" w:hAnsi="Times New Roman" w:cs="Times New Roman" w:hint="eastAsia"/>
          <w:b/>
          <w:bCs/>
          <w:color w:val="auto"/>
          <w:sz w:val="24"/>
          <w:szCs w:val="24"/>
        </w:rPr>
        <w:t>3</w:t>
      </w:r>
      <w:r w:rsidRPr="008642F2">
        <w:rPr>
          <w:rFonts w:ascii="Times New Roman" w:hAnsi="Times New Roman" w:cs="Times New Roman"/>
          <w:b/>
          <w:bCs/>
          <w:color w:val="auto"/>
          <w:sz w:val="24"/>
          <w:szCs w:val="24"/>
        </w:rPr>
        <w:t xml:space="preserve">. </w:t>
      </w:r>
      <w:r>
        <w:rPr>
          <w:rFonts w:ascii="Times New Roman" w:hAnsi="Times New Roman" w:cs="Times New Roman" w:hint="eastAsia"/>
          <w:b/>
          <w:bCs/>
          <w:color w:val="auto"/>
          <w:sz w:val="24"/>
          <w:szCs w:val="24"/>
        </w:rPr>
        <w:t>Concordance analysis of NGS- and IHC-based methods for cancer subtyping</w:t>
      </w:r>
    </w:p>
    <w:p w14:paraId="45B6E5AF" w14:textId="77777777" w:rsidR="000043CE" w:rsidRDefault="000043CE" w:rsidP="000043CE">
      <w:pPr>
        <w:spacing w:line="480" w:lineRule="auto"/>
        <w:jc w:val="both"/>
        <w:rPr>
          <w:rFonts w:ascii="Times New Roman" w:hAnsi="Times New Roman" w:cs="Times New Roman"/>
        </w:rPr>
      </w:pPr>
      <w:r>
        <w:rPr>
          <w:rFonts w:ascii="Times New Roman" w:hAnsi="Times New Roman" w:cs="Times New Roman" w:hint="eastAsia"/>
        </w:rPr>
        <w:t>(</w:t>
      </w:r>
      <w:r w:rsidRPr="00CF5607">
        <w:rPr>
          <w:rFonts w:ascii="Times New Roman" w:hAnsi="Times New Roman" w:cs="Times New Roman" w:hint="eastAsia"/>
          <w:b/>
          <w:bCs/>
        </w:rPr>
        <w:t>A</w:t>
      </w:r>
      <w:r>
        <w:rPr>
          <w:rFonts w:ascii="Times New Roman" w:hAnsi="Times New Roman" w:cs="Times New Roman" w:hint="eastAsia"/>
        </w:rPr>
        <w:t xml:space="preserve">) </w:t>
      </w:r>
      <w:r>
        <w:rPr>
          <w:rFonts w:ascii="Times New Roman" w:hAnsi="Times New Roman" w:cs="Times New Roman" w:hint="eastAsia"/>
          <w:i/>
          <w:iCs/>
        </w:rPr>
        <w:t>ERBB2</w:t>
      </w:r>
      <w:r>
        <w:rPr>
          <w:rFonts w:ascii="Times New Roman" w:hAnsi="Times New Roman" w:cs="Times New Roman" w:hint="eastAsia"/>
        </w:rPr>
        <w:t xml:space="preserve"> copy number variation status across immunohistochemistry (IHC)-defined receptor subtypes in baseline tumor samples. (</w:t>
      </w:r>
      <w:r w:rsidRPr="00CF5607">
        <w:rPr>
          <w:rFonts w:ascii="Times New Roman" w:hAnsi="Times New Roman" w:cs="Times New Roman" w:hint="eastAsia"/>
          <w:b/>
          <w:bCs/>
        </w:rPr>
        <w:t>B</w:t>
      </w:r>
      <w:r>
        <w:rPr>
          <w:rFonts w:ascii="Times New Roman" w:hAnsi="Times New Roman" w:cs="Times New Roman" w:hint="eastAsia"/>
        </w:rPr>
        <w:t xml:space="preserve">) </w:t>
      </w:r>
      <w:r w:rsidRPr="0036389E">
        <w:rPr>
          <w:rFonts w:ascii="Times New Roman" w:hAnsi="Times New Roman" w:cs="Times New Roman"/>
        </w:rPr>
        <w:t>Concordance analysis of subtype classification between IHC and whole transcriptome sequencing (WTS)-based PAM50 profiling.</w:t>
      </w:r>
      <w:r>
        <w:rPr>
          <w:rFonts w:ascii="Times New Roman" w:hAnsi="Times New Roman" w:cs="Times New Roman" w:hint="eastAsia"/>
        </w:rPr>
        <w:t xml:space="preserve"> The heatmap displays subtype classifications for each patient using both methods, with accuracy and kappa coefficient depicted. Stacked bar plots illustrate the distribution of PAM50 subtypes according to each classification approach. </w:t>
      </w:r>
    </w:p>
    <w:p w14:paraId="48A2952A" w14:textId="4D835C93" w:rsidR="008642F2" w:rsidRDefault="0086708A" w:rsidP="00F82186">
      <w:pPr>
        <w:spacing w:line="480" w:lineRule="auto"/>
        <w:jc w:val="both"/>
      </w:pPr>
      <w:r w:rsidRPr="00E10D29">
        <w:rPr>
          <w:rFonts w:ascii="Times New Roman" w:hAnsi="Times New Roman" w:cs="Times New Roman"/>
        </w:rPr>
        <w:br w:type="page"/>
      </w:r>
    </w:p>
    <w:p w14:paraId="2ADE62FA" w14:textId="1742C4DB" w:rsidR="0086708A" w:rsidRDefault="00821513" w:rsidP="00F82186">
      <w:pPr>
        <w:jc w:val="both"/>
      </w:pPr>
      <w:r>
        <w:rPr>
          <w:noProof/>
        </w:rPr>
        <w:lastRenderedPageBreak/>
        <w:drawing>
          <wp:inline distT="0" distB="0" distL="0" distR="0" wp14:anchorId="08FB09B0" wp14:editId="6FA7F924">
            <wp:extent cx="5943600" cy="6779260"/>
            <wp:effectExtent l="0" t="0" r="0" b="2540"/>
            <wp:docPr id="1430728360"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728360" name="Picture 1" descr="A screenshot of a graph&#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6779260"/>
                    </a:xfrm>
                    <a:prstGeom prst="rect">
                      <a:avLst/>
                    </a:prstGeom>
                  </pic:spPr>
                </pic:pic>
              </a:graphicData>
            </a:graphic>
          </wp:inline>
        </w:drawing>
      </w:r>
    </w:p>
    <w:p w14:paraId="09947BFE" w14:textId="77777777" w:rsidR="00821513" w:rsidRDefault="00821513" w:rsidP="00F82186">
      <w:pPr>
        <w:jc w:val="both"/>
      </w:pPr>
    </w:p>
    <w:p w14:paraId="400B6CF3" w14:textId="09A13A5E" w:rsidR="0086708A" w:rsidRDefault="0086708A" w:rsidP="00F82186">
      <w:pPr>
        <w:pStyle w:val="Heading3"/>
        <w:spacing w:line="480" w:lineRule="auto"/>
        <w:jc w:val="both"/>
        <w:rPr>
          <w:rFonts w:ascii="Times New Roman" w:hAnsi="Times New Roman" w:cs="Times New Roman"/>
          <w:b/>
          <w:bCs/>
          <w:color w:val="auto"/>
          <w:sz w:val="24"/>
          <w:szCs w:val="24"/>
        </w:rPr>
      </w:pPr>
      <w:r w:rsidRPr="0086708A">
        <w:rPr>
          <w:rFonts w:ascii="Times New Roman" w:hAnsi="Times New Roman" w:cs="Times New Roman" w:hint="eastAsia"/>
          <w:b/>
          <w:bCs/>
          <w:color w:val="auto"/>
          <w:sz w:val="24"/>
          <w:szCs w:val="24"/>
        </w:rPr>
        <w:t>Figure S</w:t>
      </w:r>
      <w:r w:rsidR="00F372CA">
        <w:rPr>
          <w:rFonts w:ascii="Times New Roman" w:hAnsi="Times New Roman" w:cs="Times New Roman" w:hint="eastAsia"/>
          <w:b/>
          <w:bCs/>
          <w:color w:val="auto"/>
          <w:sz w:val="24"/>
          <w:szCs w:val="24"/>
        </w:rPr>
        <w:t>4</w:t>
      </w:r>
      <w:r w:rsidRPr="0086708A">
        <w:rPr>
          <w:rFonts w:ascii="Times New Roman" w:hAnsi="Times New Roman" w:cs="Times New Roman" w:hint="eastAsia"/>
          <w:b/>
          <w:bCs/>
          <w:color w:val="auto"/>
          <w:sz w:val="24"/>
          <w:szCs w:val="24"/>
        </w:rPr>
        <w:t>. Genetic landscape of patients before NAC</w:t>
      </w:r>
    </w:p>
    <w:p w14:paraId="34E33884" w14:textId="42E7ECAB" w:rsidR="0086708A" w:rsidRPr="003E5171" w:rsidRDefault="00F553CC" w:rsidP="00F82186">
      <w:pPr>
        <w:spacing w:line="480" w:lineRule="auto"/>
        <w:jc w:val="both"/>
        <w:rPr>
          <w:rFonts w:ascii="Times New Roman" w:hAnsi="Times New Roman" w:cs="Times New Roman"/>
        </w:rPr>
      </w:pPr>
      <w:r w:rsidRPr="007564CB">
        <w:rPr>
          <w:rFonts w:ascii="Times New Roman" w:hAnsi="Times New Roman" w:cs="Times New Roman"/>
        </w:rPr>
        <w:t>(</w:t>
      </w:r>
      <w:r w:rsidRPr="006E3B9F">
        <w:rPr>
          <w:rFonts w:ascii="Times New Roman" w:hAnsi="Times New Roman" w:cs="Times New Roman"/>
          <w:b/>
          <w:bCs/>
        </w:rPr>
        <w:t>A</w:t>
      </w:r>
      <w:r w:rsidRPr="007564CB">
        <w:rPr>
          <w:rFonts w:ascii="Times New Roman" w:hAnsi="Times New Roman" w:cs="Times New Roman"/>
        </w:rPr>
        <w:t>)</w:t>
      </w:r>
      <w:r w:rsidR="007E7AFA">
        <w:rPr>
          <w:rFonts w:ascii="Times New Roman" w:hAnsi="Times New Roman" w:cs="Times New Roman" w:hint="eastAsia"/>
        </w:rPr>
        <w:t xml:space="preserve"> Co-mutation plot of genetic variants in baseline tumors</w:t>
      </w:r>
      <w:r w:rsidR="007854C5">
        <w:rPr>
          <w:rFonts w:ascii="Times New Roman" w:hAnsi="Times New Roman" w:cs="Times New Roman" w:hint="eastAsia"/>
        </w:rPr>
        <w:t xml:space="preserve"> (N=36)</w:t>
      </w:r>
      <w:r w:rsidR="007E7AFA">
        <w:rPr>
          <w:rFonts w:ascii="Times New Roman" w:hAnsi="Times New Roman" w:cs="Times New Roman" w:hint="eastAsia"/>
        </w:rPr>
        <w:t xml:space="preserve">. </w:t>
      </w:r>
      <w:r w:rsidR="002F4C8F">
        <w:rPr>
          <w:rFonts w:ascii="Times New Roman" w:hAnsi="Times New Roman" w:cs="Times New Roman" w:hint="eastAsia"/>
        </w:rPr>
        <w:t>Patients were grouped by pathological response</w:t>
      </w:r>
      <w:r w:rsidR="004E38D1">
        <w:rPr>
          <w:rFonts w:ascii="Times New Roman" w:hAnsi="Times New Roman" w:cs="Times New Roman" w:hint="eastAsia"/>
        </w:rPr>
        <w:t xml:space="preserve"> and each column represents one patient. (</w:t>
      </w:r>
      <w:r w:rsidR="004E38D1" w:rsidRPr="006A1E49">
        <w:rPr>
          <w:rFonts w:ascii="Times New Roman" w:hAnsi="Times New Roman" w:cs="Times New Roman" w:hint="eastAsia"/>
          <w:b/>
          <w:bCs/>
        </w:rPr>
        <w:t>B</w:t>
      </w:r>
      <w:r w:rsidR="006A1E49">
        <w:rPr>
          <w:rFonts w:ascii="Times New Roman" w:hAnsi="Times New Roman" w:cs="Times New Roman" w:hint="eastAsia"/>
          <w:b/>
          <w:bCs/>
        </w:rPr>
        <w:t>, C</w:t>
      </w:r>
      <w:r w:rsidR="004E38D1">
        <w:rPr>
          <w:rFonts w:ascii="Times New Roman" w:hAnsi="Times New Roman" w:cs="Times New Roman" w:hint="eastAsia"/>
        </w:rPr>
        <w:t xml:space="preserve">) </w:t>
      </w:r>
      <w:r w:rsidR="00885A5B">
        <w:rPr>
          <w:rFonts w:ascii="Times New Roman" w:hAnsi="Times New Roman" w:cs="Times New Roman" w:hint="eastAsia"/>
        </w:rPr>
        <w:t>Bar plot</w:t>
      </w:r>
      <w:r w:rsidR="00BE01D6">
        <w:rPr>
          <w:rFonts w:ascii="Times New Roman" w:hAnsi="Times New Roman" w:cs="Times New Roman" w:hint="eastAsia"/>
        </w:rPr>
        <w:t xml:space="preserve"> </w:t>
      </w:r>
      <w:r w:rsidR="009E260E">
        <w:rPr>
          <w:rFonts w:ascii="Times New Roman" w:hAnsi="Times New Roman" w:cs="Times New Roman" w:hint="eastAsia"/>
        </w:rPr>
        <w:t>showing</w:t>
      </w:r>
      <w:r w:rsidR="00BE01D6">
        <w:rPr>
          <w:rFonts w:ascii="Times New Roman" w:hAnsi="Times New Roman" w:cs="Times New Roman" w:hint="eastAsia"/>
        </w:rPr>
        <w:t xml:space="preserve"> the </w:t>
      </w:r>
      <w:r w:rsidR="00BE01D6">
        <w:rPr>
          <w:rFonts w:ascii="Times New Roman" w:hAnsi="Times New Roman" w:cs="Times New Roman" w:hint="eastAsia"/>
        </w:rPr>
        <w:lastRenderedPageBreak/>
        <w:t xml:space="preserve">proportion of patients harboring arm-level </w:t>
      </w:r>
      <w:r w:rsidR="006A1E49">
        <w:rPr>
          <w:rFonts w:ascii="Times New Roman" w:hAnsi="Times New Roman" w:cs="Times New Roman" w:hint="eastAsia"/>
        </w:rPr>
        <w:t xml:space="preserve">(B) and focal-level (C) </w:t>
      </w:r>
      <w:r w:rsidR="00BE01D6">
        <w:rPr>
          <w:rFonts w:ascii="Times New Roman" w:hAnsi="Times New Roman" w:cs="Times New Roman" w:hint="eastAsia"/>
        </w:rPr>
        <w:t xml:space="preserve">copy number variants in baseline tumors. </w:t>
      </w:r>
      <w:r w:rsidR="003E6E32">
        <w:rPr>
          <w:rFonts w:ascii="Times New Roman" w:hAnsi="Times New Roman" w:cs="Times New Roman" w:hint="eastAsia"/>
        </w:rPr>
        <w:t>(</w:t>
      </w:r>
      <w:r w:rsidR="006A1E49" w:rsidRPr="00734916">
        <w:rPr>
          <w:rFonts w:ascii="Times New Roman" w:hAnsi="Times New Roman" w:cs="Times New Roman" w:hint="eastAsia"/>
          <w:b/>
          <w:bCs/>
        </w:rPr>
        <w:t>D</w:t>
      </w:r>
      <w:r w:rsidR="003E6E32">
        <w:rPr>
          <w:rFonts w:ascii="Times New Roman" w:hAnsi="Times New Roman" w:cs="Times New Roman" w:hint="eastAsia"/>
        </w:rPr>
        <w:t>)</w:t>
      </w:r>
      <w:r w:rsidR="00C23BC0">
        <w:rPr>
          <w:rFonts w:ascii="Times New Roman" w:hAnsi="Times New Roman" w:cs="Times New Roman" w:hint="eastAsia"/>
        </w:rPr>
        <w:t xml:space="preserve"> </w:t>
      </w:r>
      <w:r w:rsidR="009E260E">
        <w:rPr>
          <w:rFonts w:ascii="Times New Roman" w:hAnsi="Times New Roman" w:cs="Times New Roman" w:hint="eastAsia"/>
        </w:rPr>
        <w:t>Box plot illustrating</w:t>
      </w:r>
      <w:r w:rsidR="00C23BC0">
        <w:rPr>
          <w:rFonts w:ascii="Times New Roman" w:hAnsi="Times New Roman" w:cs="Times New Roman" w:hint="eastAsia"/>
        </w:rPr>
        <w:t xml:space="preserve"> the chromosome instability score in pathological complete response (pCR) and non-pCR patients.</w:t>
      </w:r>
      <w:r w:rsidR="007105FE">
        <w:rPr>
          <w:rFonts w:ascii="Times New Roman" w:hAnsi="Times New Roman" w:cs="Times New Roman" w:hint="eastAsia"/>
        </w:rPr>
        <w:t xml:space="preserve"> </w:t>
      </w:r>
      <w:r w:rsidR="001A2DDB" w:rsidRPr="00216C4C">
        <w:rPr>
          <w:rFonts w:ascii="Times New Roman" w:hAnsi="Times New Roman" w:cs="Times New Roman" w:hint="eastAsia"/>
          <w:lang w:val="en-US"/>
        </w:rPr>
        <w:t>(</w:t>
      </w:r>
      <w:r w:rsidR="001A2DDB">
        <w:rPr>
          <w:rFonts w:ascii="Times New Roman" w:hAnsi="Times New Roman" w:cs="Times New Roman" w:hint="eastAsia"/>
          <w:b/>
          <w:bCs/>
          <w:lang w:val="en-US"/>
        </w:rPr>
        <w:t>E</w:t>
      </w:r>
      <w:r w:rsidR="001A2DDB" w:rsidRPr="00216C4C">
        <w:rPr>
          <w:rFonts w:ascii="Times New Roman" w:hAnsi="Times New Roman" w:cs="Times New Roman" w:hint="eastAsia"/>
          <w:lang w:val="en-US"/>
        </w:rPr>
        <w:t>) Forest plot depicting the multivariate analysis of the association between clinicopathological features and disease-free survival (DFS) in baseline tumors.</w:t>
      </w:r>
      <w:r w:rsidR="000E4AEA">
        <w:rPr>
          <w:rFonts w:ascii="Times New Roman" w:hAnsi="Times New Roman" w:cs="Times New Roman"/>
          <w:lang w:val="en-US"/>
        </w:rPr>
        <w:t xml:space="preserve"> </w:t>
      </w:r>
      <w:r w:rsidR="00E036FE">
        <w:rPr>
          <w:rFonts w:ascii="Times New Roman" w:hAnsi="Times New Roman" w:cs="Times New Roman" w:hint="eastAsia"/>
          <w:lang w:val="en-US"/>
        </w:rPr>
        <w:t>(</w:t>
      </w:r>
      <w:r w:rsidR="001A2DDB">
        <w:rPr>
          <w:rFonts w:ascii="Times New Roman" w:hAnsi="Times New Roman" w:cs="Times New Roman" w:hint="eastAsia"/>
          <w:b/>
          <w:bCs/>
          <w:lang w:val="en-US"/>
        </w:rPr>
        <w:t>F</w:t>
      </w:r>
      <w:r w:rsidR="00E036FE">
        <w:rPr>
          <w:rFonts w:ascii="Times New Roman" w:hAnsi="Times New Roman" w:cs="Times New Roman" w:hint="eastAsia"/>
          <w:lang w:val="en-US"/>
        </w:rPr>
        <w:t xml:space="preserve">) </w:t>
      </w:r>
      <w:r w:rsidR="00234242">
        <w:rPr>
          <w:rFonts w:ascii="Times New Roman" w:hAnsi="Times New Roman" w:cs="Times New Roman"/>
        </w:rPr>
        <w:t>Kaplan</w:t>
      </w:r>
      <w:r w:rsidR="00234242">
        <w:rPr>
          <w:rFonts w:ascii="Times New Roman" w:hAnsi="Times New Roman" w:cs="Times New Roman" w:hint="eastAsia"/>
        </w:rPr>
        <w:t xml:space="preserve">-Meier curves illustrate the disease-free survival and overall survival of patients with or without baseline </w:t>
      </w:r>
      <w:r w:rsidR="00234242">
        <w:rPr>
          <w:rFonts w:ascii="Times New Roman" w:hAnsi="Times New Roman" w:cs="Times New Roman" w:hint="eastAsia"/>
          <w:i/>
          <w:iCs/>
        </w:rPr>
        <w:t>USH2A</w:t>
      </w:r>
      <w:r w:rsidR="00234242">
        <w:rPr>
          <w:rFonts w:ascii="Times New Roman" w:hAnsi="Times New Roman" w:cs="Times New Roman" w:hint="eastAsia"/>
        </w:rPr>
        <w:t xml:space="preserve"> mutations</w:t>
      </w:r>
      <w:r w:rsidR="00234242" w:rsidRPr="007564CB">
        <w:rPr>
          <w:rFonts w:ascii="Times New Roman" w:hAnsi="Times New Roman" w:cs="Times New Roman"/>
        </w:rPr>
        <w:t xml:space="preserve"> </w:t>
      </w:r>
      <w:r w:rsidR="00234242">
        <w:rPr>
          <w:rFonts w:ascii="Times New Roman" w:hAnsi="Times New Roman" w:cs="Times New Roman" w:hint="eastAsia"/>
        </w:rPr>
        <w:t>in the BRCA-Metabric cohort (N=223).</w:t>
      </w:r>
      <w:r w:rsidR="00000146">
        <w:rPr>
          <w:rFonts w:ascii="Times New Roman" w:hAnsi="Times New Roman" w:cs="Times New Roman" w:hint="eastAsia"/>
        </w:rPr>
        <w:t xml:space="preserve"> (</w:t>
      </w:r>
      <w:r w:rsidR="001A2DDB">
        <w:rPr>
          <w:rFonts w:ascii="Times New Roman" w:hAnsi="Times New Roman" w:cs="Times New Roman" w:hint="eastAsia"/>
          <w:b/>
          <w:bCs/>
        </w:rPr>
        <w:t>G</w:t>
      </w:r>
      <w:r w:rsidR="00000146">
        <w:rPr>
          <w:rFonts w:ascii="Times New Roman" w:hAnsi="Times New Roman" w:cs="Times New Roman" w:hint="eastAsia"/>
        </w:rPr>
        <w:t xml:space="preserve">) Volcano plot depicting the differentially expressed genes (DEGs) between </w:t>
      </w:r>
      <w:r w:rsidR="00000146">
        <w:rPr>
          <w:rFonts w:ascii="Times New Roman" w:hAnsi="Times New Roman" w:cs="Times New Roman" w:hint="eastAsia"/>
          <w:i/>
          <w:iCs/>
        </w:rPr>
        <w:t>USH2A</w:t>
      </w:r>
      <w:r w:rsidR="00000146">
        <w:rPr>
          <w:rFonts w:ascii="Times New Roman" w:hAnsi="Times New Roman" w:cs="Times New Roman" w:hint="eastAsia"/>
        </w:rPr>
        <w:t xml:space="preserve">-mutated and </w:t>
      </w:r>
      <w:r w:rsidR="00000146">
        <w:rPr>
          <w:rFonts w:ascii="Times New Roman" w:hAnsi="Times New Roman" w:cs="Times New Roman" w:hint="eastAsia"/>
          <w:i/>
          <w:iCs/>
        </w:rPr>
        <w:t>USH2A</w:t>
      </w:r>
      <w:r w:rsidR="00000146">
        <w:rPr>
          <w:rFonts w:ascii="Times New Roman" w:hAnsi="Times New Roman" w:cs="Times New Roman" w:hint="eastAsia"/>
        </w:rPr>
        <w:t xml:space="preserve">-wildtype baseline tumors. </w:t>
      </w:r>
      <w:r w:rsidR="00405165">
        <w:rPr>
          <w:rFonts w:ascii="Times New Roman" w:hAnsi="Times New Roman" w:cs="Times New Roman" w:hint="eastAsia"/>
        </w:rPr>
        <w:t>Due to</w:t>
      </w:r>
      <w:r w:rsidR="00817AA5">
        <w:rPr>
          <w:rFonts w:ascii="Times New Roman" w:hAnsi="Times New Roman" w:cs="Times New Roman" w:hint="eastAsia"/>
        </w:rPr>
        <w:t xml:space="preserve"> minimal changes in expression between subgroups, DEGs were defined using a threshold of </w:t>
      </w:r>
      <w:r w:rsidR="005429CB">
        <w:rPr>
          <w:rFonts w:ascii="Times New Roman" w:hAnsi="Times New Roman" w:cs="Times New Roman" w:hint="eastAsia"/>
        </w:rPr>
        <w:t>log2</w:t>
      </w:r>
      <w:r w:rsidR="004D66DF">
        <w:rPr>
          <w:rFonts w:ascii="Times New Roman" w:hAnsi="Times New Roman" w:cs="Times New Roman" w:hint="eastAsia"/>
        </w:rPr>
        <w:t xml:space="preserve"> </w:t>
      </w:r>
      <w:r w:rsidR="005429CB">
        <w:rPr>
          <w:rFonts w:ascii="Times New Roman" w:hAnsi="Times New Roman" w:cs="Times New Roman" w:hint="eastAsia"/>
        </w:rPr>
        <w:t xml:space="preserve">(fold change) </w:t>
      </w:r>
      <w:r w:rsidR="0088082B" w:rsidRPr="0088082B">
        <w:rPr>
          <w:rFonts w:ascii="Times New Roman" w:hAnsi="Times New Roman" w:cs="Times New Roman"/>
        </w:rPr>
        <w:t>&gt;</w:t>
      </w:r>
      <w:r w:rsidR="0088082B">
        <w:rPr>
          <w:rFonts w:ascii="Times New Roman" w:hAnsi="Times New Roman" w:cs="Times New Roman" w:hint="eastAsia"/>
        </w:rPr>
        <w:t xml:space="preserve"> </w:t>
      </w:r>
      <w:r w:rsidR="0088082B" w:rsidRPr="0088082B">
        <w:rPr>
          <w:rFonts w:ascii="Times New Roman" w:hAnsi="Times New Roman" w:cs="Times New Roman"/>
        </w:rPr>
        <w:t>±1</w:t>
      </w:r>
      <w:r w:rsidR="00817AA5">
        <w:rPr>
          <w:rFonts w:ascii="Times New Roman" w:hAnsi="Times New Roman" w:cs="Times New Roman" w:hint="eastAsia"/>
        </w:rPr>
        <w:t xml:space="preserve"> and an FDR-adjusted p-value (padj) </w:t>
      </w:r>
      <w:r w:rsidR="0088082B" w:rsidRPr="0088082B">
        <w:rPr>
          <w:rFonts w:ascii="Times New Roman" w:hAnsi="Times New Roman" w:cs="Times New Roman"/>
        </w:rPr>
        <w:t>&lt;</w:t>
      </w:r>
      <w:r w:rsidR="004D66DF">
        <w:rPr>
          <w:rFonts w:ascii="Times New Roman" w:hAnsi="Times New Roman" w:cs="Times New Roman" w:hint="eastAsia"/>
        </w:rPr>
        <w:t xml:space="preserve"> </w:t>
      </w:r>
      <w:r w:rsidR="0088082B" w:rsidRPr="0088082B">
        <w:rPr>
          <w:rFonts w:ascii="Times New Roman" w:hAnsi="Times New Roman" w:cs="Times New Roman"/>
        </w:rPr>
        <w:t>0.1</w:t>
      </w:r>
      <w:r w:rsidR="000D0A50">
        <w:rPr>
          <w:rFonts w:ascii="Times New Roman" w:hAnsi="Times New Roman" w:cs="Times New Roman" w:hint="eastAsia"/>
        </w:rPr>
        <w:t>.</w:t>
      </w:r>
      <w:r w:rsidR="0088082B" w:rsidRPr="0088082B">
        <w:rPr>
          <w:rFonts w:ascii="Times New Roman" w:hAnsi="Times New Roman" w:cs="Times New Roman" w:hint="eastAsia"/>
        </w:rPr>
        <w:t xml:space="preserve"> </w:t>
      </w:r>
    </w:p>
    <w:p w14:paraId="2A40CDA4" w14:textId="77777777" w:rsidR="003E5171" w:rsidRDefault="003E5171" w:rsidP="00F82186">
      <w:pPr>
        <w:spacing w:line="480" w:lineRule="auto"/>
        <w:jc w:val="both"/>
        <w:rPr>
          <w:rFonts w:ascii="Times New Roman" w:hAnsi="Times New Roman" w:cs="Times New Roman"/>
        </w:rPr>
      </w:pPr>
    </w:p>
    <w:p w14:paraId="7B73FBAE" w14:textId="77777777" w:rsidR="003E5171" w:rsidRDefault="003E5171" w:rsidP="00F82186">
      <w:pPr>
        <w:spacing w:line="480" w:lineRule="auto"/>
        <w:jc w:val="both"/>
        <w:rPr>
          <w:rFonts w:ascii="Times New Roman" w:hAnsi="Times New Roman" w:cs="Times New Roman"/>
        </w:rPr>
      </w:pPr>
    </w:p>
    <w:p w14:paraId="17D8F5C2" w14:textId="77777777" w:rsidR="003E5171" w:rsidRPr="007564CB" w:rsidRDefault="003E5171" w:rsidP="00F82186">
      <w:pPr>
        <w:spacing w:line="480" w:lineRule="auto"/>
        <w:jc w:val="both"/>
        <w:rPr>
          <w:rFonts w:ascii="Times New Roman" w:hAnsi="Times New Roman" w:cs="Times New Roman"/>
        </w:rPr>
      </w:pPr>
    </w:p>
    <w:p w14:paraId="5CD5D07A" w14:textId="5D189967" w:rsidR="00075D07" w:rsidRDefault="00075D07" w:rsidP="00F82186">
      <w:pPr>
        <w:jc w:val="both"/>
        <w:rPr>
          <w:noProof/>
        </w:rPr>
      </w:pPr>
      <w:r>
        <w:rPr>
          <w:noProof/>
        </w:rPr>
        <w:br w:type="page"/>
      </w:r>
    </w:p>
    <w:p w14:paraId="13C1E2C1" w14:textId="77FE6574" w:rsidR="0086708A" w:rsidRDefault="00075D07" w:rsidP="00F82186">
      <w:pPr>
        <w:jc w:val="both"/>
      </w:pPr>
      <w:r>
        <w:rPr>
          <w:noProof/>
        </w:rPr>
        <w:lastRenderedPageBreak/>
        <w:drawing>
          <wp:inline distT="0" distB="0" distL="0" distR="0" wp14:anchorId="75871C55" wp14:editId="0854B68B">
            <wp:extent cx="5943600" cy="7726680"/>
            <wp:effectExtent l="0" t="0" r="0" b="7620"/>
            <wp:docPr id="1308203263"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203263" name="Picture 2" descr="A screenshot of a graph&#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726680"/>
                    </a:xfrm>
                    <a:prstGeom prst="rect">
                      <a:avLst/>
                    </a:prstGeom>
                  </pic:spPr>
                </pic:pic>
              </a:graphicData>
            </a:graphic>
          </wp:inline>
        </w:drawing>
      </w:r>
    </w:p>
    <w:p w14:paraId="2980CCBB" w14:textId="77777777" w:rsidR="0086708A" w:rsidRDefault="0086708A" w:rsidP="00F82186">
      <w:pPr>
        <w:jc w:val="both"/>
      </w:pPr>
    </w:p>
    <w:p w14:paraId="6897E698" w14:textId="4AB6DF74" w:rsidR="0086708A" w:rsidRDefault="0086708A" w:rsidP="00F82186">
      <w:pPr>
        <w:pStyle w:val="Heading3"/>
        <w:spacing w:line="480" w:lineRule="auto"/>
        <w:jc w:val="both"/>
        <w:rPr>
          <w:rFonts w:ascii="Times New Roman" w:hAnsi="Times New Roman" w:cs="Times New Roman"/>
          <w:b/>
          <w:bCs/>
          <w:color w:val="auto"/>
          <w:sz w:val="24"/>
          <w:szCs w:val="24"/>
        </w:rPr>
      </w:pPr>
      <w:r w:rsidRPr="0086708A">
        <w:rPr>
          <w:rFonts w:ascii="Times New Roman" w:hAnsi="Times New Roman" w:cs="Times New Roman" w:hint="eastAsia"/>
          <w:b/>
          <w:bCs/>
          <w:color w:val="auto"/>
          <w:sz w:val="24"/>
          <w:szCs w:val="24"/>
        </w:rPr>
        <w:lastRenderedPageBreak/>
        <w:t>Figure S</w:t>
      </w:r>
      <w:r w:rsidR="00F372CA">
        <w:rPr>
          <w:rFonts w:ascii="Times New Roman" w:hAnsi="Times New Roman" w:cs="Times New Roman" w:hint="eastAsia"/>
          <w:b/>
          <w:bCs/>
          <w:color w:val="auto"/>
          <w:sz w:val="24"/>
          <w:szCs w:val="24"/>
        </w:rPr>
        <w:t>5</w:t>
      </w:r>
      <w:r w:rsidRPr="0086708A">
        <w:rPr>
          <w:rFonts w:ascii="Times New Roman" w:hAnsi="Times New Roman" w:cs="Times New Roman" w:hint="eastAsia"/>
          <w:b/>
          <w:bCs/>
          <w:color w:val="auto"/>
          <w:sz w:val="24"/>
          <w:szCs w:val="24"/>
        </w:rPr>
        <w:t>. Gene expression profiling of patients before NAC</w:t>
      </w:r>
    </w:p>
    <w:p w14:paraId="50BAF2EC" w14:textId="7DF69D66" w:rsidR="00075D07" w:rsidRDefault="006C0435" w:rsidP="00F82186">
      <w:pPr>
        <w:spacing w:line="480" w:lineRule="auto"/>
        <w:jc w:val="both"/>
        <w:rPr>
          <w:rFonts w:ascii="Times New Roman" w:hAnsi="Times New Roman" w:cs="Times New Roman"/>
        </w:rPr>
      </w:pPr>
      <w:r w:rsidRPr="00382799">
        <w:rPr>
          <w:rFonts w:ascii="Times New Roman" w:hAnsi="Times New Roman" w:cs="Times New Roman"/>
        </w:rPr>
        <w:t>(</w:t>
      </w:r>
      <w:r w:rsidRPr="00575529">
        <w:rPr>
          <w:rFonts w:ascii="Times New Roman" w:hAnsi="Times New Roman" w:cs="Times New Roman"/>
          <w:b/>
          <w:bCs/>
        </w:rPr>
        <w:t>A</w:t>
      </w:r>
      <w:r w:rsidRPr="00382799">
        <w:rPr>
          <w:rFonts w:ascii="Times New Roman" w:hAnsi="Times New Roman" w:cs="Times New Roman"/>
        </w:rPr>
        <w:t xml:space="preserve">) </w:t>
      </w:r>
      <w:r w:rsidR="00574B4F">
        <w:rPr>
          <w:rFonts w:ascii="Times New Roman" w:hAnsi="Times New Roman" w:cs="Times New Roman"/>
        </w:rPr>
        <w:t xml:space="preserve">Heatmap of all genes (top) and differentially expressed genes (DEGs) in baseline tumor samples. </w:t>
      </w:r>
      <w:r w:rsidR="004E4693">
        <w:rPr>
          <w:rFonts w:ascii="Times New Roman" w:hAnsi="Times New Roman" w:cs="Times New Roman"/>
        </w:rPr>
        <w:t>(</w:t>
      </w:r>
      <w:r w:rsidR="004E4693" w:rsidRPr="004E4693">
        <w:rPr>
          <w:rFonts w:ascii="Times New Roman" w:hAnsi="Times New Roman" w:cs="Times New Roman"/>
          <w:b/>
          <w:bCs/>
        </w:rPr>
        <w:t>B</w:t>
      </w:r>
      <w:r w:rsidR="004E4693">
        <w:rPr>
          <w:rFonts w:ascii="Times New Roman" w:hAnsi="Times New Roman" w:cs="Times New Roman"/>
        </w:rPr>
        <w:t xml:space="preserve">) Functional enrichment of DEGs </w:t>
      </w:r>
      <w:r w:rsidR="004D55EB">
        <w:rPr>
          <w:rFonts w:ascii="Times New Roman" w:hAnsi="Times New Roman" w:cs="Times New Roman" w:hint="eastAsia"/>
        </w:rPr>
        <w:t>through</w:t>
      </w:r>
      <w:r w:rsidR="004E4693">
        <w:rPr>
          <w:rFonts w:ascii="Times New Roman" w:hAnsi="Times New Roman" w:cs="Times New Roman"/>
        </w:rPr>
        <w:t xml:space="preserve"> </w:t>
      </w:r>
      <w:r w:rsidR="00376FE8">
        <w:rPr>
          <w:rFonts w:ascii="Times New Roman" w:hAnsi="Times New Roman" w:cs="Times New Roman" w:hint="eastAsia"/>
        </w:rPr>
        <w:t>KEGG</w:t>
      </w:r>
      <w:r w:rsidR="004E4693">
        <w:rPr>
          <w:rFonts w:ascii="Times New Roman" w:hAnsi="Times New Roman" w:cs="Times New Roman"/>
        </w:rPr>
        <w:t xml:space="preserve"> analysis. (</w:t>
      </w:r>
      <w:r w:rsidR="004E4693" w:rsidRPr="004E4693">
        <w:rPr>
          <w:rFonts w:ascii="Times New Roman" w:hAnsi="Times New Roman" w:cs="Times New Roman"/>
          <w:b/>
          <w:bCs/>
        </w:rPr>
        <w:t>C</w:t>
      </w:r>
      <w:r w:rsidR="004E4693">
        <w:rPr>
          <w:rFonts w:ascii="Times New Roman" w:hAnsi="Times New Roman" w:cs="Times New Roman"/>
        </w:rPr>
        <w:t>)</w:t>
      </w:r>
      <w:r w:rsidR="00D855C1">
        <w:rPr>
          <w:rFonts w:ascii="Times New Roman" w:hAnsi="Times New Roman" w:cs="Times New Roman"/>
        </w:rPr>
        <w:t xml:space="preserve"> Box plots </w:t>
      </w:r>
      <w:r w:rsidR="004D55EB">
        <w:rPr>
          <w:rFonts w:ascii="Times New Roman" w:hAnsi="Times New Roman" w:cs="Times New Roman" w:hint="eastAsia"/>
        </w:rPr>
        <w:t>illustrating</w:t>
      </w:r>
      <w:r w:rsidR="00D855C1">
        <w:rPr>
          <w:rFonts w:ascii="Times New Roman" w:hAnsi="Times New Roman" w:cs="Times New Roman"/>
        </w:rPr>
        <w:t xml:space="preserve"> TME scoring in pathological complete response (pCR) and non-pCR tumors. (</w:t>
      </w:r>
      <w:r w:rsidR="00D855C1" w:rsidRPr="00D455DE">
        <w:rPr>
          <w:rFonts w:ascii="Times New Roman" w:hAnsi="Times New Roman" w:cs="Times New Roman"/>
          <w:b/>
          <w:bCs/>
        </w:rPr>
        <w:t>D</w:t>
      </w:r>
      <w:r w:rsidR="00D855C1">
        <w:rPr>
          <w:rFonts w:ascii="Times New Roman" w:hAnsi="Times New Roman" w:cs="Times New Roman"/>
        </w:rPr>
        <w:t>) Relative fraction of selective immune cell populations in baseline tumors grouped by pathological response. (</w:t>
      </w:r>
      <w:r w:rsidR="00D855C1" w:rsidRPr="00D455DE">
        <w:rPr>
          <w:rFonts w:ascii="Times New Roman" w:hAnsi="Times New Roman" w:cs="Times New Roman"/>
          <w:b/>
          <w:bCs/>
        </w:rPr>
        <w:t>E</w:t>
      </w:r>
      <w:r w:rsidR="00D855C1">
        <w:rPr>
          <w:rFonts w:ascii="Times New Roman" w:hAnsi="Times New Roman" w:cs="Times New Roman"/>
        </w:rPr>
        <w:t>) MCP-counter scores</w:t>
      </w:r>
      <w:r w:rsidR="00F10602">
        <w:rPr>
          <w:rFonts w:ascii="Times New Roman" w:hAnsi="Times New Roman" w:cs="Times New Roman" w:hint="eastAsia"/>
        </w:rPr>
        <w:t xml:space="preserve"> of cancer-associated </w:t>
      </w:r>
      <w:r w:rsidR="00B50CC9">
        <w:rPr>
          <w:rFonts w:ascii="Times New Roman" w:hAnsi="Times New Roman" w:cs="Times New Roman"/>
        </w:rPr>
        <w:t>fibroblasts</w:t>
      </w:r>
      <w:r w:rsidR="00F10602">
        <w:rPr>
          <w:rFonts w:ascii="Times New Roman" w:hAnsi="Times New Roman" w:cs="Times New Roman" w:hint="eastAsia"/>
        </w:rPr>
        <w:t xml:space="preserve"> (CAF)</w:t>
      </w:r>
      <w:r w:rsidR="00D855C1">
        <w:rPr>
          <w:rFonts w:ascii="Times New Roman" w:hAnsi="Times New Roman" w:cs="Times New Roman"/>
        </w:rPr>
        <w:t xml:space="preserve"> in baseline tumors. </w:t>
      </w:r>
      <w:r w:rsidR="00075D07">
        <w:rPr>
          <w:rFonts w:ascii="Times New Roman" w:hAnsi="Times New Roman" w:cs="Times New Roman" w:hint="eastAsia"/>
        </w:rPr>
        <w:t>(</w:t>
      </w:r>
      <w:r w:rsidR="00075D07" w:rsidRPr="00345DC1">
        <w:rPr>
          <w:rFonts w:ascii="Times New Roman" w:hAnsi="Times New Roman" w:cs="Times New Roman" w:hint="eastAsia"/>
          <w:b/>
          <w:bCs/>
        </w:rPr>
        <w:t>F</w:t>
      </w:r>
      <w:r w:rsidR="00075D07">
        <w:rPr>
          <w:rFonts w:ascii="Times New Roman" w:hAnsi="Times New Roman" w:cs="Times New Roman" w:hint="eastAsia"/>
        </w:rPr>
        <w:t xml:space="preserve">) Forest plots showing </w:t>
      </w:r>
      <w:r w:rsidR="00075D07">
        <w:rPr>
          <w:rFonts w:ascii="Times New Roman" w:hAnsi="Times New Roman" w:cs="Times New Roman"/>
        </w:rPr>
        <w:t>the</w:t>
      </w:r>
      <w:r w:rsidR="00075D07">
        <w:rPr>
          <w:rFonts w:ascii="Times New Roman" w:hAnsi="Times New Roman" w:cs="Times New Roman" w:hint="eastAsia"/>
        </w:rPr>
        <w:t xml:space="preserve"> multivariate Cox regression analysis for disease-free survival and overall survival</w:t>
      </w:r>
      <w:r w:rsidR="00075D07">
        <w:rPr>
          <w:rFonts w:ascii="Times New Roman" w:hAnsi="Times New Roman" w:cs="Times New Roman"/>
        </w:rPr>
        <w:t xml:space="preserve"> </w:t>
      </w:r>
      <w:r w:rsidR="00075D07">
        <w:rPr>
          <w:rFonts w:ascii="Times New Roman" w:hAnsi="Times New Roman" w:cs="Times New Roman" w:hint="eastAsia"/>
        </w:rPr>
        <w:t xml:space="preserve">incorporating pathological response and </w:t>
      </w:r>
      <w:r w:rsidR="00075D07" w:rsidRPr="00075D07">
        <w:rPr>
          <w:rFonts w:ascii="Times New Roman" w:hAnsi="Times New Roman" w:cs="Times New Roman" w:hint="eastAsia"/>
          <w:i/>
          <w:iCs/>
        </w:rPr>
        <w:t>NHSL1</w:t>
      </w:r>
      <w:r w:rsidR="00075D07">
        <w:rPr>
          <w:rFonts w:ascii="Times New Roman" w:hAnsi="Times New Roman" w:cs="Times New Roman" w:hint="eastAsia"/>
        </w:rPr>
        <w:t xml:space="preserve"> expression status. </w:t>
      </w:r>
      <w:r w:rsidR="00330521">
        <w:rPr>
          <w:rFonts w:ascii="Times New Roman" w:hAnsi="Times New Roman" w:cs="Times New Roman" w:hint="eastAsia"/>
        </w:rPr>
        <w:t>(</w:t>
      </w:r>
      <w:r w:rsidR="00075D07" w:rsidRPr="00BB5FF1">
        <w:rPr>
          <w:rFonts w:ascii="Times New Roman" w:hAnsi="Times New Roman" w:cs="Times New Roman"/>
          <w:b/>
          <w:bCs/>
        </w:rPr>
        <w:t>G</w:t>
      </w:r>
      <w:r w:rsidR="00075D07">
        <w:rPr>
          <w:rFonts w:ascii="Times New Roman" w:hAnsi="Times New Roman" w:cs="Times New Roman"/>
        </w:rPr>
        <w:t>)</w:t>
      </w:r>
      <w:r w:rsidR="00075D07" w:rsidRPr="0052006B">
        <w:rPr>
          <w:rFonts w:ascii="Times New Roman" w:hAnsi="Times New Roman" w:cs="Times New Roman"/>
        </w:rPr>
        <w:t xml:space="preserve"> </w:t>
      </w:r>
      <w:r w:rsidR="00075D07">
        <w:rPr>
          <w:rFonts w:ascii="Times New Roman" w:hAnsi="Times New Roman" w:cs="Times New Roman"/>
        </w:rPr>
        <w:t>Kaplan</w:t>
      </w:r>
      <w:r w:rsidR="00075D07">
        <w:rPr>
          <w:rFonts w:ascii="Times New Roman" w:hAnsi="Times New Roman" w:cs="Times New Roman" w:hint="eastAsia"/>
        </w:rPr>
        <w:t xml:space="preserve">-Meier curves </w:t>
      </w:r>
      <w:r w:rsidR="00075D07">
        <w:rPr>
          <w:rFonts w:ascii="Times New Roman" w:hAnsi="Times New Roman" w:cs="Times New Roman"/>
        </w:rPr>
        <w:t>show</w:t>
      </w:r>
      <w:r w:rsidR="00075D07">
        <w:rPr>
          <w:rFonts w:ascii="Times New Roman" w:hAnsi="Times New Roman" w:cs="Times New Roman" w:hint="eastAsia"/>
        </w:rPr>
        <w:t xml:space="preserve"> the disease-free survival and overall survival of patients</w:t>
      </w:r>
      <w:r w:rsidR="00075D07">
        <w:rPr>
          <w:rFonts w:ascii="Times New Roman" w:hAnsi="Times New Roman" w:cs="Times New Roman"/>
        </w:rPr>
        <w:t xml:space="preserve"> stratified by both baseline </w:t>
      </w:r>
      <w:r w:rsidR="00075D07">
        <w:rPr>
          <w:rFonts w:ascii="Times New Roman" w:hAnsi="Times New Roman" w:cs="Times New Roman"/>
          <w:i/>
          <w:iCs/>
        </w:rPr>
        <w:t>NHSL1</w:t>
      </w:r>
      <w:r w:rsidR="00075D07">
        <w:rPr>
          <w:rFonts w:ascii="Times New Roman" w:hAnsi="Times New Roman" w:cs="Times New Roman"/>
        </w:rPr>
        <w:t xml:space="preserve"> expression and pathological response status. </w:t>
      </w:r>
    </w:p>
    <w:p w14:paraId="15D30F2C" w14:textId="5CF9BBD6" w:rsidR="00F82186" w:rsidRDefault="00F82186" w:rsidP="00F82186">
      <w:pPr>
        <w:jc w:val="both"/>
        <w:rPr>
          <w:rFonts w:ascii="Times New Roman" w:hAnsi="Times New Roman" w:cs="Times New Roman"/>
        </w:rPr>
      </w:pPr>
      <w:r>
        <w:rPr>
          <w:rFonts w:ascii="Times New Roman" w:hAnsi="Times New Roman" w:cs="Times New Roman"/>
        </w:rPr>
        <w:br w:type="page"/>
      </w:r>
    </w:p>
    <w:p w14:paraId="73A7EB10" w14:textId="53AD2CF5" w:rsidR="00F82186" w:rsidRDefault="00F82186" w:rsidP="00F82186">
      <w:pPr>
        <w:spacing w:line="480"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35A294DC" wp14:editId="009EC9D6">
            <wp:extent cx="5943600" cy="2840990"/>
            <wp:effectExtent l="0" t="0" r="0" b="0"/>
            <wp:docPr id="1369887475" name="Picture 4"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887475" name="Picture 4" descr="A close-up of a graph&#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840990"/>
                    </a:xfrm>
                    <a:prstGeom prst="rect">
                      <a:avLst/>
                    </a:prstGeom>
                  </pic:spPr>
                </pic:pic>
              </a:graphicData>
            </a:graphic>
          </wp:inline>
        </w:drawing>
      </w:r>
    </w:p>
    <w:p w14:paraId="24A0450B" w14:textId="7E533E6C" w:rsidR="00F82186" w:rsidRDefault="00F82186" w:rsidP="00F82186">
      <w:pPr>
        <w:pStyle w:val="Heading3"/>
        <w:spacing w:line="480" w:lineRule="auto"/>
        <w:jc w:val="both"/>
        <w:rPr>
          <w:rFonts w:ascii="Times New Roman" w:hAnsi="Times New Roman" w:cs="Times New Roman"/>
          <w:b/>
          <w:bCs/>
          <w:color w:val="auto"/>
          <w:sz w:val="24"/>
          <w:szCs w:val="24"/>
        </w:rPr>
      </w:pPr>
      <w:r w:rsidRPr="0086708A">
        <w:rPr>
          <w:rFonts w:ascii="Times New Roman" w:hAnsi="Times New Roman" w:cs="Times New Roman" w:hint="eastAsia"/>
          <w:b/>
          <w:bCs/>
          <w:color w:val="auto"/>
          <w:sz w:val="24"/>
          <w:szCs w:val="24"/>
        </w:rPr>
        <w:t>Figure S</w:t>
      </w:r>
      <w:r w:rsidR="00F372CA">
        <w:rPr>
          <w:rFonts w:ascii="Times New Roman" w:hAnsi="Times New Roman" w:cs="Times New Roman" w:hint="eastAsia"/>
          <w:b/>
          <w:bCs/>
          <w:color w:val="auto"/>
          <w:sz w:val="24"/>
          <w:szCs w:val="24"/>
        </w:rPr>
        <w:t>6</w:t>
      </w:r>
      <w:r w:rsidRPr="0086708A">
        <w:rPr>
          <w:rFonts w:ascii="Times New Roman" w:hAnsi="Times New Roman" w:cs="Times New Roman" w:hint="eastAsia"/>
          <w:b/>
          <w:bCs/>
          <w:color w:val="auto"/>
          <w:sz w:val="24"/>
          <w:szCs w:val="24"/>
        </w:rPr>
        <w:t xml:space="preserve">. </w:t>
      </w:r>
      <w:r>
        <w:rPr>
          <w:rFonts w:ascii="Times New Roman" w:hAnsi="Times New Roman" w:cs="Times New Roman" w:hint="eastAsia"/>
          <w:b/>
          <w:bCs/>
          <w:color w:val="auto"/>
          <w:sz w:val="24"/>
          <w:szCs w:val="24"/>
        </w:rPr>
        <w:t>Molecular subtyping identified patients at high risk of recurrence and progression</w:t>
      </w:r>
    </w:p>
    <w:p w14:paraId="12F2D614" w14:textId="25E1D528" w:rsidR="00EC3B94" w:rsidRPr="00382799" w:rsidRDefault="00F82186" w:rsidP="00F82186">
      <w:pPr>
        <w:spacing w:line="480" w:lineRule="auto"/>
        <w:jc w:val="both"/>
        <w:rPr>
          <w:rFonts w:ascii="Times New Roman" w:hAnsi="Times New Roman" w:cs="Times New Roman"/>
        </w:rPr>
      </w:pPr>
      <w:r>
        <w:rPr>
          <w:rFonts w:ascii="Times New Roman" w:hAnsi="Times New Roman" w:cs="Times New Roman" w:hint="eastAsia"/>
        </w:rPr>
        <w:t>(</w:t>
      </w:r>
      <w:r w:rsidRPr="00CB0718">
        <w:rPr>
          <w:rFonts w:ascii="Times New Roman" w:hAnsi="Times New Roman" w:cs="Times New Roman" w:hint="eastAsia"/>
          <w:b/>
          <w:bCs/>
        </w:rPr>
        <w:t>A</w:t>
      </w:r>
      <w:r>
        <w:rPr>
          <w:rFonts w:ascii="Times New Roman" w:hAnsi="Times New Roman" w:cs="Times New Roman" w:hint="eastAsia"/>
        </w:rPr>
        <w:t xml:space="preserve">) Molecular subtyping of breast cancer patients receiving neoadjuvant </w:t>
      </w:r>
      <w:r>
        <w:rPr>
          <w:rFonts w:ascii="Times New Roman" w:hAnsi="Times New Roman" w:cs="Times New Roman"/>
        </w:rPr>
        <w:t>chemotherapy</w:t>
      </w:r>
      <w:r>
        <w:rPr>
          <w:rFonts w:ascii="Times New Roman" w:hAnsi="Times New Roman" w:cs="Times New Roman" w:hint="eastAsia"/>
        </w:rPr>
        <w:t xml:space="preserve"> by baseline </w:t>
      </w:r>
      <w:r>
        <w:rPr>
          <w:rFonts w:ascii="Times New Roman" w:hAnsi="Times New Roman" w:cs="Times New Roman" w:hint="eastAsia"/>
          <w:i/>
          <w:iCs/>
        </w:rPr>
        <w:t>USH2A</w:t>
      </w:r>
      <w:r>
        <w:rPr>
          <w:rFonts w:ascii="Times New Roman" w:hAnsi="Times New Roman" w:cs="Times New Roman" w:hint="eastAsia"/>
        </w:rPr>
        <w:t xml:space="preserve"> mutations and </w:t>
      </w:r>
      <w:r>
        <w:rPr>
          <w:rFonts w:ascii="Times New Roman" w:hAnsi="Times New Roman" w:cs="Times New Roman" w:hint="eastAsia"/>
          <w:i/>
          <w:iCs/>
        </w:rPr>
        <w:t>NHSL1</w:t>
      </w:r>
      <w:r>
        <w:rPr>
          <w:rFonts w:ascii="Times New Roman" w:hAnsi="Times New Roman" w:cs="Times New Roman" w:hint="eastAsia"/>
        </w:rPr>
        <w:t xml:space="preserve"> expression. (</w:t>
      </w:r>
      <w:r w:rsidRPr="00CB0718">
        <w:rPr>
          <w:rFonts w:ascii="Times New Roman" w:hAnsi="Times New Roman" w:cs="Times New Roman" w:hint="eastAsia"/>
          <w:b/>
          <w:bCs/>
        </w:rPr>
        <w:t>B</w:t>
      </w:r>
      <w:r>
        <w:rPr>
          <w:rFonts w:ascii="Times New Roman" w:hAnsi="Times New Roman" w:cs="Times New Roman" w:hint="eastAsia"/>
        </w:rPr>
        <w:t xml:space="preserve">) </w:t>
      </w:r>
      <w:r>
        <w:rPr>
          <w:rFonts w:ascii="Times New Roman" w:hAnsi="Times New Roman" w:cs="Times New Roman"/>
        </w:rPr>
        <w:t>Kaplan</w:t>
      </w:r>
      <w:r>
        <w:rPr>
          <w:rFonts w:ascii="Times New Roman" w:hAnsi="Times New Roman" w:cs="Times New Roman" w:hint="eastAsia"/>
        </w:rPr>
        <w:t>-Meier curves showing the disease-free survival (DFS) and overall survival (OS) of patients</w:t>
      </w:r>
      <w:r w:rsidR="00092C42">
        <w:rPr>
          <w:rFonts w:ascii="Times New Roman" w:hAnsi="Times New Roman" w:cs="Times New Roman" w:hint="eastAsia"/>
        </w:rPr>
        <w:t xml:space="preserve"> </w:t>
      </w:r>
      <w:r>
        <w:rPr>
          <w:rFonts w:ascii="Times New Roman" w:hAnsi="Times New Roman" w:cs="Times New Roman" w:hint="eastAsia"/>
        </w:rPr>
        <w:t>stratified by molecular subtype</w:t>
      </w:r>
      <w:r w:rsidR="00092C42">
        <w:rPr>
          <w:rFonts w:ascii="Times New Roman" w:hAnsi="Times New Roman" w:cs="Times New Roman" w:hint="eastAsia"/>
        </w:rPr>
        <w:t>s</w:t>
      </w:r>
      <w:r>
        <w:rPr>
          <w:rFonts w:ascii="Times New Roman" w:hAnsi="Times New Roman" w:cs="Times New Roman" w:hint="eastAsia"/>
        </w:rPr>
        <w:t>. (</w:t>
      </w:r>
      <w:r w:rsidRPr="00CB0718">
        <w:rPr>
          <w:rFonts w:ascii="Times New Roman" w:hAnsi="Times New Roman" w:cs="Times New Roman" w:hint="eastAsia"/>
          <w:b/>
          <w:bCs/>
        </w:rPr>
        <w:t>C</w:t>
      </w:r>
      <w:r>
        <w:rPr>
          <w:rFonts w:ascii="Times New Roman" w:hAnsi="Times New Roman" w:cs="Times New Roman" w:hint="eastAsia"/>
        </w:rPr>
        <w:t xml:space="preserve">) Multivariate Cox regression analysis for DFS and OS, incorporating pathological response and molecular subtype. </w:t>
      </w:r>
      <w:r w:rsidR="00EC3B94" w:rsidRPr="00382799">
        <w:rPr>
          <w:rFonts w:ascii="Times New Roman" w:hAnsi="Times New Roman" w:cs="Times New Roman"/>
        </w:rPr>
        <w:br w:type="page"/>
      </w:r>
    </w:p>
    <w:p w14:paraId="19D69955" w14:textId="1AFDB3A1" w:rsidR="00EC3B94" w:rsidRDefault="00EC3B94" w:rsidP="00F82186">
      <w:pPr>
        <w:jc w:val="both"/>
      </w:pPr>
      <w:r>
        <w:rPr>
          <w:noProof/>
        </w:rPr>
        <w:lastRenderedPageBreak/>
        <w:drawing>
          <wp:inline distT="0" distB="0" distL="0" distR="0" wp14:anchorId="11E0D905" wp14:editId="1BBD3DD9">
            <wp:extent cx="5943600" cy="4855845"/>
            <wp:effectExtent l="0" t="0" r="0" b="1905"/>
            <wp:docPr id="2121389188"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89188" name="Picture 4" descr="A screenshot of a graph&#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855845"/>
                    </a:xfrm>
                    <a:prstGeom prst="rect">
                      <a:avLst/>
                    </a:prstGeom>
                  </pic:spPr>
                </pic:pic>
              </a:graphicData>
            </a:graphic>
          </wp:inline>
        </w:drawing>
      </w:r>
    </w:p>
    <w:p w14:paraId="628AE313" w14:textId="2F775F93" w:rsidR="00EC3B94" w:rsidRDefault="00EC3B94" w:rsidP="00F82186">
      <w:pPr>
        <w:pStyle w:val="Heading3"/>
        <w:spacing w:line="480" w:lineRule="auto"/>
        <w:jc w:val="both"/>
        <w:rPr>
          <w:rFonts w:ascii="Times New Roman" w:hAnsi="Times New Roman" w:cs="Times New Roman"/>
          <w:b/>
          <w:bCs/>
          <w:color w:val="auto"/>
          <w:sz w:val="24"/>
          <w:szCs w:val="24"/>
        </w:rPr>
      </w:pPr>
      <w:r w:rsidRPr="00EC3B94">
        <w:rPr>
          <w:rFonts w:ascii="Times New Roman" w:hAnsi="Times New Roman" w:cs="Times New Roman" w:hint="eastAsia"/>
          <w:b/>
          <w:bCs/>
          <w:color w:val="auto"/>
          <w:sz w:val="24"/>
          <w:szCs w:val="24"/>
        </w:rPr>
        <w:t>Figure S</w:t>
      </w:r>
      <w:r w:rsidR="00F372CA">
        <w:rPr>
          <w:rFonts w:ascii="Times New Roman" w:hAnsi="Times New Roman" w:cs="Times New Roman" w:hint="eastAsia"/>
          <w:b/>
          <w:bCs/>
          <w:color w:val="auto"/>
          <w:sz w:val="24"/>
          <w:szCs w:val="24"/>
        </w:rPr>
        <w:t>7</w:t>
      </w:r>
      <w:r w:rsidRPr="00EC3B94">
        <w:rPr>
          <w:rFonts w:ascii="Times New Roman" w:hAnsi="Times New Roman" w:cs="Times New Roman" w:hint="eastAsia"/>
          <w:b/>
          <w:bCs/>
          <w:color w:val="auto"/>
          <w:sz w:val="24"/>
          <w:szCs w:val="24"/>
        </w:rPr>
        <w:t xml:space="preserve">. Chemotherapy-related changes at </w:t>
      </w:r>
      <w:r w:rsidR="00CD1F1C">
        <w:rPr>
          <w:rFonts w:ascii="Times New Roman" w:hAnsi="Times New Roman" w:cs="Times New Roman" w:hint="eastAsia"/>
          <w:b/>
          <w:bCs/>
          <w:color w:val="auto"/>
          <w:sz w:val="24"/>
          <w:szCs w:val="24"/>
        </w:rPr>
        <w:t xml:space="preserve">the </w:t>
      </w:r>
      <w:r w:rsidRPr="00EC3B94">
        <w:rPr>
          <w:rFonts w:ascii="Times New Roman" w:hAnsi="Times New Roman" w:cs="Times New Roman" w:hint="eastAsia"/>
          <w:b/>
          <w:bCs/>
          <w:color w:val="auto"/>
          <w:sz w:val="24"/>
          <w:szCs w:val="24"/>
        </w:rPr>
        <w:t>transcriptional level</w:t>
      </w:r>
    </w:p>
    <w:p w14:paraId="29356EE5" w14:textId="61C0BF11" w:rsidR="00EC3B94" w:rsidRPr="0069665A" w:rsidRDefault="0069665A" w:rsidP="00F82186">
      <w:pPr>
        <w:spacing w:line="480" w:lineRule="auto"/>
        <w:jc w:val="both"/>
        <w:rPr>
          <w:rFonts w:ascii="Times New Roman" w:hAnsi="Times New Roman" w:cs="Times New Roman"/>
        </w:rPr>
      </w:pPr>
      <w:bookmarkStart w:id="19" w:name="OLE_LINK17"/>
      <w:r w:rsidRPr="0069665A">
        <w:rPr>
          <w:rFonts w:ascii="Times New Roman" w:hAnsi="Times New Roman" w:cs="Times New Roman"/>
        </w:rPr>
        <w:t>(</w:t>
      </w:r>
      <w:r w:rsidRPr="003E6914">
        <w:rPr>
          <w:rFonts w:ascii="Times New Roman" w:hAnsi="Times New Roman" w:cs="Times New Roman"/>
          <w:b/>
          <w:bCs/>
        </w:rPr>
        <w:t>A</w:t>
      </w:r>
      <w:r w:rsidR="00B156DD" w:rsidRPr="003E6914">
        <w:rPr>
          <w:rFonts w:ascii="Times New Roman" w:hAnsi="Times New Roman" w:cs="Times New Roman" w:hint="eastAsia"/>
          <w:b/>
          <w:bCs/>
        </w:rPr>
        <w:t>, B</w:t>
      </w:r>
      <w:r w:rsidRPr="0069665A">
        <w:rPr>
          <w:rFonts w:ascii="Times New Roman" w:hAnsi="Times New Roman" w:cs="Times New Roman"/>
        </w:rPr>
        <w:t>)</w:t>
      </w:r>
      <w:r w:rsidR="00B156DD">
        <w:rPr>
          <w:rFonts w:ascii="Times New Roman" w:hAnsi="Times New Roman" w:cs="Times New Roman" w:hint="eastAsia"/>
        </w:rPr>
        <w:t xml:space="preserve"> Gene Ontology analysis of genes with altered expression in both pathological groups. </w:t>
      </w:r>
      <w:r w:rsidR="00A5558A">
        <w:rPr>
          <w:rFonts w:ascii="Times New Roman" w:hAnsi="Times New Roman" w:cs="Times New Roman" w:hint="eastAsia"/>
        </w:rPr>
        <w:t>(</w:t>
      </w:r>
      <w:r w:rsidR="00A5558A" w:rsidRPr="003E6914">
        <w:rPr>
          <w:rFonts w:ascii="Times New Roman" w:hAnsi="Times New Roman" w:cs="Times New Roman" w:hint="eastAsia"/>
          <w:b/>
          <w:bCs/>
        </w:rPr>
        <w:t>C</w:t>
      </w:r>
      <w:r w:rsidR="00A5558A">
        <w:rPr>
          <w:rFonts w:ascii="Times New Roman" w:hAnsi="Times New Roman" w:cs="Times New Roman" w:hint="eastAsia"/>
        </w:rPr>
        <w:t xml:space="preserve">) Box plots </w:t>
      </w:r>
      <w:r w:rsidR="00C11544">
        <w:rPr>
          <w:rFonts w:ascii="Times New Roman" w:hAnsi="Times New Roman" w:cs="Times New Roman" w:hint="eastAsia"/>
        </w:rPr>
        <w:t xml:space="preserve">comparing the TME scores in surgical and baseline tumors of patients categorized by pathological response. </w:t>
      </w:r>
      <w:r w:rsidR="003E6914">
        <w:rPr>
          <w:rFonts w:ascii="Times New Roman" w:hAnsi="Times New Roman" w:cs="Times New Roman" w:hint="eastAsia"/>
        </w:rPr>
        <w:t>(</w:t>
      </w:r>
      <w:r w:rsidR="003E6914" w:rsidRPr="00821893">
        <w:rPr>
          <w:rFonts w:ascii="Times New Roman" w:hAnsi="Times New Roman" w:cs="Times New Roman" w:hint="eastAsia"/>
          <w:b/>
          <w:bCs/>
        </w:rPr>
        <w:t>D</w:t>
      </w:r>
      <w:r w:rsidR="003E6914">
        <w:rPr>
          <w:rFonts w:ascii="Times New Roman" w:hAnsi="Times New Roman" w:cs="Times New Roman" w:hint="eastAsia"/>
        </w:rPr>
        <w:t xml:space="preserve">) MCP-counter scores of selective immune cell populations in tumor samples before and after neoadjuvant chemotherapy. </w:t>
      </w:r>
      <w:bookmarkEnd w:id="19"/>
      <w:r w:rsidR="00EC3B94" w:rsidRPr="0069665A">
        <w:rPr>
          <w:rFonts w:ascii="Times New Roman" w:hAnsi="Times New Roman" w:cs="Times New Roman"/>
        </w:rPr>
        <w:br w:type="page"/>
      </w:r>
    </w:p>
    <w:p w14:paraId="56A89086" w14:textId="138CDC76" w:rsidR="00EC3B94" w:rsidRDefault="00713110" w:rsidP="00F82186">
      <w:pPr>
        <w:jc w:val="both"/>
      </w:pPr>
      <w:r>
        <w:rPr>
          <w:noProof/>
        </w:rPr>
        <w:lastRenderedPageBreak/>
        <w:drawing>
          <wp:inline distT="0" distB="0" distL="0" distR="0" wp14:anchorId="1DF24581" wp14:editId="2F2AAF68">
            <wp:extent cx="5943600" cy="4740910"/>
            <wp:effectExtent l="0" t="0" r="0" b="2540"/>
            <wp:docPr id="3411623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62364" name="Picture 34116236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740910"/>
                    </a:xfrm>
                    <a:prstGeom prst="rect">
                      <a:avLst/>
                    </a:prstGeom>
                  </pic:spPr>
                </pic:pic>
              </a:graphicData>
            </a:graphic>
          </wp:inline>
        </w:drawing>
      </w:r>
    </w:p>
    <w:p w14:paraId="2306F443" w14:textId="77777777" w:rsidR="006B57A0" w:rsidRDefault="006B57A0" w:rsidP="00F82186">
      <w:pPr>
        <w:jc w:val="both"/>
      </w:pPr>
    </w:p>
    <w:p w14:paraId="0429FD2B" w14:textId="68C2AA30" w:rsidR="006B57A0" w:rsidRDefault="006B57A0" w:rsidP="00F82186">
      <w:pPr>
        <w:pStyle w:val="Heading3"/>
        <w:spacing w:line="480" w:lineRule="auto"/>
        <w:jc w:val="both"/>
        <w:rPr>
          <w:rFonts w:ascii="Times New Roman" w:hAnsi="Times New Roman" w:cs="Times New Roman"/>
          <w:b/>
          <w:bCs/>
          <w:color w:val="auto"/>
          <w:sz w:val="24"/>
          <w:szCs w:val="24"/>
        </w:rPr>
      </w:pPr>
      <w:r w:rsidRPr="00FC3387">
        <w:rPr>
          <w:rFonts w:ascii="Times New Roman" w:hAnsi="Times New Roman" w:cs="Times New Roman" w:hint="eastAsia"/>
          <w:b/>
          <w:bCs/>
          <w:color w:val="auto"/>
          <w:sz w:val="24"/>
          <w:szCs w:val="24"/>
        </w:rPr>
        <w:t>Figure S</w:t>
      </w:r>
      <w:r w:rsidR="00F372CA">
        <w:rPr>
          <w:rFonts w:ascii="Times New Roman" w:hAnsi="Times New Roman" w:cs="Times New Roman" w:hint="eastAsia"/>
          <w:b/>
          <w:bCs/>
          <w:color w:val="auto"/>
          <w:sz w:val="24"/>
          <w:szCs w:val="24"/>
        </w:rPr>
        <w:t>8</w:t>
      </w:r>
      <w:r w:rsidRPr="00FC3387">
        <w:rPr>
          <w:rFonts w:ascii="Times New Roman" w:hAnsi="Times New Roman" w:cs="Times New Roman" w:hint="eastAsia"/>
          <w:b/>
          <w:bCs/>
          <w:color w:val="auto"/>
          <w:sz w:val="24"/>
          <w:szCs w:val="24"/>
        </w:rPr>
        <w:t xml:space="preserve">. </w:t>
      </w:r>
      <w:r w:rsidR="00FC3387" w:rsidRPr="00FC3387">
        <w:rPr>
          <w:rFonts w:ascii="Times New Roman" w:hAnsi="Times New Roman" w:cs="Times New Roman" w:hint="eastAsia"/>
          <w:b/>
          <w:bCs/>
          <w:color w:val="auto"/>
          <w:sz w:val="24"/>
          <w:szCs w:val="24"/>
        </w:rPr>
        <w:t>Dynamic ctDNA changes in patients</w:t>
      </w:r>
      <w:r w:rsidR="00626770">
        <w:rPr>
          <w:rFonts w:ascii="Times New Roman" w:hAnsi="Times New Roman" w:cs="Times New Roman" w:hint="eastAsia"/>
          <w:b/>
          <w:bCs/>
          <w:color w:val="auto"/>
          <w:sz w:val="24"/>
          <w:szCs w:val="24"/>
        </w:rPr>
        <w:t xml:space="preserve"> with matched samples</w:t>
      </w:r>
      <w:r w:rsidR="00FC3387" w:rsidRPr="00FC3387">
        <w:rPr>
          <w:rFonts w:ascii="Times New Roman" w:hAnsi="Times New Roman" w:cs="Times New Roman" w:hint="eastAsia"/>
          <w:b/>
          <w:bCs/>
          <w:color w:val="auto"/>
          <w:sz w:val="24"/>
          <w:szCs w:val="24"/>
        </w:rPr>
        <w:t xml:space="preserve"> </w:t>
      </w:r>
    </w:p>
    <w:p w14:paraId="532D370F" w14:textId="6D9C6F54" w:rsidR="00A83BB1" w:rsidRDefault="007F09FF" w:rsidP="00F82186">
      <w:pPr>
        <w:spacing w:line="480" w:lineRule="auto"/>
        <w:jc w:val="both"/>
        <w:rPr>
          <w:rFonts w:ascii="Times New Roman" w:hAnsi="Times New Roman" w:cs="Times New Roman"/>
        </w:rPr>
      </w:pPr>
      <w:r w:rsidRPr="006A1497">
        <w:rPr>
          <w:rFonts w:ascii="Times New Roman" w:hAnsi="Times New Roman" w:cs="Times New Roman"/>
        </w:rPr>
        <w:t>(</w:t>
      </w:r>
      <w:r w:rsidRPr="00893691">
        <w:rPr>
          <w:rFonts w:ascii="Times New Roman" w:hAnsi="Times New Roman" w:cs="Times New Roman"/>
          <w:b/>
          <w:bCs/>
        </w:rPr>
        <w:t>A</w:t>
      </w:r>
      <w:r w:rsidRPr="006A1497">
        <w:rPr>
          <w:rFonts w:ascii="Times New Roman" w:hAnsi="Times New Roman" w:cs="Times New Roman"/>
        </w:rPr>
        <w:t xml:space="preserve">) </w:t>
      </w:r>
      <w:r>
        <w:rPr>
          <w:rFonts w:ascii="Times New Roman" w:hAnsi="Times New Roman" w:cs="Times New Roman" w:hint="eastAsia"/>
        </w:rPr>
        <w:t xml:space="preserve">Sankey plot </w:t>
      </w:r>
      <w:r w:rsidR="004D55EB">
        <w:rPr>
          <w:rFonts w:ascii="Times New Roman" w:hAnsi="Times New Roman" w:cs="Times New Roman" w:hint="eastAsia"/>
        </w:rPr>
        <w:t>depicting</w:t>
      </w:r>
      <w:r>
        <w:rPr>
          <w:rFonts w:ascii="Times New Roman" w:hAnsi="Times New Roman" w:cs="Times New Roman" w:hint="eastAsia"/>
        </w:rPr>
        <w:t xml:space="preserve"> changes in the proportion of patients stratified by ctDNA status at baseline, on-NAC, and post-NAC time points. (</w:t>
      </w:r>
      <w:r w:rsidRPr="003421B1">
        <w:rPr>
          <w:rFonts w:ascii="Times New Roman" w:hAnsi="Times New Roman" w:cs="Times New Roman" w:hint="eastAsia"/>
          <w:b/>
          <w:bCs/>
        </w:rPr>
        <w:t>B</w:t>
      </w:r>
      <w:r>
        <w:rPr>
          <w:rFonts w:ascii="Times New Roman" w:hAnsi="Times New Roman" w:cs="Times New Roman" w:hint="eastAsia"/>
        </w:rPr>
        <w:t xml:space="preserve">) Box plot </w:t>
      </w:r>
      <w:r w:rsidR="004D55EB">
        <w:rPr>
          <w:rFonts w:ascii="Times New Roman" w:hAnsi="Times New Roman" w:cs="Times New Roman" w:hint="eastAsia"/>
        </w:rPr>
        <w:t>showing</w:t>
      </w:r>
      <w:r>
        <w:rPr>
          <w:rFonts w:ascii="Times New Roman" w:hAnsi="Times New Roman" w:cs="Times New Roman" w:hint="eastAsia"/>
        </w:rPr>
        <w:t xml:space="preserve"> the change in the max</w:t>
      </w:r>
      <w:r w:rsidR="004D55EB">
        <w:rPr>
          <w:rFonts w:ascii="Times New Roman" w:hAnsi="Times New Roman" w:cs="Times New Roman" w:hint="eastAsia"/>
        </w:rPr>
        <w:t>imum</w:t>
      </w:r>
      <w:r>
        <w:rPr>
          <w:rFonts w:ascii="Times New Roman" w:hAnsi="Times New Roman" w:cs="Times New Roman" w:hint="eastAsia"/>
        </w:rPr>
        <w:t xml:space="preserve"> variant allele frequency (maxVAF) in plasma ctDNA during NAC. (</w:t>
      </w:r>
      <w:r w:rsidRPr="003421B1">
        <w:rPr>
          <w:rFonts w:ascii="Times New Roman" w:hAnsi="Times New Roman" w:cs="Times New Roman" w:hint="eastAsia"/>
          <w:b/>
          <w:bCs/>
        </w:rPr>
        <w:t>C</w:t>
      </w:r>
      <w:r>
        <w:rPr>
          <w:rFonts w:ascii="Times New Roman" w:hAnsi="Times New Roman" w:cs="Times New Roman" w:hint="eastAsia"/>
        </w:rPr>
        <w:t>) Bar plots show</w:t>
      </w:r>
      <w:r w:rsidR="004D55EB">
        <w:rPr>
          <w:rFonts w:ascii="Times New Roman" w:hAnsi="Times New Roman" w:cs="Times New Roman" w:hint="eastAsia"/>
        </w:rPr>
        <w:t>ing</w:t>
      </w:r>
      <w:r>
        <w:rPr>
          <w:rFonts w:ascii="Times New Roman" w:hAnsi="Times New Roman" w:cs="Times New Roman" w:hint="eastAsia"/>
        </w:rPr>
        <w:t xml:space="preserve"> the </w:t>
      </w:r>
      <w:r>
        <w:rPr>
          <w:rFonts w:ascii="Times New Roman" w:hAnsi="Times New Roman" w:cs="Times New Roman"/>
        </w:rPr>
        <w:t>proportion</w:t>
      </w:r>
      <w:r>
        <w:rPr>
          <w:rFonts w:ascii="Times New Roman" w:hAnsi="Times New Roman" w:cs="Times New Roman" w:hint="eastAsia"/>
        </w:rPr>
        <w:t xml:space="preserve"> of patients achieving pathological complete response (pCR) or non-pCR, stratified by ctDNA status at the three time points. (</w:t>
      </w:r>
      <w:r w:rsidRPr="003421B1">
        <w:rPr>
          <w:rFonts w:ascii="Times New Roman" w:hAnsi="Times New Roman" w:cs="Times New Roman" w:hint="eastAsia"/>
          <w:b/>
          <w:bCs/>
        </w:rPr>
        <w:t>D</w:t>
      </w:r>
      <w:r>
        <w:rPr>
          <w:rFonts w:ascii="Times New Roman" w:hAnsi="Times New Roman" w:cs="Times New Roman" w:hint="eastAsia"/>
        </w:rPr>
        <w:t xml:space="preserve">) Performance analysis </w:t>
      </w:r>
      <w:r w:rsidR="004D55EB">
        <w:rPr>
          <w:rFonts w:ascii="Times New Roman" w:hAnsi="Times New Roman" w:cs="Times New Roman" w:hint="eastAsia"/>
        </w:rPr>
        <w:t>evaluating</w:t>
      </w:r>
      <w:r>
        <w:rPr>
          <w:rFonts w:ascii="Times New Roman" w:hAnsi="Times New Roman" w:cs="Times New Roman" w:hint="eastAsia"/>
        </w:rPr>
        <w:t xml:space="preserve"> the predictive value of undetectable ctDNA at each of the three time points for </w:t>
      </w:r>
      <w:r w:rsidR="004D55EB">
        <w:rPr>
          <w:rFonts w:ascii="Times New Roman" w:hAnsi="Times New Roman" w:cs="Times New Roman" w:hint="eastAsia"/>
        </w:rPr>
        <w:t>predicting</w:t>
      </w:r>
      <w:r>
        <w:rPr>
          <w:rFonts w:ascii="Times New Roman" w:hAnsi="Times New Roman" w:cs="Times New Roman" w:hint="eastAsia"/>
        </w:rPr>
        <w:t xml:space="preserve"> tumor response to NAC. NAC, neoadjuvant chemotherapy; PPV, positive predictive value; NPV, negative predictive value.</w:t>
      </w:r>
    </w:p>
    <w:p w14:paraId="0F39FD0A" w14:textId="09F3AEC2" w:rsidR="00A83BB1" w:rsidRDefault="00012CDC" w:rsidP="00F82186">
      <w:pPr>
        <w:jc w:val="both"/>
        <w:rPr>
          <w:rFonts w:ascii="Times New Roman" w:hAnsi="Times New Roman" w:cs="Times New Roman"/>
        </w:rPr>
      </w:pPr>
      <w:r>
        <w:rPr>
          <w:rFonts w:ascii="Times New Roman" w:hAnsi="Times New Roman" w:cs="Times New Roman"/>
          <w:noProof/>
        </w:rPr>
        <w:lastRenderedPageBreak/>
        <w:drawing>
          <wp:inline distT="0" distB="0" distL="0" distR="0" wp14:anchorId="6483F249" wp14:editId="5DB072EA">
            <wp:extent cx="5943600" cy="5424170"/>
            <wp:effectExtent l="0" t="0" r="0" b="5080"/>
            <wp:docPr id="1939517056"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517056" name="Picture 1" descr="A screenshot of a graph&#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5424170"/>
                    </a:xfrm>
                    <a:prstGeom prst="rect">
                      <a:avLst/>
                    </a:prstGeom>
                  </pic:spPr>
                </pic:pic>
              </a:graphicData>
            </a:graphic>
          </wp:inline>
        </w:drawing>
      </w:r>
    </w:p>
    <w:p w14:paraId="740AC633" w14:textId="77777777" w:rsidR="00A83BB1" w:rsidRDefault="00A83BB1" w:rsidP="00BA0B32">
      <w:pPr>
        <w:spacing w:line="480" w:lineRule="auto"/>
        <w:jc w:val="both"/>
        <w:rPr>
          <w:rFonts w:ascii="Times New Roman" w:hAnsi="Times New Roman" w:cs="Times New Roman"/>
        </w:rPr>
      </w:pPr>
    </w:p>
    <w:p w14:paraId="5C62895D" w14:textId="3CB0A80E" w:rsidR="00A83BB1" w:rsidRPr="00676CF6" w:rsidRDefault="00A83BB1" w:rsidP="00BA0B32">
      <w:pPr>
        <w:pStyle w:val="Heading3"/>
        <w:spacing w:line="480" w:lineRule="auto"/>
        <w:jc w:val="both"/>
        <w:rPr>
          <w:rFonts w:ascii="Times New Roman" w:hAnsi="Times New Roman" w:cs="Times New Roman"/>
          <w:b/>
          <w:bCs/>
          <w:color w:val="auto"/>
          <w:sz w:val="24"/>
          <w:szCs w:val="24"/>
        </w:rPr>
      </w:pPr>
      <w:r w:rsidRPr="00676CF6">
        <w:rPr>
          <w:rFonts w:ascii="Times New Roman" w:hAnsi="Times New Roman" w:cs="Times New Roman"/>
          <w:b/>
          <w:bCs/>
          <w:color w:val="auto"/>
          <w:sz w:val="24"/>
          <w:szCs w:val="24"/>
        </w:rPr>
        <w:t>Figure S</w:t>
      </w:r>
      <w:r w:rsidR="00F372CA">
        <w:rPr>
          <w:rFonts w:ascii="Times New Roman" w:hAnsi="Times New Roman" w:cs="Times New Roman" w:hint="eastAsia"/>
          <w:b/>
          <w:bCs/>
          <w:color w:val="auto"/>
          <w:sz w:val="24"/>
          <w:szCs w:val="24"/>
        </w:rPr>
        <w:t>9</w:t>
      </w:r>
      <w:r w:rsidRPr="00676CF6">
        <w:rPr>
          <w:rFonts w:ascii="Times New Roman" w:hAnsi="Times New Roman" w:cs="Times New Roman"/>
          <w:b/>
          <w:bCs/>
          <w:color w:val="auto"/>
          <w:sz w:val="24"/>
          <w:szCs w:val="24"/>
        </w:rPr>
        <w:t>. ctDNA positivity status and patient prognosis</w:t>
      </w:r>
    </w:p>
    <w:p w14:paraId="4FFE07BD" w14:textId="3235380C" w:rsidR="00A83BB1" w:rsidRPr="00676CF6" w:rsidRDefault="00A83BB1" w:rsidP="00BA0B32">
      <w:pPr>
        <w:spacing w:line="480" w:lineRule="auto"/>
        <w:jc w:val="both"/>
        <w:rPr>
          <w:rFonts w:ascii="Times New Roman" w:hAnsi="Times New Roman" w:cs="Times New Roman"/>
        </w:rPr>
      </w:pPr>
      <w:r w:rsidRPr="00676CF6">
        <w:rPr>
          <w:rFonts w:ascii="Times New Roman" w:hAnsi="Times New Roman" w:cs="Times New Roman"/>
        </w:rPr>
        <w:t>(</w:t>
      </w:r>
      <w:r w:rsidRPr="00676CF6">
        <w:rPr>
          <w:rFonts w:ascii="Times New Roman" w:hAnsi="Times New Roman" w:cs="Times New Roman"/>
          <w:b/>
          <w:bCs/>
        </w:rPr>
        <w:t>A, B</w:t>
      </w:r>
      <w:r w:rsidRPr="00676CF6">
        <w:rPr>
          <w:rFonts w:ascii="Times New Roman" w:hAnsi="Times New Roman" w:cs="Times New Roman"/>
        </w:rPr>
        <w:t xml:space="preserve">) </w:t>
      </w:r>
      <w:r w:rsidR="00676CF6" w:rsidRPr="00676CF6">
        <w:rPr>
          <w:rFonts w:ascii="Times New Roman" w:hAnsi="Times New Roman" w:cs="Times New Roman"/>
        </w:rPr>
        <w:t xml:space="preserve">Predictive value of landmark ctDNA and longitudinal ctDNA status for disease recurrence (A) and death (B). </w:t>
      </w:r>
      <w:r w:rsidR="00160AA1">
        <w:rPr>
          <w:rFonts w:ascii="Times New Roman" w:hAnsi="Times New Roman" w:cs="Times New Roman" w:hint="eastAsia"/>
        </w:rPr>
        <w:t>(</w:t>
      </w:r>
      <w:r w:rsidR="00160AA1" w:rsidRPr="00160AA1">
        <w:rPr>
          <w:rFonts w:ascii="Times New Roman" w:hAnsi="Times New Roman" w:cs="Times New Roman" w:hint="eastAsia"/>
          <w:b/>
          <w:bCs/>
        </w:rPr>
        <w:t>C-E</w:t>
      </w:r>
      <w:r w:rsidR="00160AA1">
        <w:rPr>
          <w:rFonts w:ascii="Times New Roman" w:hAnsi="Times New Roman" w:cs="Times New Roman" w:hint="eastAsia"/>
        </w:rPr>
        <w:t xml:space="preserve">) </w:t>
      </w:r>
      <w:r w:rsidR="00160AA1">
        <w:rPr>
          <w:rFonts w:ascii="Times New Roman" w:hAnsi="Times New Roman" w:cs="Times New Roman"/>
        </w:rPr>
        <w:t>Kaplan</w:t>
      </w:r>
      <w:r w:rsidR="00160AA1">
        <w:rPr>
          <w:rFonts w:ascii="Times New Roman" w:hAnsi="Times New Roman" w:cs="Times New Roman" w:hint="eastAsia"/>
        </w:rPr>
        <w:t xml:space="preserve">-Meier curves showing the disease-free survival and overall survival stratified by ctDNA status at pre-NAC (P1), during NAC (P2), and post-NAC (P3) time points. </w:t>
      </w:r>
      <w:r w:rsidR="00676CF6">
        <w:rPr>
          <w:rFonts w:ascii="Times New Roman" w:hAnsi="Times New Roman" w:cs="Times New Roman" w:hint="eastAsia"/>
        </w:rPr>
        <w:t>(</w:t>
      </w:r>
      <w:r w:rsidR="00012CDC">
        <w:rPr>
          <w:rFonts w:ascii="Times New Roman" w:hAnsi="Times New Roman" w:cs="Times New Roman" w:hint="eastAsia"/>
          <w:b/>
          <w:bCs/>
        </w:rPr>
        <w:t>F, G</w:t>
      </w:r>
      <w:r w:rsidR="00676CF6">
        <w:rPr>
          <w:rFonts w:ascii="Times New Roman" w:hAnsi="Times New Roman" w:cs="Times New Roman" w:hint="eastAsia"/>
        </w:rPr>
        <w:t xml:space="preserve">) </w:t>
      </w:r>
      <w:r w:rsidR="00676CF6">
        <w:rPr>
          <w:rFonts w:ascii="Times New Roman" w:hAnsi="Times New Roman" w:cs="Times New Roman"/>
        </w:rPr>
        <w:t>Kaplan</w:t>
      </w:r>
      <w:r w:rsidR="00676CF6">
        <w:rPr>
          <w:rFonts w:ascii="Times New Roman" w:hAnsi="Times New Roman" w:cs="Times New Roman" w:hint="eastAsia"/>
        </w:rPr>
        <w:t xml:space="preserve">-Meier curves </w:t>
      </w:r>
      <w:r w:rsidR="007B02F0">
        <w:rPr>
          <w:rFonts w:ascii="Times New Roman" w:hAnsi="Times New Roman" w:cs="Times New Roman" w:hint="eastAsia"/>
        </w:rPr>
        <w:t>showing</w:t>
      </w:r>
      <w:r w:rsidR="00676CF6">
        <w:rPr>
          <w:rFonts w:ascii="Times New Roman" w:hAnsi="Times New Roman" w:cs="Times New Roman" w:hint="eastAsia"/>
        </w:rPr>
        <w:t xml:space="preserve"> the disease-free survival and overall survival</w:t>
      </w:r>
      <w:r w:rsidR="007B02F0">
        <w:rPr>
          <w:rFonts w:ascii="Times New Roman" w:hAnsi="Times New Roman" w:cs="Times New Roman" w:hint="eastAsia"/>
        </w:rPr>
        <w:t xml:space="preserve">, </w:t>
      </w:r>
      <w:r w:rsidR="005B3A04">
        <w:rPr>
          <w:rFonts w:ascii="Times New Roman" w:hAnsi="Times New Roman" w:cs="Times New Roman" w:hint="eastAsia"/>
        </w:rPr>
        <w:t>stratified by longitudinal ctDNA status from P2 to P3 time points (</w:t>
      </w:r>
      <w:r w:rsidR="00021F00">
        <w:rPr>
          <w:rFonts w:ascii="Times New Roman" w:hAnsi="Times New Roman" w:cs="Times New Roman" w:hint="eastAsia"/>
        </w:rPr>
        <w:t>F</w:t>
      </w:r>
      <w:r w:rsidR="005B3A04">
        <w:rPr>
          <w:rFonts w:ascii="Times New Roman" w:hAnsi="Times New Roman" w:cs="Times New Roman" w:hint="eastAsia"/>
        </w:rPr>
        <w:t>) and P1 to P3 time points (</w:t>
      </w:r>
      <w:r w:rsidR="00021F00">
        <w:rPr>
          <w:rFonts w:ascii="Times New Roman" w:hAnsi="Times New Roman" w:cs="Times New Roman" w:hint="eastAsia"/>
        </w:rPr>
        <w:t>G</w:t>
      </w:r>
      <w:r w:rsidR="005B3A04">
        <w:rPr>
          <w:rFonts w:ascii="Times New Roman" w:hAnsi="Times New Roman" w:cs="Times New Roman" w:hint="eastAsia"/>
        </w:rPr>
        <w:t xml:space="preserve">). </w:t>
      </w:r>
    </w:p>
    <w:sectPr w:rsidR="00A83BB1" w:rsidRPr="00676CF6">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883CC" w14:textId="77777777" w:rsidR="00E71D16" w:rsidRDefault="00E71D16" w:rsidP="00302B5A">
      <w:pPr>
        <w:spacing w:after="0" w:line="240" w:lineRule="auto"/>
      </w:pPr>
      <w:r>
        <w:separator/>
      </w:r>
    </w:p>
  </w:endnote>
  <w:endnote w:type="continuationSeparator" w:id="0">
    <w:p w14:paraId="45110452" w14:textId="77777777" w:rsidR="00E71D16" w:rsidRDefault="00E71D16" w:rsidP="00302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1542215"/>
      <w:docPartObj>
        <w:docPartGallery w:val="Page Numbers (Bottom of Page)"/>
        <w:docPartUnique/>
      </w:docPartObj>
    </w:sdtPr>
    <w:sdtEndPr>
      <w:rPr>
        <w:noProof/>
      </w:rPr>
    </w:sdtEndPr>
    <w:sdtContent>
      <w:p w14:paraId="5AFB542B" w14:textId="79985123" w:rsidR="00302B5A" w:rsidRDefault="00302B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C53F5E" w14:textId="77777777" w:rsidR="00302B5A" w:rsidRDefault="00302B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0D887" w14:textId="77777777" w:rsidR="00E71D16" w:rsidRDefault="00E71D16" w:rsidP="00302B5A">
      <w:pPr>
        <w:spacing w:after="0" w:line="240" w:lineRule="auto"/>
      </w:pPr>
      <w:r>
        <w:separator/>
      </w:r>
    </w:p>
  </w:footnote>
  <w:footnote w:type="continuationSeparator" w:id="0">
    <w:p w14:paraId="0C670E40" w14:textId="77777777" w:rsidR="00E71D16" w:rsidRDefault="00E71D16" w:rsidP="00302B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ewMDE0NzUzNTIxM7JQ0lEKTi0uzszPAykwMqgFAKQFVOstAAAA"/>
  </w:docVars>
  <w:rsids>
    <w:rsidRoot w:val="00AD5A49"/>
    <w:rsid w:val="00000146"/>
    <w:rsid w:val="000043CE"/>
    <w:rsid w:val="00012CDC"/>
    <w:rsid w:val="000167FD"/>
    <w:rsid w:val="00021F00"/>
    <w:rsid w:val="00026CFF"/>
    <w:rsid w:val="00027A87"/>
    <w:rsid w:val="000442A4"/>
    <w:rsid w:val="0005605B"/>
    <w:rsid w:val="00057133"/>
    <w:rsid w:val="00075D07"/>
    <w:rsid w:val="00077DD6"/>
    <w:rsid w:val="00092C42"/>
    <w:rsid w:val="00092DD5"/>
    <w:rsid w:val="000B44DF"/>
    <w:rsid w:val="000D0A50"/>
    <w:rsid w:val="000E4AEA"/>
    <w:rsid w:val="001156F0"/>
    <w:rsid w:val="001471D1"/>
    <w:rsid w:val="00160AA1"/>
    <w:rsid w:val="001A2DDB"/>
    <w:rsid w:val="001B1B7E"/>
    <w:rsid w:val="001B4C61"/>
    <w:rsid w:val="001C3AD5"/>
    <w:rsid w:val="001C6A6A"/>
    <w:rsid w:val="001D20FA"/>
    <w:rsid w:val="00203B2F"/>
    <w:rsid w:val="00212593"/>
    <w:rsid w:val="00234242"/>
    <w:rsid w:val="00240E11"/>
    <w:rsid w:val="00251198"/>
    <w:rsid w:val="002542EB"/>
    <w:rsid w:val="00260E65"/>
    <w:rsid w:val="00265990"/>
    <w:rsid w:val="002852EC"/>
    <w:rsid w:val="002913E9"/>
    <w:rsid w:val="00293DE9"/>
    <w:rsid w:val="002A3F87"/>
    <w:rsid w:val="002A4D2A"/>
    <w:rsid w:val="002C2FF3"/>
    <w:rsid w:val="002D2DAA"/>
    <w:rsid w:val="002F4C8F"/>
    <w:rsid w:val="002F5458"/>
    <w:rsid w:val="00302B5A"/>
    <w:rsid w:val="00326CF1"/>
    <w:rsid w:val="00330521"/>
    <w:rsid w:val="00345DC1"/>
    <w:rsid w:val="0036389E"/>
    <w:rsid w:val="00376FE8"/>
    <w:rsid w:val="00382799"/>
    <w:rsid w:val="003839C4"/>
    <w:rsid w:val="003E5171"/>
    <w:rsid w:val="003E6914"/>
    <w:rsid w:val="003E6E32"/>
    <w:rsid w:val="00405165"/>
    <w:rsid w:val="00425FFD"/>
    <w:rsid w:val="0043284D"/>
    <w:rsid w:val="00453030"/>
    <w:rsid w:val="0046146D"/>
    <w:rsid w:val="004678EE"/>
    <w:rsid w:val="004849D8"/>
    <w:rsid w:val="00486CB6"/>
    <w:rsid w:val="004A343C"/>
    <w:rsid w:val="004D55EB"/>
    <w:rsid w:val="004D66DF"/>
    <w:rsid w:val="004E38D1"/>
    <w:rsid w:val="004E4693"/>
    <w:rsid w:val="004E7E51"/>
    <w:rsid w:val="004F36E7"/>
    <w:rsid w:val="004F49A3"/>
    <w:rsid w:val="0051628A"/>
    <w:rsid w:val="00536CE3"/>
    <w:rsid w:val="005429CB"/>
    <w:rsid w:val="00574B4F"/>
    <w:rsid w:val="00575529"/>
    <w:rsid w:val="005A418E"/>
    <w:rsid w:val="005B3A04"/>
    <w:rsid w:val="005C65BB"/>
    <w:rsid w:val="005D31B1"/>
    <w:rsid w:val="005D592D"/>
    <w:rsid w:val="005D6221"/>
    <w:rsid w:val="005F57B7"/>
    <w:rsid w:val="00604FED"/>
    <w:rsid w:val="0060503A"/>
    <w:rsid w:val="00616239"/>
    <w:rsid w:val="00616423"/>
    <w:rsid w:val="00626770"/>
    <w:rsid w:val="00632EEC"/>
    <w:rsid w:val="00641465"/>
    <w:rsid w:val="00642025"/>
    <w:rsid w:val="006445F6"/>
    <w:rsid w:val="00675A44"/>
    <w:rsid w:val="00676CF6"/>
    <w:rsid w:val="0069665A"/>
    <w:rsid w:val="006A1E49"/>
    <w:rsid w:val="006B57A0"/>
    <w:rsid w:val="006C0435"/>
    <w:rsid w:val="006C4AA5"/>
    <w:rsid w:val="006E3B9F"/>
    <w:rsid w:val="006F24E2"/>
    <w:rsid w:val="007105FE"/>
    <w:rsid w:val="00713110"/>
    <w:rsid w:val="00713C09"/>
    <w:rsid w:val="00717E2F"/>
    <w:rsid w:val="00733924"/>
    <w:rsid w:val="00734916"/>
    <w:rsid w:val="00746BE3"/>
    <w:rsid w:val="00751037"/>
    <w:rsid w:val="007564CB"/>
    <w:rsid w:val="00762FB7"/>
    <w:rsid w:val="00775B7E"/>
    <w:rsid w:val="007854C5"/>
    <w:rsid w:val="007A0D4E"/>
    <w:rsid w:val="007A3201"/>
    <w:rsid w:val="007A4342"/>
    <w:rsid w:val="007B02F0"/>
    <w:rsid w:val="007C3BD0"/>
    <w:rsid w:val="007C5026"/>
    <w:rsid w:val="007D2D8D"/>
    <w:rsid w:val="007D3C21"/>
    <w:rsid w:val="007D46EC"/>
    <w:rsid w:val="007E77B2"/>
    <w:rsid w:val="007E7AFA"/>
    <w:rsid w:val="007F08C6"/>
    <w:rsid w:val="007F09FF"/>
    <w:rsid w:val="008079D1"/>
    <w:rsid w:val="00817AA5"/>
    <w:rsid w:val="00821513"/>
    <w:rsid w:val="00821893"/>
    <w:rsid w:val="008345B7"/>
    <w:rsid w:val="008531B4"/>
    <w:rsid w:val="008601CE"/>
    <w:rsid w:val="008642F2"/>
    <w:rsid w:val="0086708A"/>
    <w:rsid w:val="0088082B"/>
    <w:rsid w:val="00885A5B"/>
    <w:rsid w:val="008A2872"/>
    <w:rsid w:val="008F5B29"/>
    <w:rsid w:val="00907BB6"/>
    <w:rsid w:val="009406DB"/>
    <w:rsid w:val="00940BCC"/>
    <w:rsid w:val="00951881"/>
    <w:rsid w:val="0097576A"/>
    <w:rsid w:val="00993627"/>
    <w:rsid w:val="0099377F"/>
    <w:rsid w:val="009D69AB"/>
    <w:rsid w:val="009E260E"/>
    <w:rsid w:val="009E4B0C"/>
    <w:rsid w:val="00A179A9"/>
    <w:rsid w:val="00A21F00"/>
    <w:rsid w:val="00A35FC9"/>
    <w:rsid w:val="00A5558A"/>
    <w:rsid w:val="00A6383B"/>
    <w:rsid w:val="00A83BB1"/>
    <w:rsid w:val="00AB1798"/>
    <w:rsid w:val="00AC4861"/>
    <w:rsid w:val="00AD5A49"/>
    <w:rsid w:val="00AF0C30"/>
    <w:rsid w:val="00AF1DFE"/>
    <w:rsid w:val="00AF36B6"/>
    <w:rsid w:val="00B13831"/>
    <w:rsid w:val="00B156DD"/>
    <w:rsid w:val="00B37504"/>
    <w:rsid w:val="00B50CC9"/>
    <w:rsid w:val="00B67AB9"/>
    <w:rsid w:val="00BA0B32"/>
    <w:rsid w:val="00BA7296"/>
    <w:rsid w:val="00BD5C19"/>
    <w:rsid w:val="00BE013B"/>
    <w:rsid w:val="00BE01D6"/>
    <w:rsid w:val="00BF51A1"/>
    <w:rsid w:val="00C11544"/>
    <w:rsid w:val="00C2135B"/>
    <w:rsid w:val="00C23BC0"/>
    <w:rsid w:val="00C24B62"/>
    <w:rsid w:val="00C3028D"/>
    <w:rsid w:val="00C41DFC"/>
    <w:rsid w:val="00C653A3"/>
    <w:rsid w:val="00CB0718"/>
    <w:rsid w:val="00CD1A98"/>
    <w:rsid w:val="00CD1F1C"/>
    <w:rsid w:val="00CD737E"/>
    <w:rsid w:val="00CF5607"/>
    <w:rsid w:val="00D00BB3"/>
    <w:rsid w:val="00D20A1C"/>
    <w:rsid w:val="00D455DE"/>
    <w:rsid w:val="00D512E5"/>
    <w:rsid w:val="00D855C1"/>
    <w:rsid w:val="00DD2722"/>
    <w:rsid w:val="00E0339D"/>
    <w:rsid w:val="00E036FE"/>
    <w:rsid w:val="00E10D29"/>
    <w:rsid w:val="00E1336B"/>
    <w:rsid w:val="00E14C3F"/>
    <w:rsid w:val="00E163E2"/>
    <w:rsid w:val="00E3704A"/>
    <w:rsid w:val="00E525D1"/>
    <w:rsid w:val="00E54C21"/>
    <w:rsid w:val="00E65A7F"/>
    <w:rsid w:val="00E71D16"/>
    <w:rsid w:val="00E85C51"/>
    <w:rsid w:val="00EA61CF"/>
    <w:rsid w:val="00EB02DE"/>
    <w:rsid w:val="00EB0593"/>
    <w:rsid w:val="00EB1A75"/>
    <w:rsid w:val="00EB328B"/>
    <w:rsid w:val="00EC3B94"/>
    <w:rsid w:val="00EF2020"/>
    <w:rsid w:val="00F10602"/>
    <w:rsid w:val="00F13E07"/>
    <w:rsid w:val="00F16E8E"/>
    <w:rsid w:val="00F372CA"/>
    <w:rsid w:val="00F553CC"/>
    <w:rsid w:val="00F72E66"/>
    <w:rsid w:val="00F82186"/>
    <w:rsid w:val="00F86495"/>
    <w:rsid w:val="00F868EC"/>
    <w:rsid w:val="00F87551"/>
    <w:rsid w:val="00FC3387"/>
    <w:rsid w:val="00FC786C"/>
    <w:rsid w:val="00FD230D"/>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E6C9D"/>
  <w15:chartTrackingRefBased/>
  <w15:docId w15:val="{6E672C12-CF3E-4306-8E7C-E803A0C31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5A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5A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5A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5A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5A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5A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5A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5A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5A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A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5A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5A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5A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5A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5A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5A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5A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5A49"/>
    <w:rPr>
      <w:rFonts w:eastAsiaTheme="majorEastAsia" w:cstheme="majorBidi"/>
      <w:color w:val="272727" w:themeColor="text1" w:themeTint="D8"/>
    </w:rPr>
  </w:style>
  <w:style w:type="paragraph" w:styleId="Title">
    <w:name w:val="Title"/>
    <w:basedOn w:val="Normal"/>
    <w:next w:val="Normal"/>
    <w:link w:val="TitleChar"/>
    <w:uiPriority w:val="10"/>
    <w:qFormat/>
    <w:rsid w:val="00AD5A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5A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5A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5A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5A49"/>
    <w:pPr>
      <w:spacing w:before="160"/>
      <w:jc w:val="center"/>
    </w:pPr>
    <w:rPr>
      <w:i/>
      <w:iCs/>
      <w:color w:val="404040" w:themeColor="text1" w:themeTint="BF"/>
    </w:rPr>
  </w:style>
  <w:style w:type="character" w:customStyle="1" w:styleId="QuoteChar">
    <w:name w:val="Quote Char"/>
    <w:basedOn w:val="DefaultParagraphFont"/>
    <w:link w:val="Quote"/>
    <w:uiPriority w:val="29"/>
    <w:rsid w:val="00AD5A49"/>
    <w:rPr>
      <w:i/>
      <w:iCs/>
      <w:color w:val="404040" w:themeColor="text1" w:themeTint="BF"/>
    </w:rPr>
  </w:style>
  <w:style w:type="paragraph" w:styleId="ListParagraph">
    <w:name w:val="List Paragraph"/>
    <w:basedOn w:val="Normal"/>
    <w:uiPriority w:val="34"/>
    <w:qFormat/>
    <w:rsid w:val="00AD5A49"/>
    <w:pPr>
      <w:ind w:left="720"/>
      <w:contextualSpacing/>
    </w:pPr>
  </w:style>
  <w:style w:type="character" w:styleId="IntenseEmphasis">
    <w:name w:val="Intense Emphasis"/>
    <w:basedOn w:val="DefaultParagraphFont"/>
    <w:uiPriority w:val="21"/>
    <w:qFormat/>
    <w:rsid w:val="00AD5A49"/>
    <w:rPr>
      <w:i/>
      <w:iCs/>
      <w:color w:val="0F4761" w:themeColor="accent1" w:themeShade="BF"/>
    </w:rPr>
  </w:style>
  <w:style w:type="paragraph" w:styleId="IntenseQuote">
    <w:name w:val="Intense Quote"/>
    <w:basedOn w:val="Normal"/>
    <w:next w:val="Normal"/>
    <w:link w:val="IntenseQuoteChar"/>
    <w:uiPriority w:val="30"/>
    <w:qFormat/>
    <w:rsid w:val="00AD5A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5A49"/>
    <w:rPr>
      <w:i/>
      <w:iCs/>
      <w:color w:val="0F4761" w:themeColor="accent1" w:themeShade="BF"/>
    </w:rPr>
  </w:style>
  <w:style w:type="character" w:styleId="IntenseReference">
    <w:name w:val="Intense Reference"/>
    <w:basedOn w:val="DefaultParagraphFont"/>
    <w:uiPriority w:val="32"/>
    <w:qFormat/>
    <w:rsid w:val="00AD5A49"/>
    <w:rPr>
      <w:b/>
      <w:bCs/>
      <w:smallCaps/>
      <w:color w:val="0F4761" w:themeColor="accent1" w:themeShade="BF"/>
      <w:spacing w:val="5"/>
    </w:rPr>
  </w:style>
  <w:style w:type="table" w:styleId="TableGrid">
    <w:name w:val="Table Grid"/>
    <w:basedOn w:val="TableNormal"/>
    <w:uiPriority w:val="39"/>
    <w:rsid w:val="004A3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2B5A"/>
    <w:pPr>
      <w:tabs>
        <w:tab w:val="center" w:pos="4320"/>
        <w:tab w:val="right" w:pos="8640"/>
      </w:tabs>
      <w:spacing w:after="0" w:line="240" w:lineRule="auto"/>
    </w:pPr>
  </w:style>
  <w:style w:type="character" w:customStyle="1" w:styleId="HeaderChar">
    <w:name w:val="Header Char"/>
    <w:basedOn w:val="DefaultParagraphFont"/>
    <w:link w:val="Header"/>
    <w:uiPriority w:val="99"/>
    <w:rsid w:val="00302B5A"/>
  </w:style>
  <w:style w:type="paragraph" w:styleId="Footer">
    <w:name w:val="footer"/>
    <w:basedOn w:val="Normal"/>
    <w:link w:val="FooterChar"/>
    <w:uiPriority w:val="99"/>
    <w:unhideWhenUsed/>
    <w:rsid w:val="00302B5A"/>
    <w:pPr>
      <w:tabs>
        <w:tab w:val="center" w:pos="4320"/>
        <w:tab w:val="right" w:pos="8640"/>
      </w:tabs>
      <w:spacing w:after="0" w:line="240" w:lineRule="auto"/>
    </w:pPr>
  </w:style>
  <w:style w:type="character" w:customStyle="1" w:styleId="FooterChar">
    <w:name w:val="Footer Char"/>
    <w:basedOn w:val="DefaultParagraphFont"/>
    <w:link w:val="Footer"/>
    <w:uiPriority w:val="99"/>
    <w:rsid w:val="00302B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14</Pages>
  <Words>1340</Words>
  <Characters>7640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 Wang</dc:creator>
  <cp:keywords/>
  <dc:description/>
  <cp:lastModifiedBy>Song Wang</cp:lastModifiedBy>
  <cp:revision>46</cp:revision>
  <dcterms:created xsi:type="dcterms:W3CDTF">2025-04-07T16:06:00Z</dcterms:created>
  <dcterms:modified xsi:type="dcterms:W3CDTF">2025-04-11T15:55:00Z</dcterms:modified>
</cp:coreProperties>
</file>