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A027A" w14:textId="5A5FBCCD" w:rsidR="006C682E" w:rsidRPr="007679CE" w:rsidRDefault="001E5297">
      <w:pPr>
        <w:rPr>
          <w:rFonts w:ascii="Arial" w:hAnsi="Arial" w:cs="Arial"/>
        </w:rPr>
      </w:pPr>
      <w:r w:rsidRPr="007679CE">
        <w:rPr>
          <w:rFonts w:ascii="Arial" w:hAnsi="Arial" w:cs="Arial"/>
        </w:rPr>
        <w:t>Supplemental Methods</w:t>
      </w:r>
    </w:p>
    <w:p w14:paraId="6086BF03" w14:textId="4A0A0E9E" w:rsidR="005929FF" w:rsidRPr="007679CE" w:rsidRDefault="005929FF" w:rsidP="005929FF">
      <w:pPr>
        <w:rPr>
          <w:rFonts w:ascii="Arial" w:hAnsi="Arial" w:cs="Arial"/>
          <w:b/>
          <w:bCs/>
          <w:i/>
          <w:iCs/>
        </w:rPr>
      </w:pPr>
      <w:r w:rsidRPr="007679CE">
        <w:rPr>
          <w:rFonts w:ascii="Arial" w:hAnsi="Arial" w:cs="Arial"/>
          <w:b/>
          <w:bCs/>
          <w:i/>
          <w:iCs/>
        </w:rPr>
        <w:t>Dataset Structure</w:t>
      </w:r>
    </w:p>
    <w:p w14:paraId="66678C39" w14:textId="66A94B48" w:rsidR="005929FF" w:rsidRPr="007679CE" w:rsidRDefault="005929FF" w:rsidP="005929FF">
      <w:pPr>
        <w:rPr>
          <w:rFonts w:ascii="Arial" w:hAnsi="Arial" w:cs="Arial"/>
        </w:rPr>
      </w:pPr>
      <w:r w:rsidRPr="007679CE">
        <w:rPr>
          <w:rFonts w:ascii="Arial" w:hAnsi="Arial" w:cs="Arial"/>
        </w:rPr>
        <w:t xml:space="preserve">The dataset was split by five-year age intervals for each participant to allow for estimation of 5-year risk of premenopausal breast cancer. All data </w:t>
      </w:r>
      <w:r w:rsidR="00E204E5" w:rsidRPr="007679CE">
        <w:rPr>
          <w:rFonts w:ascii="Arial" w:hAnsi="Arial" w:cs="Arial"/>
        </w:rPr>
        <w:t xml:space="preserve">were </w:t>
      </w:r>
      <w:r w:rsidRPr="007679CE">
        <w:rPr>
          <w:rFonts w:ascii="Arial" w:hAnsi="Arial" w:cs="Arial"/>
        </w:rPr>
        <w:t xml:space="preserve">updated based on the </w:t>
      </w:r>
      <w:proofErr w:type="gramStart"/>
      <w:r w:rsidRPr="007679CE">
        <w:rPr>
          <w:rFonts w:ascii="Arial" w:hAnsi="Arial" w:cs="Arial"/>
        </w:rPr>
        <w:t>questionnaire age</w:t>
      </w:r>
      <w:proofErr w:type="gramEnd"/>
      <w:r w:rsidRPr="007679CE">
        <w:rPr>
          <w:rFonts w:ascii="Arial" w:hAnsi="Arial" w:cs="Arial"/>
        </w:rPr>
        <w:t xml:space="preserve"> at which the new record was recorded. For example, if an individual completed a baseline questionnaire at age 25, the first 5-year risk interval includes characteristics reported at baseline</w:t>
      </w:r>
      <w:r w:rsidR="00B979A9" w:rsidRPr="007679CE">
        <w:rPr>
          <w:rFonts w:ascii="Arial" w:hAnsi="Arial" w:cs="Arial"/>
        </w:rPr>
        <w:t xml:space="preserve"> and predicts risk up to age 30.</w:t>
      </w:r>
      <w:r w:rsidRPr="007679CE">
        <w:rPr>
          <w:rFonts w:ascii="Arial" w:hAnsi="Arial" w:cs="Arial"/>
        </w:rPr>
        <w:t xml:space="preserve"> If questionnaires were filled out every 2 years, this would mean that at age 30 (the start of the second follow-up interval) risk factors would be used from the most recent </w:t>
      </w:r>
      <w:r w:rsidR="00B979A9" w:rsidRPr="007679CE">
        <w:rPr>
          <w:rFonts w:ascii="Arial" w:hAnsi="Arial" w:cs="Arial"/>
        </w:rPr>
        <w:t xml:space="preserve">questionnaire </w:t>
      </w:r>
      <w:r w:rsidRPr="007679CE">
        <w:rPr>
          <w:rFonts w:ascii="Arial" w:hAnsi="Arial" w:cs="Arial"/>
        </w:rPr>
        <w:t>cycle</w:t>
      </w:r>
      <w:r w:rsidR="00B979A9" w:rsidRPr="007679CE">
        <w:rPr>
          <w:rFonts w:ascii="Arial" w:hAnsi="Arial" w:cs="Arial"/>
        </w:rPr>
        <w:t xml:space="preserve"> available</w:t>
      </w:r>
      <w:r w:rsidRPr="007679CE">
        <w:rPr>
          <w:rFonts w:ascii="Arial" w:hAnsi="Arial" w:cs="Arial"/>
        </w:rPr>
        <w:t>, (</w:t>
      </w:r>
      <w:r w:rsidR="00B979A9" w:rsidRPr="007679CE">
        <w:rPr>
          <w:rFonts w:ascii="Arial" w:hAnsi="Arial" w:cs="Arial"/>
        </w:rPr>
        <w:t>in this example,</w:t>
      </w:r>
      <w:r w:rsidRPr="007679CE">
        <w:rPr>
          <w:rFonts w:ascii="Arial" w:hAnsi="Arial" w:cs="Arial"/>
        </w:rPr>
        <w:t xml:space="preserve"> at age 29).</w:t>
      </w:r>
      <w:r w:rsidR="00960B3B" w:rsidRPr="007679CE">
        <w:rPr>
          <w:rFonts w:ascii="Arial" w:hAnsi="Arial" w:cs="Arial"/>
        </w:rPr>
        <w:t xml:space="preserve"> </w:t>
      </w:r>
      <w:r w:rsidR="00B979A9" w:rsidRPr="007679CE">
        <w:rPr>
          <w:rFonts w:ascii="Arial" w:hAnsi="Arial" w:cs="Arial"/>
        </w:rPr>
        <w:t xml:space="preserve">To minimize potential misclassification of exposures, individuals </w:t>
      </w:r>
      <w:r w:rsidR="00960B3B" w:rsidRPr="007679CE">
        <w:rPr>
          <w:rFonts w:ascii="Arial" w:hAnsi="Arial" w:cs="Arial"/>
        </w:rPr>
        <w:t>with</w:t>
      </w:r>
      <w:r w:rsidR="00B979A9" w:rsidRPr="007679CE">
        <w:rPr>
          <w:rFonts w:ascii="Arial" w:hAnsi="Arial" w:cs="Arial"/>
        </w:rPr>
        <w:t xml:space="preserve"> &gt;5 years between questionnaire cycles</w:t>
      </w:r>
      <w:r w:rsidR="00960B3B" w:rsidRPr="007679CE">
        <w:rPr>
          <w:rFonts w:ascii="Arial" w:hAnsi="Arial" w:cs="Arial"/>
        </w:rPr>
        <w:t xml:space="preserve"> </w:t>
      </w:r>
      <w:r w:rsidR="00B979A9" w:rsidRPr="007679CE">
        <w:rPr>
          <w:rFonts w:ascii="Arial" w:hAnsi="Arial" w:cs="Arial"/>
        </w:rPr>
        <w:t xml:space="preserve">were removed from the analysis </w:t>
      </w:r>
      <w:r w:rsidR="00960B3B" w:rsidRPr="007679CE">
        <w:rPr>
          <w:rFonts w:ascii="Arial" w:hAnsi="Arial" w:cs="Arial"/>
        </w:rPr>
        <w:t>after the first risk interval and</w:t>
      </w:r>
      <w:r w:rsidR="00B979A9" w:rsidRPr="007679CE">
        <w:rPr>
          <w:rFonts w:ascii="Arial" w:hAnsi="Arial" w:cs="Arial"/>
        </w:rPr>
        <w:t xml:space="preserve"> re-entered at the age </w:t>
      </w:r>
      <w:r w:rsidR="00960B3B" w:rsidRPr="007679CE">
        <w:rPr>
          <w:rFonts w:ascii="Arial" w:hAnsi="Arial" w:cs="Arial"/>
        </w:rPr>
        <w:t>of the subsequent</w:t>
      </w:r>
      <w:r w:rsidR="00B979A9" w:rsidRPr="007679CE">
        <w:rPr>
          <w:rFonts w:ascii="Arial" w:hAnsi="Arial" w:cs="Arial"/>
        </w:rPr>
        <w:t xml:space="preserve"> questionnaire. For example, if a woman provided a questionnaire at age 25 and at age 35, </w:t>
      </w:r>
      <w:r w:rsidR="00960B3B" w:rsidRPr="007679CE">
        <w:rPr>
          <w:rFonts w:ascii="Arial" w:hAnsi="Arial" w:cs="Arial"/>
        </w:rPr>
        <w:t xml:space="preserve">she </w:t>
      </w:r>
      <w:r w:rsidR="00B979A9" w:rsidRPr="007679CE">
        <w:rPr>
          <w:rFonts w:ascii="Arial" w:hAnsi="Arial" w:cs="Arial"/>
        </w:rPr>
        <w:t xml:space="preserve">would be included in the analysis from age 25-30 </w:t>
      </w:r>
      <w:r w:rsidR="00960B3B" w:rsidRPr="007679CE">
        <w:rPr>
          <w:rFonts w:ascii="Arial" w:hAnsi="Arial" w:cs="Arial"/>
        </w:rPr>
        <w:t xml:space="preserve">and </w:t>
      </w:r>
      <w:r w:rsidR="00B979A9" w:rsidRPr="007679CE">
        <w:rPr>
          <w:rFonts w:ascii="Arial" w:hAnsi="Arial" w:cs="Arial"/>
        </w:rPr>
        <w:t xml:space="preserve">would enter the sample again at age 35. </w:t>
      </w:r>
      <w:r w:rsidR="00960B3B" w:rsidRPr="007679CE">
        <w:rPr>
          <w:rFonts w:ascii="Arial" w:hAnsi="Arial" w:cs="Arial"/>
        </w:rPr>
        <w:t xml:space="preserve">Five-year risk from age 30 would not be calculated for this woman. </w:t>
      </w:r>
      <w:r w:rsidR="0071487A" w:rsidRPr="007679CE">
        <w:rPr>
          <w:rFonts w:ascii="Arial" w:hAnsi="Arial" w:cs="Arial"/>
        </w:rPr>
        <w:t>Sixteen of the 19 cohorts had at least one updated questionnaire available, with an average of 4 questionnaire cycles across the cohorts.</w:t>
      </w:r>
    </w:p>
    <w:p w14:paraId="7D1EF608" w14:textId="1BE34B75" w:rsidR="005929FF" w:rsidRPr="007679CE" w:rsidRDefault="005929FF" w:rsidP="005929FF">
      <w:pPr>
        <w:rPr>
          <w:rFonts w:ascii="Arial" w:hAnsi="Arial" w:cs="Arial"/>
          <w:b/>
          <w:bCs/>
          <w:i/>
          <w:iCs/>
        </w:rPr>
      </w:pPr>
      <w:r w:rsidRPr="007679CE">
        <w:rPr>
          <w:rFonts w:ascii="Arial" w:hAnsi="Arial" w:cs="Arial"/>
          <w:b/>
          <w:bCs/>
          <w:i/>
          <w:iCs/>
        </w:rPr>
        <w:t>Within-cohort imputation</w:t>
      </w:r>
    </w:p>
    <w:p w14:paraId="26745D0F" w14:textId="2FC18A33" w:rsidR="00542F18" w:rsidRPr="007679CE" w:rsidRDefault="005929FF" w:rsidP="005929FF">
      <w:pPr>
        <w:rPr>
          <w:rFonts w:ascii="Arial" w:hAnsi="Arial" w:cs="Arial"/>
        </w:rPr>
      </w:pPr>
      <w:r w:rsidRPr="007679CE">
        <w:rPr>
          <w:rFonts w:ascii="Arial" w:hAnsi="Arial" w:cs="Arial"/>
        </w:rPr>
        <w:t xml:space="preserve">Age at menarche was imputed by median age at menarche within </w:t>
      </w:r>
      <w:r w:rsidR="002504CF">
        <w:rPr>
          <w:rFonts w:ascii="Arial" w:hAnsi="Arial" w:cs="Arial"/>
        </w:rPr>
        <w:t>each</w:t>
      </w:r>
      <w:r w:rsidRPr="007679CE">
        <w:rPr>
          <w:rFonts w:ascii="Arial" w:hAnsi="Arial" w:cs="Arial"/>
        </w:rPr>
        <w:t xml:space="preserve"> cohort</w:t>
      </w:r>
      <w:r w:rsidR="002504CF">
        <w:rPr>
          <w:rFonts w:ascii="Arial" w:hAnsi="Arial" w:cs="Arial"/>
        </w:rPr>
        <w:t xml:space="preserve">. In total, </w:t>
      </w:r>
      <w:r w:rsidRPr="007679CE">
        <w:rPr>
          <w:rFonts w:ascii="Arial" w:hAnsi="Arial" w:cs="Arial"/>
        </w:rPr>
        <w:t>N=29,636</w:t>
      </w:r>
      <w:r w:rsidR="00452C1E" w:rsidRPr="007679CE">
        <w:rPr>
          <w:rFonts w:ascii="Arial" w:hAnsi="Arial" w:cs="Arial"/>
        </w:rPr>
        <w:t xml:space="preserve"> instances </w:t>
      </w:r>
      <w:r w:rsidR="002504CF">
        <w:rPr>
          <w:rFonts w:ascii="Arial" w:hAnsi="Arial" w:cs="Arial"/>
        </w:rPr>
        <w:t xml:space="preserve">were </w:t>
      </w:r>
      <w:r w:rsidR="00452C1E" w:rsidRPr="007679CE">
        <w:rPr>
          <w:rFonts w:ascii="Arial" w:hAnsi="Arial" w:cs="Arial"/>
        </w:rPr>
        <w:t>imputed</w:t>
      </w:r>
      <w:r w:rsidR="002504CF">
        <w:rPr>
          <w:rFonts w:ascii="Arial" w:hAnsi="Arial" w:cs="Arial"/>
        </w:rPr>
        <w:t>, representing &lt;4% of the total analytic sample</w:t>
      </w:r>
      <w:r w:rsidRPr="007679CE">
        <w:rPr>
          <w:rFonts w:ascii="Arial" w:hAnsi="Arial" w:cs="Arial"/>
        </w:rPr>
        <w:t>. For alcohol intake</w:t>
      </w:r>
      <w:r w:rsidR="002504CF">
        <w:rPr>
          <w:rFonts w:ascii="Arial" w:hAnsi="Arial" w:cs="Arial"/>
        </w:rPr>
        <w:t>,</w:t>
      </w:r>
      <w:r w:rsidRPr="007679CE">
        <w:rPr>
          <w:rFonts w:ascii="Arial" w:hAnsi="Arial" w:cs="Arial"/>
        </w:rPr>
        <w:t xml:space="preserve"> if individuals were missing a value for current alcohol use (yes/no) and for number of drinks per week, they were assumed to be non-drinkers. If individuals reported current alcohol use but were missing an amount of consumption (N=1,970</w:t>
      </w:r>
      <w:r w:rsidR="002504CF">
        <w:rPr>
          <w:rFonts w:ascii="Arial" w:hAnsi="Arial" w:cs="Arial"/>
        </w:rPr>
        <w:t>, 0.3% of the analytic sample</w:t>
      </w:r>
      <w:r w:rsidRPr="007679CE">
        <w:rPr>
          <w:rFonts w:ascii="Arial" w:hAnsi="Arial" w:cs="Arial"/>
        </w:rPr>
        <w:t xml:space="preserve">), </w:t>
      </w:r>
      <w:r w:rsidR="00D3249D" w:rsidRPr="007679CE">
        <w:rPr>
          <w:rFonts w:ascii="Arial" w:hAnsi="Arial" w:cs="Arial"/>
        </w:rPr>
        <w:t>we assigned</w:t>
      </w:r>
      <w:r w:rsidRPr="007679CE">
        <w:rPr>
          <w:rFonts w:ascii="Arial" w:hAnsi="Arial" w:cs="Arial"/>
        </w:rPr>
        <w:t xml:space="preserve"> the median alcohol consumption among current drinkers of their cohort. BMI at age 18-24 was recorded either prospectively (if the woman entered the cohort at an early age) or retrospectively (recalled BMI at age 18-24 y)</w:t>
      </w:r>
      <w:r w:rsidR="00A22780" w:rsidRPr="007679CE">
        <w:rPr>
          <w:rFonts w:ascii="Arial" w:hAnsi="Arial" w:cs="Arial"/>
        </w:rPr>
        <w:t>, with values available for 660,554 (84%) of the analytic sample.</w:t>
      </w:r>
      <w:r w:rsidRPr="007679CE">
        <w:rPr>
          <w:rFonts w:ascii="Arial" w:hAnsi="Arial" w:cs="Arial"/>
        </w:rPr>
        <w:t xml:space="preserve"> In cases where BMI at age 18-24 was not directly available in an individual study, we imputed data based on </w:t>
      </w:r>
      <w:r w:rsidR="00A22780" w:rsidRPr="007679CE">
        <w:rPr>
          <w:rFonts w:ascii="Arial" w:hAnsi="Arial" w:cs="Arial"/>
        </w:rPr>
        <w:t>either</w:t>
      </w:r>
      <w:r w:rsidR="00452C1E" w:rsidRPr="007679CE">
        <w:rPr>
          <w:rFonts w:ascii="Arial" w:hAnsi="Arial" w:cs="Arial"/>
        </w:rPr>
        <w:t xml:space="preserve">: </w:t>
      </w:r>
      <w:r w:rsidRPr="007679CE">
        <w:rPr>
          <w:rFonts w:ascii="Arial" w:hAnsi="Arial" w:cs="Arial"/>
        </w:rPr>
        <w:t>(1) shape in childhood</w:t>
      </w:r>
      <w:r w:rsidR="00452C1E" w:rsidRPr="007679CE">
        <w:rPr>
          <w:rFonts w:ascii="Arial" w:hAnsi="Arial" w:cs="Arial"/>
        </w:rPr>
        <w:t xml:space="preserve"> (3 categories based on pictogram depictions)</w:t>
      </w:r>
      <w:r w:rsidR="00A22780" w:rsidRPr="007679CE">
        <w:rPr>
          <w:rFonts w:ascii="Arial" w:hAnsi="Arial" w:cs="Arial"/>
        </w:rPr>
        <w:t xml:space="preserve"> (N=65,169)</w:t>
      </w:r>
      <w:r w:rsidR="00452C1E" w:rsidRPr="007679CE">
        <w:rPr>
          <w:rFonts w:ascii="Arial" w:hAnsi="Arial" w:cs="Arial"/>
        </w:rPr>
        <w:t xml:space="preserve">, or </w:t>
      </w:r>
      <w:r w:rsidRPr="007679CE">
        <w:rPr>
          <w:rFonts w:ascii="Arial" w:hAnsi="Arial" w:cs="Arial"/>
        </w:rPr>
        <w:t>(2) weight relative to peers in childhood</w:t>
      </w:r>
      <w:r w:rsidR="00452C1E" w:rsidRPr="007679CE">
        <w:rPr>
          <w:rFonts w:ascii="Arial" w:hAnsi="Arial" w:cs="Arial"/>
        </w:rPr>
        <w:t xml:space="preserve"> (“lighter than average”, “average”, or “heavier than average”)</w:t>
      </w:r>
      <w:r w:rsidR="00A22780" w:rsidRPr="007679CE">
        <w:rPr>
          <w:rFonts w:ascii="Arial" w:hAnsi="Arial" w:cs="Arial"/>
        </w:rPr>
        <w:t xml:space="preserve"> (N=25,729</w:t>
      </w:r>
      <w:r w:rsidR="00D3249D" w:rsidRPr="007679CE">
        <w:rPr>
          <w:rFonts w:ascii="Arial" w:hAnsi="Arial" w:cs="Arial"/>
        </w:rPr>
        <w:t>)</w:t>
      </w:r>
      <w:r w:rsidRPr="007679CE">
        <w:rPr>
          <w:rFonts w:ascii="Arial" w:hAnsi="Arial" w:cs="Arial"/>
        </w:rPr>
        <w:t xml:space="preserve">. </w:t>
      </w:r>
      <w:r w:rsidR="00A22780" w:rsidRPr="007679CE">
        <w:rPr>
          <w:rFonts w:ascii="Arial" w:hAnsi="Arial" w:cs="Arial"/>
        </w:rPr>
        <w:t>BMI at age 18-24 was imputed based on the quartiles of BMI within studies in the same country. For those at the low end of shape or relative weight, we assigned them the 25</w:t>
      </w:r>
      <w:r w:rsidR="00A22780" w:rsidRPr="007679CE">
        <w:rPr>
          <w:rFonts w:ascii="Arial" w:hAnsi="Arial" w:cs="Arial"/>
          <w:vertAlign w:val="superscript"/>
        </w:rPr>
        <w:t>th</w:t>
      </w:r>
      <w:r w:rsidR="00A22780" w:rsidRPr="007679CE">
        <w:rPr>
          <w:rFonts w:ascii="Arial" w:hAnsi="Arial" w:cs="Arial"/>
        </w:rPr>
        <w:t xml:space="preserve"> percentile of corresponding </w:t>
      </w:r>
      <w:r w:rsidRPr="007679CE">
        <w:rPr>
          <w:rFonts w:ascii="Arial" w:hAnsi="Arial" w:cs="Arial"/>
        </w:rPr>
        <w:t>BMI at age 18</w:t>
      </w:r>
      <w:r w:rsidR="00A22780" w:rsidRPr="007679CE">
        <w:rPr>
          <w:rFonts w:ascii="Arial" w:hAnsi="Arial" w:cs="Arial"/>
        </w:rPr>
        <w:t xml:space="preserve">. Individuals reporting mid-range values were </w:t>
      </w:r>
      <w:r w:rsidR="00D3249D" w:rsidRPr="007679CE">
        <w:rPr>
          <w:rFonts w:ascii="Arial" w:hAnsi="Arial" w:cs="Arial"/>
        </w:rPr>
        <w:t xml:space="preserve">assigned </w:t>
      </w:r>
      <w:r w:rsidR="00A22780" w:rsidRPr="007679CE">
        <w:rPr>
          <w:rFonts w:ascii="Arial" w:hAnsi="Arial" w:cs="Arial"/>
        </w:rPr>
        <w:t>the 50</w:t>
      </w:r>
      <w:r w:rsidR="00A22780" w:rsidRPr="007679CE">
        <w:rPr>
          <w:rFonts w:ascii="Arial" w:hAnsi="Arial" w:cs="Arial"/>
          <w:vertAlign w:val="superscript"/>
        </w:rPr>
        <w:t>th</w:t>
      </w:r>
      <w:r w:rsidR="00A22780" w:rsidRPr="007679CE">
        <w:rPr>
          <w:rFonts w:ascii="Arial" w:hAnsi="Arial" w:cs="Arial"/>
        </w:rPr>
        <w:t xml:space="preserve"> percentile</w:t>
      </w:r>
      <w:r w:rsidR="00D3249D" w:rsidRPr="007679CE">
        <w:rPr>
          <w:rFonts w:ascii="Arial" w:hAnsi="Arial" w:cs="Arial"/>
        </w:rPr>
        <w:t xml:space="preserve"> of corresponding BMI at age 18</w:t>
      </w:r>
      <w:r w:rsidR="00A22780" w:rsidRPr="007679CE">
        <w:rPr>
          <w:rFonts w:ascii="Arial" w:hAnsi="Arial" w:cs="Arial"/>
        </w:rPr>
        <w:t xml:space="preserve">, while those reporting shape or weight above average were </w:t>
      </w:r>
      <w:r w:rsidR="00D3249D" w:rsidRPr="007679CE">
        <w:rPr>
          <w:rFonts w:ascii="Arial" w:hAnsi="Arial" w:cs="Arial"/>
        </w:rPr>
        <w:t xml:space="preserve">assigned </w:t>
      </w:r>
      <w:r w:rsidR="00A22780" w:rsidRPr="007679CE">
        <w:rPr>
          <w:rFonts w:ascii="Arial" w:hAnsi="Arial" w:cs="Arial"/>
        </w:rPr>
        <w:t>the 75</w:t>
      </w:r>
      <w:r w:rsidR="00A22780" w:rsidRPr="007679CE">
        <w:rPr>
          <w:rFonts w:ascii="Arial" w:hAnsi="Arial" w:cs="Arial"/>
          <w:vertAlign w:val="superscript"/>
        </w:rPr>
        <w:t>th</w:t>
      </w:r>
      <w:r w:rsidR="00A22780" w:rsidRPr="007679CE">
        <w:rPr>
          <w:rFonts w:ascii="Arial" w:hAnsi="Arial" w:cs="Arial"/>
        </w:rPr>
        <w:t xml:space="preserve"> percentile</w:t>
      </w:r>
      <w:r w:rsidR="00D3249D" w:rsidRPr="007679CE">
        <w:rPr>
          <w:rFonts w:ascii="Arial" w:hAnsi="Arial" w:cs="Arial"/>
        </w:rPr>
        <w:t xml:space="preserve"> value</w:t>
      </w:r>
      <w:r w:rsidR="00A22780" w:rsidRPr="007679CE">
        <w:rPr>
          <w:rFonts w:ascii="Arial" w:hAnsi="Arial" w:cs="Arial"/>
        </w:rPr>
        <w:t xml:space="preserve">. </w:t>
      </w:r>
      <w:r w:rsidRPr="007679CE">
        <w:rPr>
          <w:rFonts w:ascii="Arial" w:hAnsi="Arial" w:cs="Arial"/>
        </w:rPr>
        <w:t xml:space="preserve"> If shape or relative weight in childhood was not available, and BMI in young adulthood was not missing by design within the cohort, BMI at age 18-24 was imputed using </w:t>
      </w:r>
      <w:r w:rsidR="00E376EE" w:rsidRPr="007679CE">
        <w:rPr>
          <w:rFonts w:ascii="Arial" w:hAnsi="Arial" w:cs="Arial"/>
        </w:rPr>
        <w:t xml:space="preserve">multiple imputation by chained equations </w:t>
      </w:r>
      <w:r w:rsidRPr="007679CE">
        <w:rPr>
          <w:rFonts w:ascii="Arial" w:hAnsi="Arial" w:cs="Arial"/>
        </w:rPr>
        <w:t xml:space="preserve">(5 rounds, k nearest neighbors=1) based on </w:t>
      </w:r>
      <w:r w:rsidR="00A22780" w:rsidRPr="007679CE">
        <w:rPr>
          <w:rFonts w:ascii="Arial" w:hAnsi="Arial" w:cs="Arial"/>
        </w:rPr>
        <w:t xml:space="preserve">a linear model </w:t>
      </w:r>
      <w:r w:rsidR="00542F18" w:rsidRPr="007679CE">
        <w:rPr>
          <w:rFonts w:ascii="Arial" w:hAnsi="Arial" w:cs="Arial"/>
        </w:rPr>
        <w:t xml:space="preserve">with </w:t>
      </w:r>
      <w:r w:rsidRPr="007679CE">
        <w:rPr>
          <w:rFonts w:ascii="Arial" w:hAnsi="Arial" w:cs="Arial"/>
        </w:rPr>
        <w:t>current age</w:t>
      </w:r>
      <w:r w:rsidR="00542F18" w:rsidRPr="007679CE">
        <w:rPr>
          <w:rFonts w:ascii="Arial" w:hAnsi="Arial" w:cs="Arial"/>
        </w:rPr>
        <w:t>, current</w:t>
      </w:r>
      <w:r w:rsidRPr="007679CE">
        <w:rPr>
          <w:rFonts w:ascii="Arial" w:hAnsi="Arial" w:cs="Arial"/>
        </w:rPr>
        <w:t xml:space="preserve"> BMI</w:t>
      </w:r>
      <w:r w:rsidR="00542F18" w:rsidRPr="007679CE">
        <w:rPr>
          <w:rFonts w:ascii="Arial" w:hAnsi="Arial" w:cs="Arial"/>
        </w:rPr>
        <w:t xml:space="preserve">, and adulthood </w:t>
      </w:r>
      <w:r w:rsidRPr="007679CE">
        <w:rPr>
          <w:rFonts w:ascii="Arial" w:hAnsi="Arial" w:cs="Arial"/>
        </w:rPr>
        <w:t xml:space="preserve">height, </w:t>
      </w:r>
      <w:r w:rsidR="00542F18" w:rsidRPr="007679CE">
        <w:rPr>
          <w:rFonts w:ascii="Arial" w:hAnsi="Arial" w:cs="Arial"/>
        </w:rPr>
        <w:t>by cohort (N=8,776 imputations)</w:t>
      </w:r>
      <w:r w:rsidRPr="007679CE">
        <w:rPr>
          <w:rFonts w:ascii="Arial" w:hAnsi="Arial" w:cs="Arial"/>
        </w:rPr>
        <w:t>.</w:t>
      </w:r>
      <w:r w:rsidR="00542F18" w:rsidRPr="007679CE">
        <w:rPr>
          <w:rFonts w:ascii="Arial" w:hAnsi="Arial" w:cs="Arial"/>
        </w:rPr>
        <w:t xml:space="preserve"> </w:t>
      </w:r>
      <w:r w:rsidRPr="007679CE">
        <w:rPr>
          <w:rFonts w:ascii="Arial" w:hAnsi="Arial" w:cs="Arial"/>
        </w:rPr>
        <w:t xml:space="preserve">The result of the fifth imputation was used as </w:t>
      </w:r>
      <w:r w:rsidR="00542F18" w:rsidRPr="007679CE">
        <w:rPr>
          <w:rFonts w:ascii="Arial" w:hAnsi="Arial" w:cs="Arial"/>
        </w:rPr>
        <w:t>the replacement value.</w:t>
      </w:r>
    </w:p>
    <w:p w14:paraId="777A3BD5" w14:textId="24ED6041" w:rsidR="00542F18" w:rsidRPr="007679CE" w:rsidRDefault="00542F18" w:rsidP="005929FF">
      <w:pPr>
        <w:rPr>
          <w:rFonts w:ascii="Arial" w:hAnsi="Arial" w:cs="Arial"/>
        </w:rPr>
      </w:pPr>
      <w:r w:rsidRPr="007679CE">
        <w:rPr>
          <w:rFonts w:ascii="Arial" w:hAnsi="Arial" w:cs="Arial"/>
        </w:rPr>
        <w:t xml:space="preserve">To enable </w:t>
      </w:r>
      <w:r w:rsidR="00154256" w:rsidRPr="007679CE">
        <w:rPr>
          <w:rFonts w:ascii="Arial" w:hAnsi="Arial" w:cs="Arial"/>
        </w:rPr>
        <w:t xml:space="preserve">assessment </w:t>
      </w:r>
      <w:r w:rsidRPr="007679CE">
        <w:rPr>
          <w:rFonts w:ascii="Arial" w:hAnsi="Arial" w:cs="Arial"/>
        </w:rPr>
        <w:t>of short-term weight change</w:t>
      </w:r>
      <w:r w:rsidR="00154256" w:rsidRPr="007679CE">
        <w:rPr>
          <w:rFonts w:ascii="Arial" w:hAnsi="Arial" w:cs="Arial"/>
        </w:rPr>
        <w:t xml:space="preserve"> on risk</w:t>
      </w:r>
      <w:r w:rsidRPr="007679CE">
        <w:rPr>
          <w:rFonts w:ascii="Arial" w:hAnsi="Arial" w:cs="Arial"/>
        </w:rPr>
        <w:t xml:space="preserve">, we created a weight calendar using linear interpolation to determine weight in the years not covered directly by questionnaire reported data for all participants. The linear interpolation model relied on measures of weight in young adulthood (age 18-24), and recorded weight and corresponding age at each questionnaire cycle. </w:t>
      </w:r>
    </w:p>
    <w:p w14:paraId="2854993B" w14:textId="036F24BE" w:rsidR="00DF7BB3" w:rsidRPr="007679CE" w:rsidRDefault="005929FF" w:rsidP="00DF7BB3">
      <w:pPr>
        <w:rPr>
          <w:rFonts w:ascii="Arial" w:hAnsi="Arial" w:cs="Arial"/>
        </w:rPr>
      </w:pPr>
      <w:r w:rsidRPr="007679CE">
        <w:rPr>
          <w:rFonts w:ascii="Arial" w:hAnsi="Arial" w:cs="Arial"/>
        </w:rPr>
        <w:lastRenderedPageBreak/>
        <w:t xml:space="preserve">Breastfeeding </w:t>
      </w:r>
      <w:r w:rsidR="00542F18" w:rsidRPr="007679CE">
        <w:rPr>
          <w:rFonts w:ascii="Arial" w:hAnsi="Arial" w:cs="Arial"/>
        </w:rPr>
        <w:t xml:space="preserve">information </w:t>
      </w:r>
      <w:r w:rsidRPr="007679CE">
        <w:rPr>
          <w:rFonts w:ascii="Arial" w:hAnsi="Arial" w:cs="Arial"/>
        </w:rPr>
        <w:t>was imputed among</w:t>
      </w:r>
      <w:r w:rsidR="00542F18" w:rsidRPr="007679CE">
        <w:rPr>
          <w:rFonts w:ascii="Arial" w:hAnsi="Arial" w:cs="Arial"/>
        </w:rPr>
        <w:t xml:space="preserve"> parous</w:t>
      </w:r>
      <w:r w:rsidRPr="007679CE">
        <w:rPr>
          <w:rFonts w:ascii="Arial" w:hAnsi="Arial" w:cs="Arial"/>
        </w:rPr>
        <w:t xml:space="preserve"> individuals </w:t>
      </w:r>
      <w:r w:rsidR="00542F18" w:rsidRPr="007679CE">
        <w:rPr>
          <w:rFonts w:ascii="Arial" w:hAnsi="Arial" w:cs="Arial"/>
        </w:rPr>
        <w:t xml:space="preserve">without breastfeeding duration reported based on the </w:t>
      </w:r>
      <w:r w:rsidRPr="007679CE">
        <w:rPr>
          <w:rFonts w:ascii="Arial" w:hAnsi="Arial" w:cs="Arial"/>
        </w:rPr>
        <w:t>median value of breastfeeding within</w:t>
      </w:r>
      <w:r w:rsidR="00542F18" w:rsidRPr="007679CE">
        <w:rPr>
          <w:rFonts w:ascii="Arial" w:hAnsi="Arial" w:cs="Arial"/>
        </w:rPr>
        <w:t xml:space="preserve"> each cohort by</w:t>
      </w:r>
      <w:r w:rsidRPr="007679CE">
        <w:rPr>
          <w:rFonts w:ascii="Arial" w:hAnsi="Arial" w:cs="Arial"/>
        </w:rPr>
        <w:t xml:space="preserve"> parity groups (i.e., for an individual with 1 child, median value for breastfeeding months from all individuals with 1 child was used for imputation). </w:t>
      </w:r>
    </w:p>
    <w:p w14:paraId="74AD12FE" w14:textId="36357C47" w:rsidR="00EB7E92" w:rsidRPr="0065346B" w:rsidRDefault="00EB7E92" w:rsidP="00DF7BB3">
      <w:pPr>
        <w:rPr>
          <w:rFonts w:ascii="Arial" w:hAnsi="Arial" w:cs="Arial"/>
          <w:b/>
          <w:bCs/>
          <w:i/>
          <w:iCs/>
        </w:rPr>
      </w:pPr>
      <w:r w:rsidRPr="0065346B">
        <w:rPr>
          <w:rFonts w:ascii="Arial" w:hAnsi="Arial" w:cs="Arial"/>
          <w:b/>
          <w:bCs/>
          <w:i/>
          <w:iCs/>
        </w:rPr>
        <w:t>Variable selection</w:t>
      </w:r>
    </w:p>
    <w:p w14:paraId="1FBC0781" w14:textId="5307A0AE" w:rsidR="00EB7E92" w:rsidRPr="007679CE" w:rsidRDefault="00EB7E92" w:rsidP="00DF7BB3">
      <w:pPr>
        <w:rPr>
          <w:rFonts w:ascii="Arial" w:hAnsi="Arial" w:cs="Arial"/>
        </w:rPr>
      </w:pPr>
      <w:r w:rsidRPr="007679CE">
        <w:rPr>
          <w:rFonts w:ascii="Arial" w:hAnsi="Arial" w:cs="Arial"/>
        </w:rPr>
        <w:t xml:space="preserve">Detailed steps of variable selection are provided below. In addition to the schema described here, we tested </w:t>
      </w:r>
      <w:r w:rsidR="00DF62D9" w:rsidRPr="007679CE">
        <w:rPr>
          <w:rFonts w:ascii="Arial" w:hAnsi="Arial" w:cs="Arial"/>
        </w:rPr>
        <w:t xml:space="preserve">variable selection in a variety of different orders to ensure that ordering of the process did not affect results. </w:t>
      </w:r>
      <w:r w:rsidR="00612A34" w:rsidRPr="007679CE">
        <w:rPr>
          <w:rFonts w:ascii="Arial" w:hAnsi="Arial" w:cs="Arial"/>
        </w:rPr>
        <w:t xml:space="preserve">We also tested inclusion of all variables using backwards selection in the subset of studies with no variables missing by design. </w:t>
      </w:r>
    </w:p>
    <w:p w14:paraId="4A345224" w14:textId="0D01F337" w:rsidR="00B725B1" w:rsidRPr="007679CE" w:rsidRDefault="00EB7E92" w:rsidP="00B725B1">
      <w:pPr>
        <w:pStyle w:val="ListParagraph"/>
        <w:numPr>
          <w:ilvl w:val="0"/>
          <w:numId w:val="1"/>
        </w:numPr>
        <w:rPr>
          <w:rFonts w:ascii="Arial" w:hAnsi="Arial" w:cs="Arial"/>
        </w:rPr>
      </w:pPr>
      <w:r w:rsidRPr="007679CE">
        <w:rPr>
          <w:rFonts w:ascii="Arial" w:hAnsi="Arial" w:cs="Arial"/>
        </w:rPr>
        <w:t>Step 1. Use all studies with non-missing information on family history, and test significance of family history (p&lt;0.05) in these cohorts</w:t>
      </w:r>
      <w:r w:rsidR="00B725B1" w:rsidRPr="007679CE">
        <w:rPr>
          <w:rFonts w:ascii="Arial" w:hAnsi="Arial" w:cs="Arial"/>
        </w:rPr>
        <w:t>.</w:t>
      </w:r>
    </w:p>
    <w:p w14:paraId="4C66ECD6" w14:textId="633FFF38" w:rsidR="00EB7E92" w:rsidRPr="007679CE" w:rsidRDefault="00EB7E92" w:rsidP="00B725B1">
      <w:pPr>
        <w:pStyle w:val="ListParagraph"/>
        <w:numPr>
          <w:ilvl w:val="0"/>
          <w:numId w:val="1"/>
        </w:numPr>
        <w:rPr>
          <w:rFonts w:ascii="Arial" w:hAnsi="Arial" w:cs="Arial"/>
        </w:rPr>
      </w:pPr>
      <w:r w:rsidRPr="007679CE">
        <w:rPr>
          <w:rFonts w:ascii="Arial" w:hAnsi="Arial" w:cs="Arial"/>
        </w:rPr>
        <w:t>Step 2. Use all studies with non-missing family history information and add in reproductive factors: age at menarche, parity, and age at first birth (available for all studies).</w:t>
      </w:r>
    </w:p>
    <w:p w14:paraId="667724C9" w14:textId="441EFEF1" w:rsidR="00EB7E92" w:rsidRPr="007679CE" w:rsidRDefault="00EB7E92" w:rsidP="00B725B1">
      <w:pPr>
        <w:pStyle w:val="ListParagraph"/>
        <w:numPr>
          <w:ilvl w:val="0"/>
          <w:numId w:val="1"/>
        </w:numPr>
        <w:rPr>
          <w:rFonts w:ascii="Arial" w:hAnsi="Arial" w:cs="Arial"/>
        </w:rPr>
      </w:pPr>
      <w:r w:rsidRPr="007679CE">
        <w:rPr>
          <w:rFonts w:ascii="Arial" w:hAnsi="Arial" w:cs="Arial"/>
        </w:rPr>
        <w:t>Step 3. Among studies in Step 2 which had information on breastfeeding duration, test the addition of breastfeeding duration to model.</w:t>
      </w:r>
    </w:p>
    <w:p w14:paraId="45FAF8F9" w14:textId="101ACE6E" w:rsidR="00EB7E92" w:rsidRPr="007679CE" w:rsidRDefault="00EB7E92" w:rsidP="00B725B1">
      <w:pPr>
        <w:pStyle w:val="ListParagraph"/>
        <w:numPr>
          <w:ilvl w:val="0"/>
          <w:numId w:val="1"/>
        </w:numPr>
        <w:rPr>
          <w:rFonts w:ascii="Arial" w:hAnsi="Arial" w:cs="Arial"/>
        </w:rPr>
      </w:pPr>
      <w:r w:rsidRPr="007679CE">
        <w:rPr>
          <w:rFonts w:ascii="Arial" w:hAnsi="Arial" w:cs="Arial"/>
        </w:rPr>
        <w:t>Step 4. Among studies used in Step 2, test addition of height and current BMI in the model.</w:t>
      </w:r>
    </w:p>
    <w:p w14:paraId="098DBA08" w14:textId="22CF1A45" w:rsidR="00EB7E92" w:rsidRPr="007679CE" w:rsidRDefault="00EB7E92" w:rsidP="00B725B1">
      <w:pPr>
        <w:pStyle w:val="ListParagraph"/>
        <w:numPr>
          <w:ilvl w:val="0"/>
          <w:numId w:val="1"/>
        </w:numPr>
        <w:rPr>
          <w:rFonts w:ascii="Arial" w:hAnsi="Arial" w:cs="Arial"/>
        </w:rPr>
      </w:pPr>
      <w:r w:rsidRPr="007679CE">
        <w:rPr>
          <w:rFonts w:ascii="Arial" w:hAnsi="Arial" w:cs="Arial"/>
        </w:rPr>
        <w:t>Step 5. Among studies in Step 2 that are not missing information on young adulthood BMI and recent weight change, test the contribution of these variables.</w:t>
      </w:r>
    </w:p>
    <w:p w14:paraId="7DE5D474" w14:textId="21B32E53" w:rsidR="00EB7E92" w:rsidRPr="007679CE" w:rsidRDefault="00EB7E92" w:rsidP="00B725B1">
      <w:pPr>
        <w:pStyle w:val="ListParagraph"/>
        <w:numPr>
          <w:ilvl w:val="0"/>
          <w:numId w:val="1"/>
        </w:numPr>
        <w:rPr>
          <w:rFonts w:ascii="Arial" w:hAnsi="Arial" w:cs="Arial"/>
        </w:rPr>
      </w:pPr>
      <w:r w:rsidRPr="007679CE">
        <w:rPr>
          <w:rFonts w:ascii="Arial" w:hAnsi="Arial" w:cs="Arial"/>
        </w:rPr>
        <w:t xml:space="preserve">Step 6. Among studies in Step 5 that had available information on alcohol </w:t>
      </w:r>
      <w:r w:rsidR="0012542B" w:rsidRPr="007679CE">
        <w:rPr>
          <w:rFonts w:ascii="Arial" w:hAnsi="Arial" w:cs="Arial"/>
        </w:rPr>
        <w:t>consumption</w:t>
      </w:r>
      <w:r w:rsidRPr="007679CE">
        <w:rPr>
          <w:rFonts w:ascii="Arial" w:hAnsi="Arial" w:cs="Arial"/>
        </w:rPr>
        <w:t>, test addition of alcohol intake in drinks/week.</w:t>
      </w:r>
    </w:p>
    <w:p w14:paraId="4AA957C4" w14:textId="45A6448B" w:rsidR="00EB7E92" w:rsidRPr="007679CE" w:rsidRDefault="00EB7E92" w:rsidP="00B725B1">
      <w:pPr>
        <w:pStyle w:val="ListParagraph"/>
        <w:numPr>
          <w:ilvl w:val="0"/>
          <w:numId w:val="1"/>
        </w:numPr>
        <w:rPr>
          <w:rFonts w:ascii="Arial" w:hAnsi="Arial" w:cs="Arial"/>
        </w:rPr>
      </w:pPr>
      <w:r w:rsidRPr="007679CE">
        <w:rPr>
          <w:rFonts w:ascii="Arial" w:hAnsi="Arial" w:cs="Arial"/>
        </w:rPr>
        <w:t>Step 7. Among studies used in Step 5 that also were not missing BBD history, test addition of BBD history to the model.</w:t>
      </w:r>
    </w:p>
    <w:p w14:paraId="579B523C" w14:textId="77777777" w:rsidR="00B713F5" w:rsidRPr="0065346B" w:rsidRDefault="00B713F5" w:rsidP="00DF7BB3">
      <w:pPr>
        <w:rPr>
          <w:rFonts w:ascii="Arial" w:hAnsi="Arial" w:cs="Arial"/>
          <w:b/>
          <w:bCs/>
          <w:i/>
          <w:iCs/>
        </w:rPr>
      </w:pPr>
      <w:r w:rsidRPr="0065346B">
        <w:rPr>
          <w:rFonts w:ascii="Arial" w:hAnsi="Arial" w:cs="Arial"/>
          <w:b/>
          <w:bCs/>
          <w:i/>
          <w:iCs/>
        </w:rPr>
        <w:t>Model Assumptions</w:t>
      </w:r>
    </w:p>
    <w:p w14:paraId="705B1D31" w14:textId="269B4FF7" w:rsidR="00B713F5" w:rsidRPr="0065346B" w:rsidRDefault="00B713F5" w:rsidP="00DF7BB3">
      <w:pPr>
        <w:rPr>
          <w:rFonts w:ascii="Arial" w:hAnsi="Arial" w:cs="Arial"/>
        </w:rPr>
      </w:pPr>
      <w:r w:rsidRPr="0065346B">
        <w:rPr>
          <w:rFonts w:ascii="Arial" w:hAnsi="Arial" w:cs="Arial"/>
        </w:rPr>
        <w:t xml:space="preserve">We tested model assumptions using the subset </w:t>
      </w:r>
      <w:r w:rsidR="00FF25BC" w:rsidRPr="0065346B">
        <w:rPr>
          <w:rFonts w:ascii="Arial" w:hAnsi="Arial" w:cs="Arial"/>
        </w:rPr>
        <w:t xml:space="preserve">of cohorts </w:t>
      </w:r>
      <w:r w:rsidRPr="0065346B">
        <w:rPr>
          <w:rFonts w:ascii="Arial" w:hAnsi="Arial" w:cs="Arial"/>
        </w:rPr>
        <w:t xml:space="preserve">with no variables missing by design. The time scale used in this analysis was age. </w:t>
      </w:r>
      <w:r w:rsidR="00FF25BC" w:rsidRPr="0065346B">
        <w:rPr>
          <w:rFonts w:ascii="Arial" w:hAnsi="Arial" w:cs="Arial"/>
        </w:rPr>
        <w:t>We tested p</w:t>
      </w:r>
      <w:r w:rsidRPr="0065346B">
        <w:rPr>
          <w:rFonts w:ascii="Arial" w:hAnsi="Arial" w:cs="Arial"/>
        </w:rPr>
        <w:t>roportional hazards by</w:t>
      </w:r>
      <w:r w:rsidR="00FF25BC" w:rsidRPr="0065346B">
        <w:rPr>
          <w:rFonts w:ascii="Arial" w:hAnsi="Arial" w:cs="Arial"/>
        </w:rPr>
        <w:t>:</w:t>
      </w:r>
      <w:r w:rsidRPr="0065346B">
        <w:rPr>
          <w:rFonts w:ascii="Arial" w:hAnsi="Arial" w:cs="Arial"/>
        </w:rPr>
        <w:t xml:space="preserve"> (1) plots of </w:t>
      </w:r>
      <w:r w:rsidR="00B846A5" w:rsidRPr="0065346B">
        <w:rPr>
          <w:rFonts w:ascii="Arial" w:hAnsi="Arial" w:cs="Arial"/>
        </w:rPr>
        <w:t>S</w:t>
      </w:r>
      <w:r w:rsidRPr="0065346B">
        <w:rPr>
          <w:rFonts w:ascii="Arial" w:hAnsi="Arial" w:cs="Arial"/>
        </w:rPr>
        <w:t>choenfeld residuals for each variable over age in the full model</w:t>
      </w:r>
      <w:r w:rsidR="00FF25BC" w:rsidRPr="0065346B">
        <w:rPr>
          <w:rFonts w:ascii="Arial" w:hAnsi="Arial" w:cs="Arial"/>
        </w:rPr>
        <w:t xml:space="preserve"> (checking for an even distribution around zero)</w:t>
      </w:r>
      <w:r w:rsidRPr="0065346B">
        <w:rPr>
          <w:rFonts w:ascii="Arial" w:hAnsi="Arial" w:cs="Arial"/>
        </w:rPr>
        <w:t>, (2) plots of -</w:t>
      </w:r>
      <w:proofErr w:type="gramStart"/>
      <w:r w:rsidRPr="0065346B">
        <w:rPr>
          <w:rFonts w:ascii="Arial" w:hAnsi="Arial" w:cs="Arial"/>
        </w:rPr>
        <w:t>ln(</w:t>
      </w:r>
      <w:proofErr w:type="gramEnd"/>
      <w:r w:rsidRPr="0065346B">
        <w:rPr>
          <w:rFonts w:ascii="Arial" w:hAnsi="Arial" w:cs="Arial"/>
        </w:rPr>
        <w:t>-ln(Survival probability) v</w:t>
      </w:r>
      <w:r w:rsidR="004D63D2" w:rsidRPr="0065346B">
        <w:rPr>
          <w:rFonts w:ascii="Arial" w:hAnsi="Arial" w:cs="Arial"/>
        </w:rPr>
        <w:t>s</w:t>
      </w:r>
      <w:r w:rsidRPr="0065346B">
        <w:rPr>
          <w:rFonts w:ascii="Arial" w:hAnsi="Arial" w:cs="Arial"/>
        </w:rPr>
        <w:t>. ln(age)</w:t>
      </w:r>
      <w:r w:rsidR="00FF25BC" w:rsidRPr="0065346B">
        <w:rPr>
          <w:rFonts w:ascii="Arial" w:hAnsi="Arial" w:cs="Arial"/>
        </w:rPr>
        <w:t xml:space="preserve"> (checking for parallel lines),</w:t>
      </w:r>
      <w:r w:rsidRPr="0065346B">
        <w:rPr>
          <w:rFonts w:ascii="Arial" w:hAnsi="Arial" w:cs="Arial"/>
        </w:rPr>
        <w:t xml:space="preserve"> and (3) tests of statistical interactions between age and variables</w:t>
      </w:r>
      <w:r w:rsidR="00FF25BC" w:rsidRPr="0065346B">
        <w:rPr>
          <w:rFonts w:ascii="Arial" w:hAnsi="Arial" w:cs="Arial"/>
        </w:rPr>
        <w:t xml:space="preserve"> (checking p-value)</w:t>
      </w:r>
      <w:r w:rsidRPr="0065346B">
        <w:rPr>
          <w:rFonts w:ascii="Arial" w:hAnsi="Arial" w:cs="Arial"/>
        </w:rPr>
        <w:t>. Two variables, history of BBD and age at menarche, display</w:t>
      </w:r>
      <w:r w:rsidR="00B846A5" w:rsidRPr="0065346B">
        <w:rPr>
          <w:rFonts w:ascii="Arial" w:hAnsi="Arial" w:cs="Arial"/>
        </w:rPr>
        <w:t>ed</w:t>
      </w:r>
      <w:r w:rsidRPr="0065346B">
        <w:rPr>
          <w:rFonts w:ascii="Arial" w:hAnsi="Arial" w:cs="Arial"/>
        </w:rPr>
        <w:t xml:space="preserve"> </w:t>
      </w:r>
      <w:r w:rsidR="00B846A5" w:rsidRPr="0065346B">
        <w:rPr>
          <w:rFonts w:ascii="Arial" w:hAnsi="Arial" w:cs="Arial"/>
        </w:rPr>
        <w:t xml:space="preserve">statistically </w:t>
      </w:r>
      <w:r w:rsidRPr="0065346B">
        <w:rPr>
          <w:rFonts w:ascii="Arial" w:hAnsi="Arial" w:cs="Arial"/>
        </w:rPr>
        <w:t xml:space="preserve">significant interaction with </w:t>
      </w:r>
      <w:r w:rsidR="00B846A5" w:rsidRPr="0065346B">
        <w:rPr>
          <w:rFonts w:ascii="Arial" w:hAnsi="Arial" w:cs="Arial"/>
        </w:rPr>
        <w:t>age</w:t>
      </w:r>
      <w:r w:rsidRPr="0065346B">
        <w:rPr>
          <w:rFonts w:ascii="Arial" w:hAnsi="Arial" w:cs="Arial"/>
        </w:rPr>
        <w:t xml:space="preserve">. However, plots were </w:t>
      </w:r>
      <w:r w:rsidR="00B846A5" w:rsidRPr="0065346B">
        <w:rPr>
          <w:rFonts w:ascii="Arial" w:hAnsi="Arial" w:cs="Arial"/>
        </w:rPr>
        <w:t xml:space="preserve">not </w:t>
      </w:r>
      <w:r w:rsidRPr="0065346B">
        <w:rPr>
          <w:rFonts w:ascii="Arial" w:hAnsi="Arial" w:cs="Arial"/>
        </w:rPr>
        <w:t xml:space="preserve">indicative of </w:t>
      </w:r>
      <w:r w:rsidR="00B846A5" w:rsidRPr="0065346B">
        <w:rPr>
          <w:rFonts w:ascii="Arial" w:hAnsi="Arial" w:cs="Arial"/>
        </w:rPr>
        <w:t>substantial</w:t>
      </w:r>
      <w:r w:rsidRPr="0065346B">
        <w:rPr>
          <w:rFonts w:ascii="Arial" w:hAnsi="Arial" w:cs="Arial"/>
        </w:rPr>
        <w:t xml:space="preserve"> deviations from proportional hazards, and the magnitude of the age interaction was </w:t>
      </w:r>
      <w:r w:rsidR="00B846A5" w:rsidRPr="0065346B">
        <w:rPr>
          <w:rFonts w:ascii="Arial" w:hAnsi="Arial" w:cs="Arial"/>
        </w:rPr>
        <w:t>minimal. W</w:t>
      </w:r>
      <w:r w:rsidRPr="0065346B">
        <w:rPr>
          <w:rFonts w:ascii="Arial" w:hAnsi="Arial" w:cs="Arial"/>
        </w:rPr>
        <w:t xml:space="preserve">e </w:t>
      </w:r>
      <w:r w:rsidR="00B846A5" w:rsidRPr="0065346B">
        <w:rPr>
          <w:rFonts w:ascii="Arial" w:hAnsi="Arial" w:cs="Arial"/>
        </w:rPr>
        <w:t xml:space="preserve">therefore </w:t>
      </w:r>
      <w:r w:rsidRPr="0065346B">
        <w:rPr>
          <w:rFonts w:ascii="Arial" w:hAnsi="Arial" w:cs="Arial"/>
        </w:rPr>
        <w:t>continued with the assumption of proportional hazards</w:t>
      </w:r>
      <w:r w:rsidR="00332F16" w:rsidRPr="0065346B">
        <w:rPr>
          <w:rFonts w:ascii="Arial" w:hAnsi="Arial" w:cs="Arial"/>
        </w:rPr>
        <w:t xml:space="preserve"> for our main model. We assessed each continuous variable for linearity using plots of Martingale residuals and found no evidence of large deviations from linearity.  We additionally conducted a sensitivity analysis which modeled the age*history of BBD interaction in a subset of cohorts with no variables missing by design and found no substantial changes in model performance. </w:t>
      </w:r>
    </w:p>
    <w:p w14:paraId="6B7E1833" w14:textId="7E5E464F" w:rsidR="00DF7BB3" w:rsidRPr="007679CE" w:rsidRDefault="00DF7BB3" w:rsidP="00DF7BB3">
      <w:pPr>
        <w:rPr>
          <w:rFonts w:ascii="Arial" w:hAnsi="Arial" w:cs="Arial"/>
          <w:b/>
          <w:bCs/>
          <w:i/>
          <w:iCs/>
        </w:rPr>
      </w:pPr>
      <w:r w:rsidRPr="007679CE">
        <w:rPr>
          <w:rFonts w:ascii="Arial" w:hAnsi="Arial" w:cs="Arial"/>
          <w:b/>
          <w:bCs/>
          <w:i/>
          <w:iCs/>
        </w:rPr>
        <w:t>Estimation of model coefficients</w:t>
      </w:r>
      <w:r w:rsidR="00FF25BC" w:rsidRPr="007679CE">
        <w:rPr>
          <w:rFonts w:ascii="Arial" w:hAnsi="Arial" w:cs="Arial"/>
          <w:b/>
          <w:bCs/>
          <w:i/>
          <w:iCs/>
          <w:vertAlign w:val="superscript"/>
        </w:rPr>
        <w:t>3</w:t>
      </w:r>
      <w:r w:rsidR="00E376EE" w:rsidRPr="007679CE">
        <w:rPr>
          <w:rFonts w:ascii="Arial" w:hAnsi="Arial" w:cs="Arial"/>
          <w:b/>
          <w:bCs/>
          <w:i/>
          <w:iCs/>
          <w:vertAlign w:val="superscript"/>
        </w:rPr>
        <w:t xml:space="preserve"> </w:t>
      </w:r>
    </w:p>
    <w:p w14:paraId="09E1EDA7" w14:textId="34A146FA" w:rsidR="00396FC5" w:rsidRPr="007679CE" w:rsidRDefault="00396FC5" w:rsidP="00DF7BB3">
      <w:pPr>
        <w:rPr>
          <w:rFonts w:ascii="Arial" w:hAnsi="Arial" w:cs="Arial"/>
        </w:rPr>
      </w:pPr>
      <w:r w:rsidRPr="007679CE">
        <w:rPr>
          <w:rFonts w:ascii="Arial" w:hAnsi="Arial" w:cs="Arial"/>
        </w:rPr>
        <w:t>The following is an e</w:t>
      </w:r>
      <w:r w:rsidR="00DF7BB3" w:rsidRPr="007679CE">
        <w:rPr>
          <w:rFonts w:ascii="Arial" w:hAnsi="Arial" w:cs="Arial"/>
        </w:rPr>
        <w:t xml:space="preserve">xample </w:t>
      </w:r>
      <w:r w:rsidRPr="007679CE">
        <w:rPr>
          <w:rFonts w:ascii="Arial" w:hAnsi="Arial" w:cs="Arial"/>
        </w:rPr>
        <w:t>of how the meta-analysis to combine beta coefficients was performed across cohorts with missing variables by design in PBCCG.</w:t>
      </w:r>
    </w:p>
    <w:p w14:paraId="49B94791" w14:textId="2AFEB780" w:rsidR="00DF7BB3" w:rsidRPr="007679CE" w:rsidRDefault="00396FC5" w:rsidP="00DF7BB3">
      <w:pPr>
        <w:rPr>
          <w:rFonts w:ascii="Arial" w:hAnsi="Arial" w:cs="Arial"/>
        </w:rPr>
      </w:pPr>
      <w:r w:rsidRPr="007679CE">
        <w:rPr>
          <w:rFonts w:ascii="Arial" w:hAnsi="Arial" w:cs="Arial"/>
        </w:rPr>
        <w:lastRenderedPageBreak/>
        <w:t>Consider Study 1, which has available information on covariates X1 and X2, and Study 2, which only has information on X1 reported (i.e., is missing X2 by design). Two regression equations are run:</w:t>
      </w:r>
    </w:p>
    <w:p w14:paraId="63FB5001" w14:textId="77777777" w:rsidR="00DF7BB3" w:rsidRPr="007679CE" w:rsidRDefault="00DF7BB3" w:rsidP="00DF7BB3">
      <w:pPr>
        <w:rPr>
          <w:rFonts w:ascii="Arial" w:eastAsiaTheme="minorEastAsia" w:hAnsi="Arial" w:cs="Arial"/>
          <w:iCs/>
        </w:rPr>
      </w:pPr>
      <w:r w:rsidRPr="007679CE">
        <w:rPr>
          <w:rFonts w:ascii="Arial" w:eastAsiaTheme="minorEastAsia" w:hAnsi="Arial" w:cs="Arial"/>
          <w:iCs/>
        </w:rPr>
        <w:t xml:space="preserve">Group 1 Regression: </w:t>
      </w:r>
      <m:oMath>
        <m:r>
          <w:rPr>
            <w:rFonts w:ascii="Cambria Math" w:hAnsi="Cambria Math" w:cs="Arial"/>
          </w:rPr>
          <m:t>Risk </m:t>
        </m:r>
        <m:d>
          <m:dPr>
            <m:ctrlPr>
              <w:rPr>
                <w:rFonts w:ascii="Cambria Math" w:hAnsi="Cambria Math" w:cs="Arial"/>
                <w:i/>
                <w:iCs/>
              </w:rPr>
            </m:ctrlPr>
          </m:dPr>
          <m:e>
            <m:r>
              <w:rPr>
                <w:rFonts w:ascii="Cambria Math" w:hAnsi="Cambria Math" w:cs="Arial"/>
              </w:rPr>
              <m:t>BC</m:t>
            </m:r>
          </m:e>
        </m:d>
        <m:r>
          <w:rPr>
            <w:rFonts w:ascii="Cambria Math" w:hAnsi="Cambria Math" w:cs="Arial"/>
          </w:rPr>
          <m:t>=</m:t>
        </m:r>
        <m:sSub>
          <m:sSubPr>
            <m:ctrlPr>
              <w:rPr>
                <w:rFonts w:ascii="Cambria Math" w:hAnsi="Cambria Math" w:cs="Arial"/>
                <w:i/>
                <w:iCs/>
              </w:rPr>
            </m:ctrlPr>
          </m:sSubPr>
          <m:e>
            <m:r>
              <w:rPr>
                <w:rFonts w:ascii="Cambria Math" w:hAnsi="Cambria Math" w:cs="Arial"/>
              </w:rPr>
              <m:t>β</m:t>
            </m:r>
          </m:e>
          <m:sub>
            <m:r>
              <w:rPr>
                <w:rFonts w:ascii="Cambria Math" w:hAnsi="Cambria Math" w:cs="Arial"/>
              </w:rPr>
              <m:t>1</m:t>
            </m:r>
          </m:sub>
        </m:sSub>
        <m:d>
          <m:dPr>
            <m:ctrlPr>
              <w:rPr>
                <w:rFonts w:ascii="Cambria Math" w:hAnsi="Cambria Math" w:cs="Arial"/>
                <w:i/>
                <w:iCs/>
              </w:rPr>
            </m:ctrlPr>
          </m:dPr>
          <m:e>
            <m:sSub>
              <m:sSubPr>
                <m:ctrlPr>
                  <w:rPr>
                    <w:rFonts w:ascii="Cambria Math" w:hAnsi="Cambria Math" w:cs="Arial"/>
                    <w:i/>
                    <w:iCs/>
                  </w:rPr>
                </m:ctrlPr>
              </m:sSubPr>
              <m:e>
                <m:r>
                  <w:rPr>
                    <w:rFonts w:ascii="Cambria Math" w:hAnsi="Cambria Math" w:cs="Arial"/>
                  </w:rPr>
                  <m:t>X</m:t>
                </m:r>
              </m:e>
              <m:sub>
                <m:r>
                  <w:rPr>
                    <w:rFonts w:ascii="Cambria Math" w:hAnsi="Cambria Math" w:cs="Arial"/>
                  </w:rPr>
                  <m:t>1</m:t>
                </m:r>
              </m:sub>
            </m:sSub>
          </m:e>
        </m:d>
        <m:r>
          <w:rPr>
            <w:rFonts w:ascii="Cambria Math" w:hAnsi="Cambria Math" w:cs="Arial"/>
          </w:rPr>
          <m:t>+</m:t>
        </m:r>
        <m:sSub>
          <m:sSubPr>
            <m:ctrlPr>
              <w:rPr>
                <w:rFonts w:ascii="Cambria Math" w:hAnsi="Cambria Math" w:cs="Arial"/>
                <w:i/>
                <w:iCs/>
              </w:rPr>
            </m:ctrlPr>
          </m:sSubPr>
          <m:e>
            <m:r>
              <w:rPr>
                <w:rFonts w:ascii="Cambria Math" w:hAnsi="Cambria Math" w:cs="Arial"/>
              </w:rPr>
              <m:t>β</m:t>
            </m:r>
          </m:e>
          <m:sub>
            <m:r>
              <w:rPr>
                <w:rFonts w:ascii="Cambria Math" w:hAnsi="Cambria Math" w:cs="Arial"/>
              </w:rPr>
              <m:t>2</m:t>
            </m:r>
          </m:sub>
        </m:sSub>
      </m:oMath>
      <w:r w:rsidRPr="007679CE">
        <w:rPr>
          <w:rFonts w:ascii="Arial" w:hAnsi="Arial" w:cs="Arial"/>
        </w:rPr>
        <w:t xml:space="preserve"> </w:t>
      </w:r>
      <m:oMath>
        <m:sSub>
          <m:sSubPr>
            <m:ctrlPr>
              <w:rPr>
                <w:rFonts w:ascii="Cambria Math" w:hAnsi="Cambria Math" w:cs="Arial"/>
                <w:i/>
                <w:iCs/>
              </w:rPr>
            </m:ctrlPr>
          </m:sSubPr>
          <m:e>
            <m:r>
              <w:rPr>
                <w:rFonts w:ascii="Cambria Math" w:hAnsi="Cambria Math" w:cs="Arial"/>
              </w:rPr>
              <m:t>(X</m:t>
            </m:r>
          </m:e>
          <m:sub>
            <m:r>
              <w:rPr>
                <w:rFonts w:ascii="Cambria Math" w:hAnsi="Cambria Math" w:cs="Arial"/>
              </w:rPr>
              <m:t>2</m:t>
            </m:r>
          </m:sub>
        </m:sSub>
        <m:r>
          <w:rPr>
            <w:rFonts w:ascii="Cambria Math" w:eastAsiaTheme="minorEastAsia" w:hAnsi="Cambria Math" w:cs="Arial"/>
          </w:rPr>
          <m:t>)</m:t>
        </m:r>
      </m:oMath>
    </w:p>
    <w:p w14:paraId="3B391765" w14:textId="77777777" w:rsidR="00DF7BB3" w:rsidRPr="007679CE" w:rsidRDefault="00DF7BB3" w:rsidP="00DF7BB3">
      <w:pPr>
        <w:rPr>
          <w:rFonts w:ascii="Arial" w:eastAsiaTheme="minorEastAsia" w:hAnsi="Arial" w:cs="Arial"/>
          <w:iCs/>
        </w:rPr>
      </w:pPr>
      <w:r w:rsidRPr="007679CE">
        <w:rPr>
          <w:rFonts w:ascii="Arial" w:eastAsiaTheme="minorEastAsia" w:hAnsi="Arial" w:cs="Arial"/>
          <w:iCs/>
        </w:rPr>
        <w:t xml:space="preserve">Group 2 Regression: </w:t>
      </w:r>
      <m:oMath>
        <m:r>
          <w:rPr>
            <w:rFonts w:ascii="Cambria Math" w:hAnsi="Cambria Math" w:cs="Arial"/>
          </w:rPr>
          <m:t>Risk </m:t>
        </m:r>
        <m:d>
          <m:dPr>
            <m:ctrlPr>
              <w:rPr>
                <w:rFonts w:ascii="Cambria Math" w:hAnsi="Cambria Math" w:cs="Arial"/>
                <w:i/>
                <w:iCs/>
              </w:rPr>
            </m:ctrlPr>
          </m:dPr>
          <m:e>
            <m:r>
              <w:rPr>
                <w:rFonts w:ascii="Cambria Math" w:hAnsi="Cambria Math" w:cs="Arial"/>
              </w:rPr>
              <m:t>BC</m:t>
            </m:r>
          </m:e>
        </m:d>
        <m:r>
          <w:rPr>
            <w:rFonts w:ascii="Cambria Math" w:hAnsi="Cambria Math" w:cs="Arial"/>
          </w:rPr>
          <m:t>=</m:t>
        </m:r>
        <m:sSub>
          <m:sSubPr>
            <m:ctrlPr>
              <w:rPr>
                <w:rFonts w:ascii="Cambria Math" w:hAnsi="Cambria Math" w:cs="Arial"/>
                <w:i/>
                <w:iCs/>
              </w:rPr>
            </m:ctrlPr>
          </m:sSubPr>
          <m:e>
            <m:r>
              <w:rPr>
                <w:rFonts w:ascii="Cambria Math" w:hAnsi="Cambria Math" w:cs="Arial"/>
              </w:rPr>
              <m:t>α</m:t>
            </m:r>
          </m:e>
          <m:sub>
            <m:r>
              <w:rPr>
                <w:rFonts w:ascii="Cambria Math" w:hAnsi="Cambria Math" w:cs="Arial"/>
              </w:rPr>
              <m:t>1</m:t>
            </m:r>
          </m:sub>
        </m:sSub>
        <m:d>
          <m:dPr>
            <m:ctrlPr>
              <w:rPr>
                <w:rFonts w:ascii="Cambria Math" w:hAnsi="Cambria Math" w:cs="Arial"/>
                <w:i/>
                <w:iCs/>
              </w:rPr>
            </m:ctrlPr>
          </m:dPr>
          <m:e>
            <m:sSub>
              <m:sSubPr>
                <m:ctrlPr>
                  <w:rPr>
                    <w:rFonts w:ascii="Cambria Math" w:hAnsi="Cambria Math" w:cs="Arial"/>
                    <w:i/>
                    <w:iCs/>
                  </w:rPr>
                </m:ctrlPr>
              </m:sSubPr>
              <m:e>
                <m:r>
                  <w:rPr>
                    <w:rFonts w:ascii="Cambria Math" w:hAnsi="Cambria Math" w:cs="Arial"/>
                  </w:rPr>
                  <m:t>X</m:t>
                </m:r>
              </m:e>
              <m:sub>
                <m:r>
                  <w:rPr>
                    <w:rFonts w:ascii="Cambria Math" w:hAnsi="Cambria Math" w:cs="Arial"/>
                  </w:rPr>
                  <m:t>1</m:t>
                </m:r>
              </m:sub>
            </m:sSub>
          </m:e>
        </m:d>
      </m:oMath>
    </w:p>
    <w:p w14:paraId="0A93257E" w14:textId="2A3F55A6" w:rsidR="00396FC5" w:rsidRPr="007679CE" w:rsidRDefault="00396FC5" w:rsidP="00DF7BB3">
      <w:pPr>
        <w:rPr>
          <w:rFonts w:ascii="Arial" w:eastAsiaTheme="minorEastAsia" w:hAnsi="Arial" w:cs="Arial"/>
          <w:iCs/>
        </w:rPr>
      </w:pPr>
      <w:r w:rsidRPr="007679CE">
        <w:rPr>
          <w:rFonts w:ascii="Arial" w:eastAsiaTheme="minorEastAsia" w:hAnsi="Arial" w:cs="Arial"/>
          <w:iCs/>
        </w:rPr>
        <w:t xml:space="preserve">The coefficient of X1 </w:t>
      </w:r>
      <w:r w:rsidR="003E2FFB" w:rsidRPr="007679CE">
        <w:rPr>
          <w:rFonts w:ascii="Arial" w:eastAsiaTheme="minorEastAsia" w:hAnsi="Arial" w:cs="Arial"/>
          <w:iCs/>
        </w:rPr>
        <w:t xml:space="preserve">is then adjusted to account for the correlation between missing and non-missing variables (as determined in the </w:t>
      </w:r>
      <w:r w:rsidR="006A60FA" w:rsidRPr="007679CE">
        <w:rPr>
          <w:rFonts w:ascii="Arial" w:eastAsiaTheme="minorEastAsia" w:hAnsi="Arial" w:cs="Arial"/>
          <w:iCs/>
        </w:rPr>
        <w:t>subset with complete covariate</w:t>
      </w:r>
      <w:r w:rsidR="003E2FFB" w:rsidRPr="007679CE">
        <w:rPr>
          <w:rFonts w:ascii="Arial" w:eastAsiaTheme="minorEastAsia" w:hAnsi="Arial" w:cs="Arial"/>
          <w:iCs/>
        </w:rPr>
        <w:t xml:space="preserve"> data</w:t>
      </w:r>
      <w:r w:rsidR="0012542B" w:rsidRPr="007679CE">
        <w:rPr>
          <w:rFonts w:ascii="Arial" w:eastAsiaTheme="minorEastAsia" w:hAnsi="Arial" w:cs="Arial"/>
          <w:iCs/>
        </w:rPr>
        <w:t>)</w:t>
      </w:r>
      <w:r w:rsidR="003E2FFB" w:rsidRPr="007679CE">
        <w:rPr>
          <w:rFonts w:ascii="Arial" w:eastAsiaTheme="minorEastAsia" w:hAnsi="Arial" w:cs="Arial"/>
          <w:iCs/>
        </w:rPr>
        <w:t>, via the following equation:</w:t>
      </w:r>
    </w:p>
    <w:p w14:paraId="18436026" w14:textId="77777777" w:rsidR="00DF7BB3" w:rsidRPr="007679CE" w:rsidRDefault="00DF7BB3" w:rsidP="00DF7BB3">
      <w:pPr>
        <w:rPr>
          <w:rFonts w:ascii="Arial" w:eastAsiaTheme="minorEastAsia" w:hAnsi="Arial" w:cs="Arial"/>
          <w:i/>
          <w:iCs/>
        </w:rPr>
      </w:pPr>
      <w:r w:rsidRPr="007679CE">
        <w:rPr>
          <w:rFonts w:ascii="Arial" w:hAnsi="Arial" w:cs="Arial"/>
        </w:rPr>
        <w:t xml:space="preserve">Group 2 adjustment: </w:t>
      </w:r>
      <m:oMath>
        <m:sSubSup>
          <m:sSubSupPr>
            <m:ctrlPr>
              <w:rPr>
                <w:rFonts w:ascii="Cambria Math" w:hAnsi="Cambria Math" w:cs="Arial"/>
                <w:i/>
                <w:iCs/>
              </w:rPr>
            </m:ctrlPr>
          </m:sSubSupPr>
          <m:e>
            <m:r>
              <w:rPr>
                <w:rFonts w:ascii="Cambria Math" w:hAnsi="Cambria Math" w:cs="Arial"/>
              </w:rPr>
              <m:t>α</m:t>
            </m:r>
          </m:e>
          <m:sub>
            <m:r>
              <w:rPr>
                <w:rFonts w:ascii="Cambria Math" w:hAnsi="Cambria Math" w:cs="Arial"/>
              </w:rPr>
              <m:t>1</m:t>
            </m:r>
          </m:sub>
          <m:sup>
            <m:r>
              <w:rPr>
                <w:rFonts w:ascii="Cambria Math" w:hAnsi="Cambria Math" w:cs="Arial"/>
              </w:rPr>
              <m:t>*</m:t>
            </m:r>
          </m:sup>
        </m:sSubSup>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α</m:t>
            </m:r>
          </m:e>
          <m:sub>
            <m:r>
              <w:rPr>
                <w:rFonts w:ascii="Cambria Math" w:eastAsiaTheme="minorEastAsia" w:hAnsi="Cambria Math" w:cs="Arial"/>
              </w:rPr>
              <m:t>1</m:t>
            </m:r>
          </m:sub>
        </m:sSub>
      </m:oMath>
      <w:r w:rsidRPr="007679CE">
        <w:rPr>
          <w:rFonts w:ascii="Arial" w:eastAsiaTheme="minorEastAsia" w:hAnsi="Arial" w:cs="Arial"/>
          <w:i/>
          <w:iCs/>
        </w:rPr>
        <w:t xml:space="preserve"> - </w:t>
      </w:r>
      <m:oMath>
        <m:sSup>
          <m:sSupPr>
            <m:ctrlPr>
              <w:rPr>
                <w:rFonts w:ascii="Cambria Math" w:eastAsiaTheme="minorEastAsia" w:hAnsi="Cambria Math" w:cs="Arial"/>
                <w:i/>
                <w:iCs/>
              </w:rPr>
            </m:ctrlPr>
          </m:sSupPr>
          <m:e>
            <m:r>
              <m:rPr>
                <m:nor/>
              </m:rPr>
              <w:rPr>
                <w:rFonts w:ascii="Arial" w:eastAsiaTheme="minorEastAsia" w:hAnsi="Arial" w:cs="Arial"/>
                <w:i/>
                <w:iCs/>
              </w:rPr>
              <m:t>(</m:t>
            </m:r>
            <m:sSubSup>
              <m:sSubSupPr>
                <m:ctrlPr>
                  <w:rPr>
                    <w:rFonts w:ascii="Cambria Math" w:eastAsiaTheme="minorEastAsia" w:hAnsi="Cambria Math" w:cs="Arial"/>
                    <w:i/>
                    <w:iCs/>
                  </w:rPr>
                </m:ctrlPr>
              </m:sSubSupPr>
              <m:e>
                <m:r>
                  <w:rPr>
                    <w:rFonts w:ascii="Cambria Math" w:eastAsiaTheme="minorEastAsia" w:hAnsi="Cambria Math" w:cs="Arial"/>
                  </w:rPr>
                  <m:t>X</m:t>
                </m:r>
              </m:e>
              <m:sub>
                <m:r>
                  <w:rPr>
                    <w:rFonts w:ascii="Cambria Math" w:eastAsiaTheme="minorEastAsia" w:hAnsi="Cambria Math" w:cs="Arial"/>
                  </w:rPr>
                  <m:t>1</m:t>
                </m:r>
              </m:sub>
              <m:sup>
                <m:r>
                  <w:rPr>
                    <w:rFonts w:ascii="Cambria Math" w:eastAsiaTheme="minorEastAsia" w:hAnsi="Cambria Math" w:cs="Arial"/>
                  </w:rPr>
                  <m:t>T</m:t>
                </m:r>
              </m:sup>
            </m:sSubSup>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1</m:t>
                </m:r>
              </m:sub>
            </m:sSub>
            <m:r>
              <w:rPr>
                <w:rFonts w:ascii="Cambria Math" w:eastAsiaTheme="minorEastAsia" w:hAnsi="Cambria Math" w:cs="Arial"/>
              </w:rPr>
              <m:t>)</m:t>
            </m:r>
          </m:e>
          <m:sup>
            <m:r>
              <w:rPr>
                <w:rFonts w:ascii="Cambria Math" w:eastAsiaTheme="minorEastAsia" w:hAnsi="Cambria Math" w:cs="Arial"/>
              </w:rPr>
              <m:t>-1</m:t>
            </m:r>
          </m:sup>
        </m:sSup>
      </m:oMath>
      <w:r w:rsidRPr="007679CE">
        <w:rPr>
          <w:rFonts w:ascii="Arial" w:eastAsiaTheme="minorEastAsia" w:hAnsi="Arial" w:cs="Arial"/>
          <w:i/>
          <w:iCs/>
        </w:rPr>
        <w:t xml:space="preserve"> (</w:t>
      </w:r>
      <m:oMath>
        <m:sSubSup>
          <m:sSubSupPr>
            <m:ctrlPr>
              <w:rPr>
                <w:rFonts w:ascii="Cambria Math" w:eastAsiaTheme="minorEastAsia" w:hAnsi="Cambria Math" w:cs="Arial"/>
                <w:i/>
                <w:iCs/>
              </w:rPr>
            </m:ctrlPr>
          </m:sSubSupPr>
          <m:e>
            <m:r>
              <w:rPr>
                <w:rFonts w:ascii="Cambria Math" w:eastAsiaTheme="minorEastAsia" w:hAnsi="Cambria Math" w:cs="Arial"/>
              </w:rPr>
              <m:t>X</m:t>
            </m:r>
          </m:e>
          <m:sub>
            <m:r>
              <w:rPr>
                <w:rFonts w:ascii="Cambria Math" w:eastAsiaTheme="minorEastAsia" w:hAnsi="Cambria Math" w:cs="Arial"/>
              </w:rPr>
              <m:t>1</m:t>
            </m:r>
          </m:sub>
          <m:sup>
            <m:r>
              <w:rPr>
                <w:rFonts w:ascii="Cambria Math" w:eastAsiaTheme="minorEastAsia" w:hAnsi="Cambria Math" w:cs="Arial"/>
              </w:rPr>
              <m:t>T</m:t>
            </m:r>
          </m:sup>
        </m:sSubSup>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2</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β</m:t>
            </m:r>
          </m:e>
          <m:sub>
            <m:r>
              <w:rPr>
                <w:rFonts w:ascii="Cambria Math" w:eastAsiaTheme="minorEastAsia" w:hAnsi="Cambria Math" w:cs="Arial"/>
              </w:rPr>
              <m:t>2</m:t>
            </m:r>
          </m:sub>
        </m:sSub>
      </m:oMath>
    </w:p>
    <w:p w14:paraId="67E41A18" w14:textId="5105B156" w:rsidR="003E2FFB" w:rsidRPr="007679CE" w:rsidRDefault="003E2FFB" w:rsidP="00DF7BB3">
      <w:pPr>
        <w:rPr>
          <w:rFonts w:ascii="Arial" w:hAnsi="Arial" w:cs="Arial"/>
        </w:rPr>
      </w:pPr>
      <w:r w:rsidRPr="007679CE">
        <w:rPr>
          <w:rFonts w:ascii="Arial" w:hAnsi="Arial" w:cs="Arial"/>
        </w:rPr>
        <w:t>In the third step, the adjusted coefficient from Study 2 (</w:t>
      </w:r>
      <m:oMath>
        <m:sSubSup>
          <m:sSubSupPr>
            <m:ctrlPr>
              <w:rPr>
                <w:rFonts w:ascii="Cambria Math" w:hAnsi="Cambria Math" w:cs="Arial"/>
                <w:i/>
                <w:iCs/>
              </w:rPr>
            </m:ctrlPr>
          </m:sSubSupPr>
          <m:e>
            <m:r>
              <w:rPr>
                <w:rFonts w:ascii="Cambria Math" w:hAnsi="Cambria Math" w:cs="Arial"/>
              </w:rPr>
              <m:t>α</m:t>
            </m:r>
          </m:e>
          <m:sub>
            <m:r>
              <w:rPr>
                <w:rFonts w:ascii="Cambria Math" w:hAnsi="Cambria Math" w:cs="Arial"/>
              </w:rPr>
              <m:t>1</m:t>
            </m:r>
          </m:sub>
          <m:sup>
            <m:r>
              <w:rPr>
                <w:rFonts w:ascii="Cambria Math" w:hAnsi="Cambria Math" w:cs="Arial"/>
              </w:rPr>
              <m:t>*</m:t>
            </m:r>
          </m:sup>
        </m:sSubSup>
        <m:r>
          <w:rPr>
            <w:rFonts w:ascii="Cambria Math" w:hAnsi="Cambria Math" w:cs="Arial"/>
          </w:rPr>
          <m:t>)</m:t>
        </m:r>
      </m:oMath>
      <w:r w:rsidRPr="007679CE">
        <w:rPr>
          <w:rFonts w:ascii="Arial" w:hAnsi="Arial" w:cs="Arial"/>
        </w:rPr>
        <w:t xml:space="preserve"> </w:t>
      </w:r>
      <w:r w:rsidRPr="007679CE">
        <w:rPr>
          <w:rFonts w:ascii="Arial" w:eastAsiaTheme="minorEastAsia" w:hAnsi="Arial" w:cs="Arial"/>
        </w:rPr>
        <w:t>is combined with</w:t>
      </w:r>
      <m:oMath>
        <m:sSub>
          <m:sSubPr>
            <m:ctrlPr>
              <w:rPr>
                <w:rFonts w:ascii="Cambria Math" w:hAnsi="Cambria Math" w:cs="Arial"/>
                <w:i/>
                <w:iCs/>
              </w:rPr>
            </m:ctrlPr>
          </m:sSubPr>
          <m:e>
            <m:r>
              <w:rPr>
                <w:rFonts w:ascii="Cambria Math" w:hAnsi="Cambria Math" w:cs="Arial"/>
              </w:rPr>
              <m:t xml:space="preserve"> β</m:t>
            </m:r>
          </m:e>
          <m:sub>
            <m:r>
              <w:rPr>
                <w:rFonts w:ascii="Cambria Math" w:hAnsi="Cambria Math" w:cs="Arial"/>
              </w:rPr>
              <m:t>1</m:t>
            </m:r>
          </m:sub>
        </m:sSub>
        <m:r>
          <w:rPr>
            <w:rFonts w:ascii="Cambria Math" w:hAnsi="Cambria Math" w:cs="Arial"/>
          </w:rPr>
          <m:t xml:space="preserve"> </m:t>
        </m:r>
      </m:oMath>
      <w:r w:rsidRPr="007679CE">
        <w:rPr>
          <w:rFonts w:ascii="Arial" w:hAnsi="Arial" w:cs="Arial"/>
        </w:rPr>
        <w:t xml:space="preserve">coefficient from Study 1 in a random effects meta-analysis to obtain a new coefficient for X1. Because Study 2 did not include information on variable X2, the estimate for X2 in the final regression model will be identical to </w:t>
      </w:r>
      <m:oMath>
        <m:sSub>
          <m:sSubPr>
            <m:ctrlPr>
              <w:rPr>
                <w:rFonts w:ascii="Cambria Math" w:hAnsi="Cambria Math" w:cs="Arial"/>
                <w:i/>
                <w:iCs/>
              </w:rPr>
            </m:ctrlPr>
          </m:sSubPr>
          <m:e>
            <m:r>
              <w:rPr>
                <w:rFonts w:ascii="Cambria Math" w:hAnsi="Cambria Math" w:cs="Arial"/>
              </w:rPr>
              <m:t>β</m:t>
            </m:r>
          </m:e>
          <m:sub>
            <m:r>
              <w:rPr>
                <w:rFonts w:ascii="Cambria Math" w:hAnsi="Cambria Math" w:cs="Arial"/>
              </w:rPr>
              <m:t>2</m:t>
            </m:r>
          </m:sub>
        </m:sSub>
      </m:oMath>
      <w:r w:rsidRPr="007679CE">
        <w:rPr>
          <w:rFonts w:ascii="Arial" w:eastAsiaTheme="minorEastAsia" w:hAnsi="Arial" w:cs="Arial"/>
          <w:iCs/>
        </w:rPr>
        <w:t xml:space="preserve"> from the equations above. </w:t>
      </w:r>
    </w:p>
    <w:p w14:paraId="17FA1EDE" w14:textId="468AA07C" w:rsidR="00B725B1" w:rsidRPr="007679CE" w:rsidRDefault="00DF7BB3">
      <w:pPr>
        <w:rPr>
          <w:rFonts w:ascii="Arial" w:hAnsi="Arial" w:cs="Arial"/>
        </w:rPr>
      </w:pPr>
      <w:r w:rsidRPr="007679CE">
        <w:rPr>
          <w:rFonts w:ascii="Arial" w:hAnsi="Arial" w:cs="Arial"/>
        </w:rPr>
        <w:t xml:space="preserve">Meta analysis: of </w:t>
      </w:r>
      <m:oMath>
        <m:sSubSup>
          <m:sSubSupPr>
            <m:ctrlPr>
              <w:rPr>
                <w:rFonts w:ascii="Cambria Math" w:hAnsi="Cambria Math" w:cs="Arial"/>
                <w:i/>
                <w:iCs/>
              </w:rPr>
            </m:ctrlPr>
          </m:sSubSupPr>
          <m:e>
            <m:r>
              <w:rPr>
                <w:rFonts w:ascii="Cambria Math" w:hAnsi="Cambria Math" w:cs="Arial"/>
              </w:rPr>
              <m:t>α</m:t>
            </m:r>
          </m:e>
          <m:sub>
            <m:r>
              <w:rPr>
                <w:rFonts w:ascii="Cambria Math" w:hAnsi="Cambria Math" w:cs="Arial"/>
              </w:rPr>
              <m:t>1</m:t>
            </m:r>
          </m:sub>
          <m:sup>
            <m:r>
              <w:rPr>
                <w:rFonts w:ascii="Cambria Math" w:hAnsi="Cambria Math" w:cs="Arial"/>
              </w:rPr>
              <m:t>*</m:t>
            </m:r>
          </m:sup>
        </m:sSubSup>
        <m:r>
          <w:rPr>
            <w:rFonts w:ascii="Cambria Math" w:hAnsi="Cambria Math" w:cs="Arial"/>
          </w:rPr>
          <m:t xml:space="preserve"> and</m:t>
        </m:r>
        <m:sSub>
          <m:sSubPr>
            <m:ctrlPr>
              <w:rPr>
                <w:rFonts w:ascii="Cambria Math" w:hAnsi="Cambria Math" w:cs="Arial"/>
                <w:i/>
                <w:iCs/>
              </w:rPr>
            </m:ctrlPr>
          </m:sSubPr>
          <m:e>
            <m:r>
              <w:rPr>
                <w:rFonts w:ascii="Cambria Math" w:hAnsi="Cambria Math" w:cs="Arial"/>
              </w:rPr>
              <m:t xml:space="preserve"> β</m:t>
            </m:r>
          </m:e>
          <m:sub>
            <m:r>
              <w:rPr>
                <w:rFonts w:ascii="Cambria Math" w:hAnsi="Cambria Math" w:cs="Arial"/>
              </w:rPr>
              <m:t>1</m:t>
            </m:r>
          </m:sub>
        </m:sSub>
        <m:r>
          <w:rPr>
            <w:rFonts w:ascii="Cambria Math" w:hAnsi="Cambria Math" w:cs="Arial"/>
          </w:rPr>
          <m:t xml:space="preserve"> </m:t>
        </m:r>
      </m:oMath>
      <w:r w:rsidRPr="007679CE">
        <w:rPr>
          <w:rFonts w:ascii="Arial" w:hAnsi="Arial" w:cs="Arial"/>
        </w:rPr>
        <w:t xml:space="preserve">for X1  </w:t>
      </w:r>
    </w:p>
    <w:p w14:paraId="590DEF0B" w14:textId="394FA0F0" w:rsidR="001E5297" w:rsidRPr="007679CE" w:rsidRDefault="009A0F21">
      <w:pPr>
        <w:rPr>
          <w:rFonts w:ascii="Arial" w:hAnsi="Arial" w:cs="Arial"/>
          <w:b/>
          <w:bCs/>
          <w:i/>
          <w:iCs/>
        </w:rPr>
      </w:pPr>
      <w:r w:rsidRPr="007679CE">
        <w:rPr>
          <w:rFonts w:ascii="Arial" w:hAnsi="Arial" w:cs="Arial"/>
          <w:b/>
          <w:bCs/>
          <w:i/>
          <w:iCs/>
        </w:rPr>
        <w:t xml:space="preserve">Comparison with </w:t>
      </w:r>
      <w:r w:rsidR="00DC3382" w:rsidRPr="007679CE">
        <w:rPr>
          <w:rFonts w:ascii="Arial" w:hAnsi="Arial" w:cs="Arial"/>
          <w:b/>
          <w:bCs/>
          <w:i/>
          <w:iCs/>
        </w:rPr>
        <w:t xml:space="preserve">iCARE-Lit Model </w:t>
      </w:r>
    </w:p>
    <w:p w14:paraId="1F437D34" w14:textId="440D6B69" w:rsidR="00DC3382" w:rsidRPr="007679CE" w:rsidRDefault="00DC3382">
      <w:pPr>
        <w:rPr>
          <w:rFonts w:ascii="Arial" w:hAnsi="Arial" w:cs="Arial"/>
        </w:rPr>
      </w:pPr>
      <w:r w:rsidRPr="007679CE">
        <w:rPr>
          <w:rFonts w:ascii="Arial" w:hAnsi="Arial" w:cs="Arial"/>
        </w:rPr>
        <w:t>The iCARE-Lit model has been developed previously and calibrated in several cohorts</w:t>
      </w:r>
      <w:r w:rsidR="00FF25BC" w:rsidRPr="007679CE">
        <w:rPr>
          <w:rFonts w:ascii="Arial" w:hAnsi="Arial" w:cs="Arial"/>
        </w:rPr>
        <w:t>.</w:t>
      </w:r>
      <w:r w:rsidR="00FF25BC" w:rsidRPr="007679CE">
        <w:rPr>
          <w:rFonts w:ascii="Arial" w:hAnsi="Arial" w:cs="Arial"/>
          <w:vertAlign w:val="superscript"/>
        </w:rPr>
        <w:t>4,5</w:t>
      </w:r>
      <w:r w:rsidRPr="007679CE">
        <w:rPr>
          <w:rFonts w:ascii="Arial" w:hAnsi="Arial" w:cs="Arial"/>
        </w:rPr>
        <w:t xml:space="preserve">The variables for the iCARE-Lit model, predicting risk of </w:t>
      </w:r>
      <w:r w:rsidRPr="007679CE">
        <w:rPr>
          <w:rFonts w:ascii="Arial" w:hAnsi="Arial" w:cs="Arial"/>
          <w:i/>
          <w:iCs/>
        </w:rPr>
        <w:t>in situ</w:t>
      </w:r>
      <w:r w:rsidRPr="007679CE">
        <w:rPr>
          <w:rFonts w:ascii="Arial" w:hAnsi="Arial" w:cs="Arial"/>
        </w:rPr>
        <w:t xml:space="preserve"> or invasive breast cancer among women &lt;50 years of age, are: age at menarche, parity, age at first live birth, height, current BMI, alcohol consumption, oral contraceptive</w:t>
      </w:r>
      <w:r w:rsidR="00E376EE" w:rsidRPr="007679CE">
        <w:rPr>
          <w:rFonts w:ascii="Arial" w:hAnsi="Arial" w:cs="Arial"/>
        </w:rPr>
        <w:t xml:space="preserve"> (OC)</w:t>
      </w:r>
      <w:r w:rsidRPr="007679CE">
        <w:rPr>
          <w:rFonts w:ascii="Arial" w:hAnsi="Arial" w:cs="Arial"/>
        </w:rPr>
        <w:t xml:space="preserve"> use, </w:t>
      </w:r>
      <w:r w:rsidR="005D09E3" w:rsidRPr="007679CE">
        <w:rPr>
          <w:rFonts w:ascii="Arial" w:hAnsi="Arial" w:cs="Arial"/>
        </w:rPr>
        <w:t xml:space="preserve">personal </w:t>
      </w:r>
      <w:r w:rsidRPr="007679CE">
        <w:rPr>
          <w:rFonts w:ascii="Arial" w:hAnsi="Arial" w:cs="Arial"/>
        </w:rPr>
        <w:t>history of benign breast disease, and family history of breast cancer</w:t>
      </w:r>
      <w:r w:rsidR="009A0F21" w:rsidRPr="007679CE">
        <w:rPr>
          <w:rFonts w:ascii="Arial" w:hAnsi="Arial" w:cs="Arial"/>
        </w:rPr>
        <w:t>.</w:t>
      </w:r>
      <w:r w:rsidRPr="007679CE">
        <w:rPr>
          <w:rFonts w:ascii="Arial" w:hAnsi="Arial" w:cs="Arial"/>
        </w:rPr>
        <w:t xml:space="preserve"> </w:t>
      </w:r>
      <w:r w:rsidR="009A0F21" w:rsidRPr="007679CE">
        <w:rPr>
          <w:rFonts w:ascii="Arial" w:hAnsi="Arial" w:cs="Arial"/>
        </w:rPr>
        <w:t>Description of coefficient determination for the model can be found in previous publications</w:t>
      </w:r>
      <w:r w:rsidR="00B725B1" w:rsidRPr="007679CE">
        <w:rPr>
          <w:rFonts w:ascii="Arial" w:hAnsi="Arial" w:cs="Arial"/>
        </w:rPr>
        <w:t xml:space="preserve"> </w:t>
      </w:r>
      <w:r w:rsidR="009A0F21" w:rsidRPr="007679CE">
        <w:rPr>
          <w:rFonts w:ascii="Arial" w:hAnsi="Arial" w:cs="Arial"/>
        </w:rPr>
        <w:t>.</w:t>
      </w:r>
      <w:r w:rsidR="00FF25BC" w:rsidRPr="007679CE">
        <w:rPr>
          <w:rFonts w:ascii="Arial" w:hAnsi="Arial" w:cs="Arial"/>
          <w:vertAlign w:val="superscript"/>
        </w:rPr>
        <w:t>4</w:t>
      </w:r>
      <w:r w:rsidR="009A0F21" w:rsidRPr="007679CE">
        <w:rPr>
          <w:rFonts w:ascii="Arial" w:hAnsi="Arial" w:cs="Arial"/>
        </w:rPr>
        <w:t xml:space="preserve"> </w:t>
      </w:r>
      <w:r w:rsidR="00E376EE" w:rsidRPr="007679CE">
        <w:rPr>
          <w:rFonts w:ascii="Arial" w:hAnsi="Arial" w:cs="Arial"/>
        </w:rPr>
        <w:t xml:space="preserve">Given the lack of OC use data in PBCCG, this variable was not used in the comparison. </w:t>
      </w:r>
      <w:r w:rsidR="009A0F21" w:rsidRPr="007679CE">
        <w:rPr>
          <w:rFonts w:ascii="Arial" w:hAnsi="Arial" w:cs="Arial"/>
        </w:rPr>
        <w:t>To maintain consistency between the calculation of absolute risk in our model vs. using the iCARE-Lit model</w:t>
      </w:r>
      <w:r w:rsidR="00E376EE" w:rsidRPr="007679CE">
        <w:rPr>
          <w:rFonts w:ascii="Arial" w:hAnsi="Arial" w:cs="Arial"/>
        </w:rPr>
        <w:t xml:space="preserve">, </w:t>
      </w:r>
      <w:r w:rsidR="009A0F21" w:rsidRPr="007679CE">
        <w:rPr>
          <w:rFonts w:ascii="Arial" w:hAnsi="Arial" w:cs="Arial"/>
        </w:rPr>
        <w:t xml:space="preserve">and to match with model evaluation in previous publications, we applied age-specific incidence rates from SEER 2016-2020 data (see table below).  </w:t>
      </w:r>
    </w:p>
    <w:tbl>
      <w:tblPr>
        <w:tblStyle w:val="TableGrid"/>
        <w:tblW w:w="0" w:type="auto"/>
        <w:tblLook w:val="04A0" w:firstRow="1" w:lastRow="0" w:firstColumn="1" w:lastColumn="0" w:noHBand="0" w:noVBand="1"/>
      </w:tblPr>
      <w:tblGrid>
        <w:gridCol w:w="1795"/>
        <w:gridCol w:w="4287"/>
      </w:tblGrid>
      <w:tr w:rsidR="00DC3382" w:rsidRPr="007679CE" w14:paraId="76420AC0" w14:textId="77777777" w:rsidTr="00A2027B">
        <w:trPr>
          <w:trHeight w:val="261"/>
        </w:trPr>
        <w:tc>
          <w:tcPr>
            <w:tcW w:w="6082" w:type="dxa"/>
            <w:gridSpan w:val="2"/>
          </w:tcPr>
          <w:p w14:paraId="516DA439" w14:textId="51DE7B6D" w:rsidR="00DC3382" w:rsidRPr="007679CE" w:rsidRDefault="009A0F21" w:rsidP="00E23D88">
            <w:pPr>
              <w:rPr>
                <w:rFonts w:ascii="Arial" w:hAnsi="Arial" w:cs="Arial"/>
              </w:rPr>
            </w:pPr>
            <w:r w:rsidRPr="007679CE">
              <w:rPr>
                <w:rFonts w:ascii="Arial" w:hAnsi="Arial" w:cs="Arial"/>
              </w:rPr>
              <w:t>SEER Age-Specific Incidence Rates (</w:t>
            </w:r>
            <w:r w:rsidR="00DC3382" w:rsidRPr="007679CE">
              <w:rPr>
                <w:rFonts w:ascii="Arial" w:hAnsi="Arial" w:cs="Arial"/>
              </w:rPr>
              <w:t>2016-2020</w:t>
            </w:r>
            <w:proofErr w:type="gramStart"/>
            <w:r w:rsidRPr="007679CE">
              <w:rPr>
                <w:rFonts w:ascii="Arial" w:hAnsi="Arial" w:cs="Arial"/>
              </w:rPr>
              <w:t>)</w:t>
            </w:r>
            <w:r w:rsidR="00DC3382" w:rsidRPr="007679CE">
              <w:rPr>
                <w:rFonts w:ascii="Arial" w:hAnsi="Arial" w:cs="Arial"/>
              </w:rPr>
              <w:t>.</w:t>
            </w:r>
            <w:r w:rsidR="00FF25BC" w:rsidRPr="007679CE">
              <w:rPr>
                <w:rFonts w:ascii="Arial" w:hAnsi="Arial" w:cs="Arial"/>
                <w:vertAlign w:val="superscript"/>
              </w:rPr>
              <w:t>*</w:t>
            </w:r>
            <w:proofErr w:type="gramEnd"/>
          </w:p>
        </w:tc>
      </w:tr>
      <w:tr w:rsidR="00DC3382" w:rsidRPr="007679CE" w14:paraId="5432F0BE" w14:textId="77777777" w:rsidTr="009A0F21">
        <w:trPr>
          <w:trHeight w:val="261"/>
        </w:trPr>
        <w:tc>
          <w:tcPr>
            <w:tcW w:w="1795" w:type="dxa"/>
          </w:tcPr>
          <w:p w14:paraId="44C7F667" w14:textId="0C9D3798" w:rsidR="00DC3382" w:rsidRPr="007679CE" w:rsidRDefault="00DC3382" w:rsidP="00E23D88">
            <w:pPr>
              <w:rPr>
                <w:rFonts w:ascii="Arial" w:hAnsi="Arial" w:cs="Arial"/>
              </w:rPr>
            </w:pPr>
            <w:r w:rsidRPr="007679CE">
              <w:rPr>
                <w:rFonts w:ascii="Arial" w:hAnsi="Arial" w:cs="Arial"/>
              </w:rPr>
              <w:t>Age group</w:t>
            </w:r>
          </w:p>
        </w:tc>
        <w:tc>
          <w:tcPr>
            <w:tcW w:w="4287" w:type="dxa"/>
          </w:tcPr>
          <w:p w14:paraId="4644B079" w14:textId="52590412" w:rsidR="00DC3382" w:rsidRPr="007679CE" w:rsidRDefault="009A0F21" w:rsidP="00E23D88">
            <w:pPr>
              <w:rPr>
                <w:rFonts w:ascii="Arial" w:hAnsi="Arial" w:cs="Arial"/>
              </w:rPr>
            </w:pPr>
            <w:r w:rsidRPr="007679CE">
              <w:rPr>
                <w:rFonts w:ascii="Arial" w:hAnsi="Arial" w:cs="Arial"/>
              </w:rPr>
              <w:t>Incidence Rate (IR) per 100,000 persons</w:t>
            </w:r>
          </w:p>
        </w:tc>
      </w:tr>
      <w:tr w:rsidR="00DC3382" w:rsidRPr="007679CE" w14:paraId="0633E3F9" w14:textId="77777777" w:rsidTr="009A0F21">
        <w:trPr>
          <w:trHeight w:val="247"/>
        </w:trPr>
        <w:tc>
          <w:tcPr>
            <w:tcW w:w="1795" w:type="dxa"/>
          </w:tcPr>
          <w:p w14:paraId="414A7A3F" w14:textId="6D36849F" w:rsidR="00DC3382" w:rsidRPr="007679CE" w:rsidRDefault="00DC3382" w:rsidP="00E23D88">
            <w:pPr>
              <w:rPr>
                <w:rFonts w:ascii="Arial" w:hAnsi="Arial" w:cs="Arial"/>
              </w:rPr>
            </w:pPr>
            <w:r w:rsidRPr="007679CE">
              <w:rPr>
                <w:rFonts w:ascii="Arial" w:hAnsi="Arial" w:cs="Arial"/>
              </w:rPr>
              <w:t>15-19</w:t>
            </w:r>
          </w:p>
        </w:tc>
        <w:tc>
          <w:tcPr>
            <w:tcW w:w="4287" w:type="dxa"/>
          </w:tcPr>
          <w:p w14:paraId="614098D4" w14:textId="00FC583A" w:rsidR="00DC3382" w:rsidRPr="007679CE" w:rsidRDefault="00DC3382" w:rsidP="00E23D88">
            <w:pPr>
              <w:rPr>
                <w:rFonts w:ascii="Arial" w:hAnsi="Arial" w:cs="Arial"/>
              </w:rPr>
            </w:pPr>
            <w:r w:rsidRPr="007679CE">
              <w:rPr>
                <w:rFonts w:ascii="Arial" w:hAnsi="Arial" w:cs="Arial"/>
              </w:rPr>
              <w:t>0.2</w:t>
            </w:r>
          </w:p>
        </w:tc>
      </w:tr>
      <w:tr w:rsidR="00DC3382" w:rsidRPr="007679CE" w14:paraId="10B7595D" w14:textId="77777777" w:rsidTr="009A0F21">
        <w:trPr>
          <w:trHeight w:val="261"/>
        </w:trPr>
        <w:tc>
          <w:tcPr>
            <w:tcW w:w="1795" w:type="dxa"/>
          </w:tcPr>
          <w:p w14:paraId="0FBD6A9A" w14:textId="2840C1B0" w:rsidR="00DC3382" w:rsidRPr="007679CE" w:rsidRDefault="00DC3382" w:rsidP="00E23D88">
            <w:pPr>
              <w:rPr>
                <w:rFonts w:ascii="Arial" w:hAnsi="Arial" w:cs="Arial"/>
              </w:rPr>
            </w:pPr>
            <w:r w:rsidRPr="007679CE">
              <w:rPr>
                <w:rFonts w:ascii="Arial" w:hAnsi="Arial" w:cs="Arial"/>
              </w:rPr>
              <w:t>20-24</w:t>
            </w:r>
          </w:p>
        </w:tc>
        <w:tc>
          <w:tcPr>
            <w:tcW w:w="4287" w:type="dxa"/>
          </w:tcPr>
          <w:p w14:paraId="70AF50B0" w14:textId="4D785154" w:rsidR="00DC3382" w:rsidRPr="007679CE" w:rsidRDefault="009A0F21" w:rsidP="00E23D88">
            <w:pPr>
              <w:rPr>
                <w:rFonts w:ascii="Arial" w:hAnsi="Arial" w:cs="Arial"/>
              </w:rPr>
            </w:pPr>
            <w:r w:rsidRPr="007679CE">
              <w:rPr>
                <w:rFonts w:ascii="Arial" w:hAnsi="Arial" w:cs="Arial"/>
              </w:rPr>
              <w:t>1.7</w:t>
            </w:r>
          </w:p>
        </w:tc>
      </w:tr>
      <w:tr w:rsidR="00DC3382" w:rsidRPr="007679CE" w14:paraId="1AB1B88E" w14:textId="77777777" w:rsidTr="009A0F21">
        <w:trPr>
          <w:trHeight w:val="247"/>
        </w:trPr>
        <w:tc>
          <w:tcPr>
            <w:tcW w:w="1795" w:type="dxa"/>
          </w:tcPr>
          <w:p w14:paraId="64EC0E23" w14:textId="399E7F79" w:rsidR="00DC3382" w:rsidRPr="007679CE" w:rsidRDefault="00DC3382" w:rsidP="00E23D88">
            <w:pPr>
              <w:rPr>
                <w:rFonts w:ascii="Arial" w:hAnsi="Arial" w:cs="Arial"/>
              </w:rPr>
            </w:pPr>
            <w:r w:rsidRPr="007679CE">
              <w:rPr>
                <w:rFonts w:ascii="Arial" w:hAnsi="Arial" w:cs="Arial"/>
              </w:rPr>
              <w:t>25-29</w:t>
            </w:r>
          </w:p>
        </w:tc>
        <w:tc>
          <w:tcPr>
            <w:tcW w:w="4287" w:type="dxa"/>
          </w:tcPr>
          <w:p w14:paraId="4EE74E3F" w14:textId="70D6AF47" w:rsidR="00DC3382" w:rsidRPr="007679CE" w:rsidRDefault="009A0F21" w:rsidP="00E23D88">
            <w:pPr>
              <w:rPr>
                <w:rFonts w:ascii="Arial" w:hAnsi="Arial" w:cs="Arial"/>
              </w:rPr>
            </w:pPr>
            <w:r w:rsidRPr="007679CE">
              <w:rPr>
                <w:rFonts w:ascii="Arial" w:hAnsi="Arial" w:cs="Arial"/>
              </w:rPr>
              <w:t>10.5</w:t>
            </w:r>
          </w:p>
        </w:tc>
      </w:tr>
      <w:tr w:rsidR="00DC3382" w:rsidRPr="007679CE" w14:paraId="6B504FB6" w14:textId="77777777" w:rsidTr="009A0F21">
        <w:trPr>
          <w:trHeight w:val="261"/>
        </w:trPr>
        <w:tc>
          <w:tcPr>
            <w:tcW w:w="1795" w:type="dxa"/>
          </w:tcPr>
          <w:p w14:paraId="2F01E81E" w14:textId="64F1E4B8" w:rsidR="00DC3382" w:rsidRPr="007679CE" w:rsidRDefault="00DC3382" w:rsidP="00E23D88">
            <w:pPr>
              <w:rPr>
                <w:rFonts w:ascii="Arial" w:hAnsi="Arial" w:cs="Arial"/>
              </w:rPr>
            </w:pPr>
            <w:r w:rsidRPr="007679CE">
              <w:rPr>
                <w:rFonts w:ascii="Arial" w:hAnsi="Arial" w:cs="Arial"/>
              </w:rPr>
              <w:t>30-34</w:t>
            </w:r>
          </w:p>
        </w:tc>
        <w:tc>
          <w:tcPr>
            <w:tcW w:w="4287" w:type="dxa"/>
          </w:tcPr>
          <w:p w14:paraId="77329A24" w14:textId="0EE4CDAD" w:rsidR="00DC3382" w:rsidRPr="007679CE" w:rsidRDefault="009A0F21" w:rsidP="00E23D88">
            <w:pPr>
              <w:rPr>
                <w:rFonts w:ascii="Arial" w:hAnsi="Arial" w:cs="Arial"/>
              </w:rPr>
            </w:pPr>
            <w:r w:rsidRPr="007679CE">
              <w:rPr>
                <w:rFonts w:ascii="Arial" w:hAnsi="Arial" w:cs="Arial"/>
              </w:rPr>
              <w:t>31.3</w:t>
            </w:r>
          </w:p>
        </w:tc>
      </w:tr>
      <w:tr w:rsidR="00DC3382" w:rsidRPr="007679CE" w14:paraId="12BB3F2F" w14:textId="77777777" w:rsidTr="009A0F21">
        <w:trPr>
          <w:trHeight w:val="247"/>
        </w:trPr>
        <w:tc>
          <w:tcPr>
            <w:tcW w:w="1795" w:type="dxa"/>
          </w:tcPr>
          <w:p w14:paraId="030EE40B" w14:textId="7482B02F" w:rsidR="00DC3382" w:rsidRPr="007679CE" w:rsidRDefault="00DC3382" w:rsidP="00E23D88">
            <w:pPr>
              <w:rPr>
                <w:rFonts w:ascii="Arial" w:hAnsi="Arial" w:cs="Arial"/>
              </w:rPr>
            </w:pPr>
            <w:r w:rsidRPr="007679CE">
              <w:rPr>
                <w:rFonts w:ascii="Arial" w:hAnsi="Arial" w:cs="Arial"/>
              </w:rPr>
              <w:t>35-39</w:t>
            </w:r>
          </w:p>
        </w:tc>
        <w:tc>
          <w:tcPr>
            <w:tcW w:w="4287" w:type="dxa"/>
          </w:tcPr>
          <w:p w14:paraId="6D4F3543" w14:textId="76A9EA4B" w:rsidR="00DC3382" w:rsidRPr="007679CE" w:rsidRDefault="009A0F21" w:rsidP="00E23D88">
            <w:pPr>
              <w:rPr>
                <w:rFonts w:ascii="Arial" w:hAnsi="Arial" w:cs="Arial"/>
              </w:rPr>
            </w:pPr>
            <w:r w:rsidRPr="007679CE">
              <w:rPr>
                <w:rFonts w:ascii="Arial" w:hAnsi="Arial" w:cs="Arial"/>
              </w:rPr>
              <w:t>65.1</w:t>
            </w:r>
          </w:p>
        </w:tc>
      </w:tr>
      <w:tr w:rsidR="00DC3382" w:rsidRPr="007679CE" w14:paraId="5AF3022E" w14:textId="77777777" w:rsidTr="009A0F21">
        <w:trPr>
          <w:trHeight w:val="261"/>
        </w:trPr>
        <w:tc>
          <w:tcPr>
            <w:tcW w:w="1795" w:type="dxa"/>
          </w:tcPr>
          <w:p w14:paraId="3473B196" w14:textId="1E3A2481" w:rsidR="00DC3382" w:rsidRPr="007679CE" w:rsidRDefault="00DC3382" w:rsidP="00E23D88">
            <w:pPr>
              <w:rPr>
                <w:rFonts w:ascii="Arial" w:hAnsi="Arial" w:cs="Arial"/>
              </w:rPr>
            </w:pPr>
            <w:r w:rsidRPr="007679CE">
              <w:rPr>
                <w:rFonts w:ascii="Arial" w:hAnsi="Arial" w:cs="Arial"/>
              </w:rPr>
              <w:t>40-44</w:t>
            </w:r>
          </w:p>
        </w:tc>
        <w:tc>
          <w:tcPr>
            <w:tcW w:w="4287" w:type="dxa"/>
          </w:tcPr>
          <w:p w14:paraId="55709438" w14:textId="642EABC3" w:rsidR="00DC3382" w:rsidRPr="007679CE" w:rsidRDefault="009A0F21" w:rsidP="00E23D88">
            <w:pPr>
              <w:rPr>
                <w:rFonts w:ascii="Arial" w:hAnsi="Arial" w:cs="Arial"/>
              </w:rPr>
            </w:pPr>
            <w:r w:rsidRPr="007679CE">
              <w:rPr>
                <w:rFonts w:ascii="Arial" w:hAnsi="Arial" w:cs="Arial"/>
              </w:rPr>
              <w:t>132.7</w:t>
            </w:r>
          </w:p>
        </w:tc>
      </w:tr>
      <w:tr w:rsidR="00DC3382" w:rsidRPr="007679CE" w14:paraId="46818CA2" w14:textId="77777777" w:rsidTr="009A0F21">
        <w:trPr>
          <w:trHeight w:val="261"/>
        </w:trPr>
        <w:tc>
          <w:tcPr>
            <w:tcW w:w="1795" w:type="dxa"/>
          </w:tcPr>
          <w:p w14:paraId="6294598A" w14:textId="56A5481F" w:rsidR="00DC3382" w:rsidRPr="007679CE" w:rsidRDefault="00DC3382" w:rsidP="00E23D88">
            <w:pPr>
              <w:rPr>
                <w:rFonts w:ascii="Arial" w:hAnsi="Arial" w:cs="Arial"/>
              </w:rPr>
            </w:pPr>
            <w:r w:rsidRPr="007679CE">
              <w:rPr>
                <w:rFonts w:ascii="Arial" w:hAnsi="Arial" w:cs="Arial"/>
              </w:rPr>
              <w:t>45-49</w:t>
            </w:r>
          </w:p>
        </w:tc>
        <w:tc>
          <w:tcPr>
            <w:tcW w:w="4287" w:type="dxa"/>
          </w:tcPr>
          <w:p w14:paraId="703BF060" w14:textId="7C6C0AD5" w:rsidR="00DC3382" w:rsidRPr="007679CE" w:rsidRDefault="009A0F21" w:rsidP="00E23D88">
            <w:pPr>
              <w:rPr>
                <w:rFonts w:ascii="Arial" w:hAnsi="Arial" w:cs="Arial"/>
              </w:rPr>
            </w:pPr>
            <w:r w:rsidRPr="007679CE">
              <w:rPr>
                <w:rFonts w:ascii="Arial" w:hAnsi="Arial" w:cs="Arial"/>
              </w:rPr>
              <w:t>200.6</w:t>
            </w:r>
          </w:p>
        </w:tc>
      </w:tr>
      <w:tr w:rsidR="00DC3382" w:rsidRPr="007679CE" w14:paraId="0B350BE2" w14:textId="77777777" w:rsidTr="009A0F21">
        <w:trPr>
          <w:trHeight w:val="261"/>
        </w:trPr>
        <w:tc>
          <w:tcPr>
            <w:tcW w:w="1795" w:type="dxa"/>
          </w:tcPr>
          <w:p w14:paraId="6DBC3371" w14:textId="36C9054B" w:rsidR="00DC3382" w:rsidRPr="007679CE" w:rsidRDefault="00DC3382" w:rsidP="00E23D88">
            <w:pPr>
              <w:rPr>
                <w:rFonts w:ascii="Arial" w:hAnsi="Arial" w:cs="Arial"/>
              </w:rPr>
            </w:pPr>
            <w:r w:rsidRPr="007679CE">
              <w:rPr>
                <w:rFonts w:ascii="Arial" w:hAnsi="Arial" w:cs="Arial"/>
              </w:rPr>
              <w:t>50-54</w:t>
            </w:r>
          </w:p>
        </w:tc>
        <w:tc>
          <w:tcPr>
            <w:tcW w:w="4287" w:type="dxa"/>
          </w:tcPr>
          <w:p w14:paraId="680E6491" w14:textId="1996A5F0" w:rsidR="00DC3382" w:rsidRPr="007679CE" w:rsidRDefault="009A0F21" w:rsidP="00E23D88">
            <w:pPr>
              <w:rPr>
                <w:rFonts w:ascii="Arial" w:hAnsi="Arial" w:cs="Arial"/>
              </w:rPr>
            </w:pPr>
            <w:r w:rsidRPr="007679CE">
              <w:rPr>
                <w:rFonts w:ascii="Arial" w:hAnsi="Arial" w:cs="Arial"/>
              </w:rPr>
              <w:t>236.5</w:t>
            </w:r>
          </w:p>
        </w:tc>
      </w:tr>
      <w:tr w:rsidR="00DC3382" w:rsidRPr="007679CE" w14:paraId="225B830D" w14:textId="77777777" w:rsidTr="009A0F21">
        <w:trPr>
          <w:trHeight w:val="261"/>
        </w:trPr>
        <w:tc>
          <w:tcPr>
            <w:tcW w:w="1795" w:type="dxa"/>
          </w:tcPr>
          <w:p w14:paraId="4D5CC5E2" w14:textId="236A9DC3" w:rsidR="00DC3382" w:rsidRPr="007679CE" w:rsidRDefault="00DC3382" w:rsidP="00E23D88">
            <w:pPr>
              <w:rPr>
                <w:rFonts w:ascii="Arial" w:hAnsi="Arial" w:cs="Arial"/>
              </w:rPr>
            </w:pPr>
            <w:r w:rsidRPr="007679CE">
              <w:rPr>
                <w:rFonts w:ascii="Arial" w:hAnsi="Arial" w:cs="Arial"/>
              </w:rPr>
              <w:t>55-59</w:t>
            </w:r>
          </w:p>
        </w:tc>
        <w:tc>
          <w:tcPr>
            <w:tcW w:w="4287" w:type="dxa"/>
          </w:tcPr>
          <w:p w14:paraId="7B2054A0" w14:textId="11398D2B" w:rsidR="00DC3382" w:rsidRPr="007679CE" w:rsidRDefault="009A0F21" w:rsidP="00E23D88">
            <w:pPr>
              <w:rPr>
                <w:rFonts w:ascii="Arial" w:hAnsi="Arial" w:cs="Arial"/>
              </w:rPr>
            </w:pPr>
            <w:r w:rsidRPr="007679CE">
              <w:rPr>
                <w:rFonts w:ascii="Arial" w:hAnsi="Arial" w:cs="Arial"/>
              </w:rPr>
              <w:t>271</w:t>
            </w:r>
          </w:p>
        </w:tc>
      </w:tr>
      <w:tr w:rsidR="009A0F21" w:rsidRPr="007679CE" w14:paraId="774DF8F4" w14:textId="77777777" w:rsidTr="00514E5F">
        <w:trPr>
          <w:trHeight w:val="261"/>
        </w:trPr>
        <w:tc>
          <w:tcPr>
            <w:tcW w:w="6082" w:type="dxa"/>
            <w:gridSpan w:val="2"/>
          </w:tcPr>
          <w:p w14:paraId="0037CA06" w14:textId="5F31EE18" w:rsidR="009A0F21" w:rsidRPr="007679CE" w:rsidRDefault="00FF25BC" w:rsidP="00E23D88">
            <w:pPr>
              <w:rPr>
                <w:rFonts w:ascii="Arial" w:hAnsi="Arial" w:cs="Arial"/>
              </w:rPr>
            </w:pPr>
            <w:r w:rsidRPr="007679CE">
              <w:rPr>
                <w:rFonts w:ascii="Arial" w:hAnsi="Arial" w:cs="Arial"/>
              </w:rPr>
              <w:t>*</w:t>
            </w:r>
            <w:r w:rsidR="009A0F21" w:rsidRPr="007679CE">
              <w:rPr>
                <w:rFonts w:ascii="Arial" w:hAnsi="Arial" w:cs="Arial"/>
              </w:rPr>
              <w:t xml:space="preserve"> Provided as one-year IR by SEER </w:t>
            </w:r>
          </w:p>
        </w:tc>
      </w:tr>
    </w:tbl>
    <w:p w14:paraId="204CFE64" w14:textId="77777777" w:rsidR="00DC3382" w:rsidRPr="007679CE" w:rsidRDefault="00DC3382">
      <w:pPr>
        <w:rPr>
          <w:rFonts w:ascii="Arial" w:hAnsi="Arial" w:cs="Arial"/>
        </w:rPr>
      </w:pPr>
    </w:p>
    <w:p w14:paraId="108A5A63" w14:textId="3ACD5B69" w:rsidR="00E376EE" w:rsidRPr="007679CE" w:rsidRDefault="00D06C97">
      <w:pPr>
        <w:rPr>
          <w:rFonts w:ascii="Arial" w:hAnsi="Arial" w:cs="Arial"/>
        </w:rPr>
      </w:pPr>
      <w:r w:rsidRPr="007679CE">
        <w:rPr>
          <w:rFonts w:ascii="Arial" w:hAnsi="Arial" w:cs="Arial"/>
        </w:rPr>
        <w:t>References</w:t>
      </w:r>
      <w:r w:rsidR="00B725B1" w:rsidRPr="007679CE">
        <w:rPr>
          <w:rFonts w:ascii="Arial" w:hAnsi="Arial" w:cs="Arial"/>
        </w:rPr>
        <w:t>:</w:t>
      </w:r>
    </w:p>
    <w:p w14:paraId="1F901695" w14:textId="100B7723" w:rsidR="00FF25BC" w:rsidRPr="007679CE" w:rsidRDefault="003C0BE3" w:rsidP="003C0BE3">
      <w:pPr>
        <w:pStyle w:val="ListParagraph"/>
        <w:numPr>
          <w:ilvl w:val="0"/>
          <w:numId w:val="2"/>
        </w:numPr>
        <w:rPr>
          <w:rFonts w:ascii="Arial" w:hAnsi="Arial" w:cs="Arial"/>
        </w:rPr>
      </w:pPr>
      <w:r w:rsidRPr="007679CE">
        <w:rPr>
          <w:rFonts w:ascii="Arial" w:hAnsi="Arial" w:cs="Arial"/>
        </w:rPr>
        <w:t xml:space="preserve">Nichols HB, Schoemaker MJ, Wright LB, et al. The Premenopausal Breast Cancer Collaboration: A Pooling Project of Studies Participating in the National Cancer Institute </w:t>
      </w:r>
      <w:r w:rsidRPr="007679CE">
        <w:rPr>
          <w:rFonts w:ascii="Arial" w:hAnsi="Arial" w:cs="Arial"/>
        </w:rPr>
        <w:lastRenderedPageBreak/>
        <w:t xml:space="preserve">Cohort Consortium. Cancer Epidemiol Biomarkers Prev. 2017;26(9):1360-1369. </w:t>
      </w:r>
      <w:proofErr w:type="gramStart"/>
      <w:r w:rsidRPr="007679CE">
        <w:rPr>
          <w:rFonts w:ascii="Arial" w:hAnsi="Arial" w:cs="Arial"/>
        </w:rPr>
        <w:t>doi:10.1158/1055-9965.EPI</w:t>
      </w:r>
      <w:proofErr w:type="gramEnd"/>
      <w:r w:rsidRPr="007679CE">
        <w:rPr>
          <w:rFonts w:ascii="Arial" w:hAnsi="Arial" w:cs="Arial"/>
        </w:rPr>
        <w:t>-17-0246</w:t>
      </w:r>
    </w:p>
    <w:p w14:paraId="523DE83F" w14:textId="77777777" w:rsidR="00D06C97" w:rsidRPr="007679CE" w:rsidRDefault="00D06C97" w:rsidP="00D06C97">
      <w:pPr>
        <w:pStyle w:val="ListParagraph"/>
        <w:numPr>
          <w:ilvl w:val="0"/>
          <w:numId w:val="2"/>
        </w:numPr>
        <w:rPr>
          <w:rFonts w:ascii="Arial" w:hAnsi="Arial" w:cs="Arial"/>
        </w:rPr>
      </w:pPr>
      <w:r w:rsidRPr="007679CE">
        <w:rPr>
          <w:rFonts w:ascii="Arial" w:hAnsi="Arial" w:cs="Arial"/>
        </w:rPr>
        <w:t xml:space="preserve">Schoemaker MJ, Nichols HB, Wright LB, et al. Association of Body Mass Index and Age </w:t>
      </w:r>
      <w:proofErr w:type="gramStart"/>
      <w:r w:rsidRPr="007679CE">
        <w:rPr>
          <w:rFonts w:ascii="Arial" w:hAnsi="Arial" w:cs="Arial"/>
        </w:rPr>
        <w:t>With</w:t>
      </w:r>
      <w:proofErr w:type="gramEnd"/>
      <w:r w:rsidRPr="007679CE">
        <w:rPr>
          <w:rFonts w:ascii="Arial" w:hAnsi="Arial" w:cs="Arial"/>
        </w:rPr>
        <w:t xml:space="preserve"> Subsequent Breast Cancer Risk in Premenopausal Women. </w:t>
      </w:r>
      <w:r w:rsidRPr="007679CE">
        <w:rPr>
          <w:rFonts w:ascii="Arial" w:hAnsi="Arial" w:cs="Arial"/>
          <w:i/>
          <w:iCs/>
        </w:rPr>
        <w:t>JAMA Oncol</w:t>
      </w:r>
      <w:r w:rsidRPr="007679CE">
        <w:rPr>
          <w:rFonts w:ascii="Arial" w:hAnsi="Arial" w:cs="Arial"/>
        </w:rPr>
        <w:t>. 2018;4(11</w:t>
      </w:r>
      <w:proofErr w:type="gramStart"/>
      <w:r w:rsidRPr="007679CE">
        <w:rPr>
          <w:rFonts w:ascii="Arial" w:hAnsi="Arial" w:cs="Arial"/>
        </w:rPr>
        <w:t>):e</w:t>
      </w:r>
      <w:proofErr w:type="gramEnd"/>
      <w:r w:rsidRPr="007679CE">
        <w:rPr>
          <w:rFonts w:ascii="Arial" w:hAnsi="Arial" w:cs="Arial"/>
        </w:rPr>
        <w:t>181771. doi:10.1001/jamaoncol.2018.1771</w:t>
      </w:r>
    </w:p>
    <w:p w14:paraId="648D5BE1" w14:textId="77777777" w:rsidR="00D06C97" w:rsidRPr="007679CE" w:rsidRDefault="00FF25BC" w:rsidP="00D06C97">
      <w:pPr>
        <w:pStyle w:val="ListParagraph"/>
        <w:numPr>
          <w:ilvl w:val="0"/>
          <w:numId w:val="2"/>
        </w:numPr>
        <w:rPr>
          <w:rFonts w:ascii="Arial" w:hAnsi="Arial" w:cs="Arial"/>
        </w:rPr>
      </w:pPr>
      <w:r w:rsidRPr="007679CE">
        <w:rPr>
          <w:rFonts w:ascii="Arial" w:hAnsi="Arial" w:cs="Arial"/>
        </w:rPr>
        <w:t>Kundu P, Tang R, Chatterjee N. Generalized meta-analysis for multiple regression models across studies with disparate covariate information. </w:t>
      </w:r>
      <w:proofErr w:type="spellStart"/>
      <w:r w:rsidRPr="007679CE">
        <w:rPr>
          <w:rFonts w:ascii="Arial" w:hAnsi="Arial" w:cs="Arial"/>
          <w:i/>
          <w:iCs/>
        </w:rPr>
        <w:t>Biometrika</w:t>
      </w:r>
      <w:proofErr w:type="spellEnd"/>
      <w:r w:rsidRPr="007679CE">
        <w:rPr>
          <w:rFonts w:ascii="Arial" w:hAnsi="Arial" w:cs="Arial"/>
        </w:rPr>
        <w:t>. 2019;106(3):567-585. doi:10.1093/</w:t>
      </w:r>
      <w:proofErr w:type="spellStart"/>
      <w:r w:rsidRPr="007679CE">
        <w:rPr>
          <w:rFonts w:ascii="Arial" w:hAnsi="Arial" w:cs="Arial"/>
        </w:rPr>
        <w:t>biomet</w:t>
      </w:r>
      <w:proofErr w:type="spellEnd"/>
      <w:r w:rsidRPr="007679CE">
        <w:rPr>
          <w:rFonts w:ascii="Arial" w:hAnsi="Arial" w:cs="Arial"/>
        </w:rPr>
        <w:t>/asz030</w:t>
      </w:r>
    </w:p>
    <w:p w14:paraId="40975B6E" w14:textId="77777777" w:rsidR="00D06C97" w:rsidRPr="007679CE" w:rsidRDefault="00B725B1" w:rsidP="00D06C97">
      <w:pPr>
        <w:pStyle w:val="ListParagraph"/>
        <w:numPr>
          <w:ilvl w:val="0"/>
          <w:numId w:val="2"/>
        </w:numPr>
        <w:rPr>
          <w:rFonts w:ascii="Arial" w:hAnsi="Arial" w:cs="Arial"/>
        </w:rPr>
      </w:pPr>
      <w:r w:rsidRPr="007679CE">
        <w:rPr>
          <w:rFonts w:ascii="Arial" w:hAnsi="Arial" w:cs="Arial"/>
        </w:rPr>
        <w:t>Garcia-</w:t>
      </w:r>
      <w:proofErr w:type="spellStart"/>
      <w:r w:rsidRPr="007679CE">
        <w:rPr>
          <w:rFonts w:ascii="Arial" w:hAnsi="Arial" w:cs="Arial"/>
        </w:rPr>
        <w:t>Closas</w:t>
      </w:r>
      <w:proofErr w:type="spellEnd"/>
      <w:r w:rsidRPr="007679CE">
        <w:rPr>
          <w:rFonts w:ascii="Arial" w:hAnsi="Arial" w:cs="Arial"/>
        </w:rPr>
        <w:t xml:space="preserve"> M, </w:t>
      </w:r>
      <w:proofErr w:type="spellStart"/>
      <w:r w:rsidRPr="007679CE">
        <w:rPr>
          <w:rFonts w:ascii="Arial" w:hAnsi="Arial" w:cs="Arial"/>
        </w:rPr>
        <w:t>Gunsoy</w:t>
      </w:r>
      <w:proofErr w:type="spellEnd"/>
      <w:r w:rsidRPr="007679CE">
        <w:rPr>
          <w:rFonts w:ascii="Arial" w:hAnsi="Arial" w:cs="Arial"/>
        </w:rPr>
        <w:t xml:space="preserve"> NB, Chatterjee N. Combined Associations of Genetic and Environmental Risk Factors: Implications for Prevention of Breast Cancer. J Natl Cancer Inst. 2014;106(11</w:t>
      </w:r>
      <w:proofErr w:type="gramStart"/>
      <w:r w:rsidRPr="007679CE">
        <w:rPr>
          <w:rFonts w:ascii="Arial" w:hAnsi="Arial" w:cs="Arial"/>
        </w:rPr>
        <w:t>):dju</w:t>
      </w:r>
      <w:proofErr w:type="gramEnd"/>
      <w:r w:rsidRPr="007679CE">
        <w:rPr>
          <w:rFonts w:ascii="Arial" w:hAnsi="Arial" w:cs="Arial"/>
        </w:rPr>
        <w:t>305. doi:10.1093/</w:t>
      </w:r>
      <w:proofErr w:type="spellStart"/>
      <w:r w:rsidRPr="007679CE">
        <w:rPr>
          <w:rFonts w:ascii="Arial" w:hAnsi="Arial" w:cs="Arial"/>
        </w:rPr>
        <w:t>jnci</w:t>
      </w:r>
      <w:proofErr w:type="spellEnd"/>
      <w:r w:rsidRPr="007679CE">
        <w:rPr>
          <w:rFonts w:ascii="Arial" w:hAnsi="Arial" w:cs="Arial"/>
        </w:rPr>
        <w:t>/dju305</w:t>
      </w:r>
    </w:p>
    <w:p w14:paraId="349546B5" w14:textId="66861318" w:rsidR="00B725B1" w:rsidRPr="007679CE" w:rsidRDefault="00B725B1" w:rsidP="00D06C97">
      <w:pPr>
        <w:pStyle w:val="ListParagraph"/>
        <w:numPr>
          <w:ilvl w:val="0"/>
          <w:numId w:val="2"/>
        </w:numPr>
        <w:rPr>
          <w:rFonts w:ascii="Arial" w:hAnsi="Arial" w:cs="Arial"/>
        </w:rPr>
      </w:pPr>
      <w:r w:rsidRPr="007679CE">
        <w:rPr>
          <w:rFonts w:ascii="Arial" w:hAnsi="Arial" w:cs="Arial"/>
        </w:rPr>
        <w:t xml:space="preserve">Pal Choudhury P, Wilcox AN, Brook MN, et al. Comparative Validation of Breast Cancer Risk Prediction Models and Projections for Future Risk Stratification. </w:t>
      </w:r>
      <w:r w:rsidRPr="007679CE">
        <w:rPr>
          <w:rFonts w:ascii="Arial" w:hAnsi="Arial" w:cs="Arial"/>
          <w:i/>
          <w:iCs/>
        </w:rPr>
        <w:t>J Natl Cancer Inst</w:t>
      </w:r>
      <w:r w:rsidRPr="007679CE">
        <w:rPr>
          <w:rFonts w:ascii="Arial" w:hAnsi="Arial" w:cs="Arial"/>
        </w:rPr>
        <w:t>. 2019;112(3):278-285. doi:10.1093/</w:t>
      </w:r>
      <w:proofErr w:type="spellStart"/>
      <w:r w:rsidRPr="007679CE">
        <w:rPr>
          <w:rFonts w:ascii="Arial" w:hAnsi="Arial" w:cs="Arial"/>
        </w:rPr>
        <w:t>jnci</w:t>
      </w:r>
      <w:proofErr w:type="spellEnd"/>
      <w:r w:rsidRPr="007679CE">
        <w:rPr>
          <w:rFonts w:ascii="Arial" w:hAnsi="Arial" w:cs="Arial"/>
        </w:rPr>
        <w:t>/djz113</w:t>
      </w:r>
    </w:p>
    <w:sectPr w:rsidR="00B725B1" w:rsidRPr="007679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B4D12"/>
    <w:multiLevelType w:val="hybridMultilevel"/>
    <w:tmpl w:val="3328D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DC045A"/>
    <w:multiLevelType w:val="hybridMultilevel"/>
    <w:tmpl w:val="60667C5A"/>
    <w:lvl w:ilvl="0" w:tplc="5E1E15B0">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802707">
    <w:abstractNumId w:val="1"/>
  </w:num>
  <w:num w:numId="2" w16cid:durableId="1067726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297"/>
    <w:rsid w:val="000067D1"/>
    <w:rsid w:val="000264C4"/>
    <w:rsid w:val="000B7B9A"/>
    <w:rsid w:val="000D7938"/>
    <w:rsid w:val="000E41A0"/>
    <w:rsid w:val="0012542B"/>
    <w:rsid w:val="00154256"/>
    <w:rsid w:val="00185057"/>
    <w:rsid w:val="001E5297"/>
    <w:rsid w:val="001F749F"/>
    <w:rsid w:val="00246B1C"/>
    <w:rsid w:val="002504CF"/>
    <w:rsid w:val="00285BF1"/>
    <w:rsid w:val="00292897"/>
    <w:rsid w:val="00332F16"/>
    <w:rsid w:val="00365D1B"/>
    <w:rsid w:val="00396FC5"/>
    <w:rsid w:val="003A52A5"/>
    <w:rsid w:val="003C0BE3"/>
    <w:rsid w:val="003C579F"/>
    <w:rsid w:val="003E2FFB"/>
    <w:rsid w:val="003F468A"/>
    <w:rsid w:val="00452C1E"/>
    <w:rsid w:val="004B25B2"/>
    <w:rsid w:val="004D63D2"/>
    <w:rsid w:val="004E2330"/>
    <w:rsid w:val="00510E61"/>
    <w:rsid w:val="00513307"/>
    <w:rsid w:val="00542F18"/>
    <w:rsid w:val="005627E3"/>
    <w:rsid w:val="00590B8C"/>
    <w:rsid w:val="005929FF"/>
    <w:rsid w:val="005C14F1"/>
    <w:rsid w:val="005D09E3"/>
    <w:rsid w:val="00612A34"/>
    <w:rsid w:val="00651B6F"/>
    <w:rsid w:val="0065346B"/>
    <w:rsid w:val="006758D7"/>
    <w:rsid w:val="006A60FA"/>
    <w:rsid w:val="006C682E"/>
    <w:rsid w:val="006E3B66"/>
    <w:rsid w:val="0071487A"/>
    <w:rsid w:val="007227F5"/>
    <w:rsid w:val="007679CE"/>
    <w:rsid w:val="007A2877"/>
    <w:rsid w:val="007A609A"/>
    <w:rsid w:val="007B1E05"/>
    <w:rsid w:val="007E3447"/>
    <w:rsid w:val="00860CD6"/>
    <w:rsid w:val="0086586C"/>
    <w:rsid w:val="00870C05"/>
    <w:rsid w:val="008B0C3C"/>
    <w:rsid w:val="00960B3B"/>
    <w:rsid w:val="00962ED0"/>
    <w:rsid w:val="00974FDC"/>
    <w:rsid w:val="009A0F21"/>
    <w:rsid w:val="009A3476"/>
    <w:rsid w:val="009B2911"/>
    <w:rsid w:val="00A22780"/>
    <w:rsid w:val="00AA2455"/>
    <w:rsid w:val="00B60056"/>
    <w:rsid w:val="00B713F5"/>
    <w:rsid w:val="00B725B1"/>
    <w:rsid w:val="00B846A5"/>
    <w:rsid w:val="00B959E9"/>
    <w:rsid w:val="00B979A9"/>
    <w:rsid w:val="00C154A0"/>
    <w:rsid w:val="00C81F54"/>
    <w:rsid w:val="00D06C97"/>
    <w:rsid w:val="00D3249D"/>
    <w:rsid w:val="00DA28DD"/>
    <w:rsid w:val="00DC3382"/>
    <w:rsid w:val="00DD2422"/>
    <w:rsid w:val="00DF62D9"/>
    <w:rsid w:val="00DF7BB3"/>
    <w:rsid w:val="00E204E5"/>
    <w:rsid w:val="00E376EE"/>
    <w:rsid w:val="00E41F60"/>
    <w:rsid w:val="00E448DB"/>
    <w:rsid w:val="00EA58C0"/>
    <w:rsid w:val="00EB7E92"/>
    <w:rsid w:val="00FF2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47A2"/>
  <w15:chartTrackingRefBased/>
  <w15:docId w15:val="{AF18C712-CD88-48B2-AD88-DB2A25EB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2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2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2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2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2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297"/>
    <w:rPr>
      <w:rFonts w:eastAsiaTheme="majorEastAsia" w:cstheme="majorBidi"/>
      <w:color w:val="272727" w:themeColor="text1" w:themeTint="D8"/>
    </w:rPr>
  </w:style>
  <w:style w:type="paragraph" w:styleId="Title">
    <w:name w:val="Title"/>
    <w:basedOn w:val="Normal"/>
    <w:next w:val="Normal"/>
    <w:link w:val="TitleChar"/>
    <w:uiPriority w:val="10"/>
    <w:qFormat/>
    <w:rsid w:val="001E5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297"/>
    <w:pPr>
      <w:spacing w:before="160"/>
      <w:jc w:val="center"/>
    </w:pPr>
    <w:rPr>
      <w:i/>
      <w:iCs/>
      <w:color w:val="404040" w:themeColor="text1" w:themeTint="BF"/>
    </w:rPr>
  </w:style>
  <w:style w:type="character" w:customStyle="1" w:styleId="QuoteChar">
    <w:name w:val="Quote Char"/>
    <w:basedOn w:val="DefaultParagraphFont"/>
    <w:link w:val="Quote"/>
    <w:uiPriority w:val="29"/>
    <w:rsid w:val="001E5297"/>
    <w:rPr>
      <w:i/>
      <w:iCs/>
      <w:color w:val="404040" w:themeColor="text1" w:themeTint="BF"/>
    </w:rPr>
  </w:style>
  <w:style w:type="paragraph" w:styleId="ListParagraph">
    <w:name w:val="List Paragraph"/>
    <w:basedOn w:val="Normal"/>
    <w:uiPriority w:val="34"/>
    <w:qFormat/>
    <w:rsid w:val="001E5297"/>
    <w:pPr>
      <w:ind w:left="720"/>
      <w:contextualSpacing/>
    </w:pPr>
  </w:style>
  <w:style w:type="character" w:styleId="IntenseEmphasis">
    <w:name w:val="Intense Emphasis"/>
    <w:basedOn w:val="DefaultParagraphFont"/>
    <w:uiPriority w:val="21"/>
    <w:qFormat/>
    <w:rsid w:val="001E5297"/>
    <w:rPr>
      <w:i/>
      <w:iCs/>
      <w:color w:val="0F4761" w:themeColor="accent1" w:themeShade="BF"/>
    </w:rPr>
  </w:style>
  <w:style w:type="paragraph" w:styleId="IntenseQuote">
    <w:name w:val="Intense Quote"/>
    <w:basedOn w:val="Normal"/>
    <w:next w:val="Normal"/>
    <w:link w:val="IntenseQuoteChar"/>
    <w:uiPriority w:val="30"/>
    <w:qFormat/>
    <w:rsid w:val="001E5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297"/>
    <w:rPr>
      <w:i/>
      <w:iCs/>
      <w:color w:val="0F4761" w:themeColor="accent1" w:themeShade="BF"/>
    </w:rPr>
  </w:style>
  <w:style w:type="character" w:styleId="IntenseReference">
    <w:name w:val="Intense Reference"/>
    <w:basedOn w:val="DefaultParagraphFont"/>
    <w:uiPriority w:val="32"/>
    <w:qFormat/>
    <w:rsid w:val="001E5297"/>
    <w:rPr>
      <w:b/>
      <w:bCs/>
      <w:smallCaps/>
      <w:color w:val="0F4761" w:themeColor="accent1" w:themeShade="BF"/>
      <w:spacing w:val="5"/>
    </w:rPr>
  </w:style>
  <w:style w:type="character" w:styleId="CommentReference">
    <w:name w:val="annotation reference"/>
    <w:basedOn w:val="DefaultParagraphFont"/>
    <w:uiPriority w:val="99"/>
    <w:semiHidden/>
    <w:unhideWhenUsed/>
    <w:rsid w:val="005929FF"/>
    <w:rPr>
      <w:sz w:val="16"/>
      <w:szCs w:val="16"/>
    </w:rPr>
  </w:style>
  <w:style w:type="paragraph" w:styleId="CommentText">
    <w:name w:val="annotation text"/>
    <w:basedOn w:val="Normal"/>
    <w:link w:val="CommentTextChar"/>
    <w:uiPriority w:val="99"/>
    <w:unhideWhenUsed/>
    <w:rsid w:val="005929FF"/>
    <w:pPr>
      <w:spacing w:line="240" w:lineRule="auto"/>
    </w:pPr>
    <w:rPr>
      <w:sz w:val="20"/>
      <w:szCs w:val="20"/>
    </w:rPr>
  </w:style>
  <w:style w:type="character" w:customStyle="1" w:styleId="CommentTextChar">
    <w:name w:val="Comment Text Char"/>
    <w:basedOn w:val="DefaultParagraphFont"/>
    <w:link w:val="CommentText"/>
    <w:uiPriority w:val="99"/>
    <w:rsid w:val="005929FF"/>
    <w:rPr>
      <w:sz w:val="20"/>
      <w:szCs w:val="20"/>
    </w:rPr>
  </w:style>
  <w:style w:type="table" w:styleId="TableGrid">
    <w:name w:val="Table Grid"/>
    <w:basedOn w:val="TableNormal"/>
    <w:uiPriority w:val="39"/>
    <w:rsid w:val="00DC3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249D"/>
    <w:pPr>
      <w:spacing w:after="0" w:line="240" w:lineRule="auto"/>
    </w:pPr>
  </w:style>
  <w:style w:type="paragraph" w:styleId="CommentSubject">
    <w:name w:val="annotation subject"/>
    <w:basedOn w:val="CommentText"/>
    <w:next w:val="CommentText"/>
    <w:link w:val="CommentSubjectChar"/>
    <w:uiPriority w:val="99"/>
    <w:semiHidden/>
    <w:unhideWhenUsed/>
    <w:rsid w:val="00D3249D"/>
    <w:rPr>
      <w:b/>
      <w:bCs/>
    </w:rPr>
  </w:style>
  <w:style w:type="character" w:customStyle="1" w:styleId="CommentSubjectChar">
    <w:name w:val="Comment Subject Char"/>
    <w:basedOn w:val="CommentTextChar"/>
    <w:link w:val="CommentSubject"/>
    <w:uiPriority w:val="99"/>
    <w:semiHidden/>
    <w:rsid w:val="00D324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1478</Words>
  <Characters>8429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Brantley</dc:creator>
  <cp:keywords/>
  <dc:description/>
  <cp:lastModifiedBy>Kristen Brantley</cp:lastModifiedBy>
  <cp:revision>5</cp:revision>
  <dcterms:created xsi:type="dcterms:W3CDTF">2024-12-28T21:37:00Z</dcterms:created>
  <dcterms:modified xsi:type="dcterms:W3CDTF">2025-01-07T15:58:00Z</dcterms:modified>
</cp:coreProperties>
</file>