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20" w:firstRow="1" w:lastRow="0" w:firstColumn="0" w:lastColumn="0" w:noHBand="0" w:noVBand="1"/>
      </w:tblPr>
      <w:tblGrid>
        <w:gridCol w:w="2432"/>
        <w:gridCol w:w="2056"/>
        <w:gridCol w:w="1243"/>
      </w:tblGrid>
      <w:tr w:rsidR="009A44EA" w:rsidRPr="00AC3694" w14:paraId="5FC4ED05" w14:textId="77777777" w:rsidTr="001A59E0">
        <w:trPr>
          <w:trHeight w:val="189"/>
        </w:trPr>
        <w:tc>
          <w:tcPr>
            <w:tcW w:w="2432" w:type="dxa"/>
            <w:tcBorders>
              <w:bottom w:val="single" w:sz="4" w:space="0" w:color="7F7F7F"/>
            </w:tcBorders>
          </w:tcPr>
          <w:p w14:paraId="641EBB37" w14:textId="77777777" w:rsidR="009A44EA" w:rsidRPr="00AC3694" w:rsidRDefault="009A44EA" w:rsidP="001A59E0">
            <w:pPr>
              <w:rPr>
                <w:rFonts w:ascii="Times New Roman" w:hAnsi="Times New Roman"/>
                <w:b/>
                <w:bCs/>
                <w:caps/>
              </w:rPr>
            </w:pPr>
            <w:r w:rsidRPr="00AC3694">
              <w:rPr>
                <w:rFonts w:ascii="Times New Roman" w:hAnsi="Times New Roman"/>
                <w:b/>
                <w:bCs/>
                <w:caps/>
              </w:rPr>
              <w:t>Pathway</w:t>
            </w:r>
          </w:p>
        </w:tc>
        <w:tc>
          <w:tcPr>
            <w:tcW w:w="2056" w:type="dxa"/>
            <w:tcBorders>
              <w:bottom w:val="single" w:sz="4" w:space="0" w:color="7F7F7F"/>
            </w:tcBorders>
          </w:tcPr>
          <w:p w14:paraId="0A012000" w14:textId="77777777" w:rsidR="009A44EA" w:rsidRPr="00AC3694" w:rsidRDefault="009A44EA" w:rsidP="001A59E0">
            <w:pPr>
              <w:rPr>
                <w:rFonts w:ascii="Times New Roman" w:hAnsi="Times New Roman"/>
                <w:b/>
                <w:bCs/>
                <w:caps/>
              </w:rPr>
            </w:pPr>
            <w:r w:rsidRPr="00AC3694">
              <w:rPr>
                <w:rFonts w:ascii="Times New Roman" w:hAnsi="Times New Roman"/>
                <w:b/>
                <w:bCs/>
                <w:caps/>
              </w:rPr>
              <w:t>Predictor</w:t>
            </w:r>
          </w:p>
        </w:tc>
        <w:tc>
          <w:tcPr>
            <w:tcW w:w="1243" w:type="dxa"/>
            <w:tcBorders>
              <w:bottom w:val="single" w:sz="4" w:space="0" w:color="7F7F7F"/>
            </w:tcBorders>
          </w:tcPr>
          <w:p w14:paraId="68354C81" w14:textId="77777777" w:rsidR="009A44EA" w:rsidRPr="00AC3694" w:rsidRDefault="009A44EA" w:rsidP="001A59E0">
            <w:pPr>
              <w:rPr>
                <w:rFonts w:ascii="Times New Roman" w:hAnsi="Times New Roman"/>
                <w:b/>
                <w:bCs/>
                <w:caps/>
              </w:rPr>
            </w:pPr>
            <w:r w:rsidRPr="00AC3694">
              <w:rPr>
                <w:rFonts w:ascii="Times New Roman" w:hAnsi="Times New Roman"/>
                <w:b/>
                <w:bCs/>
                <w:caps/>
              </w:rPr>
              <w:t>Weight</w:t>
            </w:r>
          </w:p>
        </w:tc>
      </w:tr>
      <w:tr w:rsidR="009A44EA" w:rsidRPr="00AC3694" w14:paraId="69CD86A6" w14:textId="77777777" w:rsidTr="001A59E0">
        <w:trPr>
          <w:trHeight w:val="287"/>
        </w:trPr>
        <w:tc>
          <w:tcPr>
            <w:tcW w:w="2432" w:type="dxa"/>
            <w:shd w:val="clear" w:color="auto" w:fill="F2F2F2"/>
          </w:tcPr>
          <w:p w14:paraId="20C5B1D5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AC3694">
              <w:rPr>
                <w:rFonts w:ascii="Times New Roman" w:hAnsi="Times New Roman"/>
                <w:b/>
                <w:bCs/>
              </w:rPr>
              <w:t>Apoptotic balance</w:t>
            </w:r>
          </w:p>
        </w:tc>
        <w:tc>
          <w:tcPr>
            <w:tcW w:w="2056" w:type="dxa"/>
            <w:shd w:val="clear" w:color="auto" w:fill="F2F2F2"/>
          </w:tcPr>
          <w:p w14:paraId="5B440A20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BAK</w:t>
            </w:r>
          </w:p>
        </w:tc>
        <w:tc>
          <w:tcPr>
            <w:tcW w:w="1243" w:type="dxa"/>
            <w:shd w:val="clear" w:color="auto" w:fill="F2F2F2"/>
          </w:tcPr>
          <w:p w14:paraId="5C454DFB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0E9D3F09" w14:textId="77777777" w:rsidTr="001A59E0">
        <w:trPr>
          <w:trHeight w:val="270"/>
        </w:trPr>
        <w:tc>
          <w:tcPr>
            <w:tcW w:w="2432" w:type="dxa"/>
          </w:tcPr>
          <w:p w14:paraId="0CB380CC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5D60DA90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BAX</w:t>
            </w:r>
          </w:p>
        </w:tc>
        <w:tc>
          <w:tcPr>
            <w:tcW w:w="1243" w:type="dxa"/>
          </w:tcPr>
          <w:p w14:paraId="67ADB8F3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38705F25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4188004E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1980877B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BID</w:t>
            </w:r>
          </w:p>
        </w:tc>
        <w:tc>
          <w:tcPr>
            <w:tcW w:w="1243" w:type="dxa"/>
            <w:shd w:val="clear" w:color="auto" w:fill="F2F2F2"/>
          </w:tcPr>
          <w:p w14:paraId="72DA36AC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73676148" w14:textId="77777777" w:rsidTr="001A59E0">
        <w:trPr>
          <w:trHeight w:val="270"/>
        </w:trPr>
        <w:tc>
          <w:tcPr>
            <w:tcW w:w="2432" w:type="dxa"/>
          </w:tcPr>
          <w:p w14:paraId="49FECF41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4F61CF06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BIM</w:t>
            </w:r>
          </w:p>
        </w:tc>
        <w:tc>
          <w:tcPr>
            <w:tcW w:w="1243" w:type="dxa"/>
          </w:tcPr>
          <w:p w14:paraId="764FEDEC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47F2E14B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600BEC62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447854BA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MCL-1</w:t>
            </w:r>
          </w:p>
        </w:tc>
        <w:tc>
          <w:tcPr>
            <w:tcW w:w="1243" w:type="dxa"/>
            <w:shd w:val="clear" w:color="auto" w:fill="F2F2F2"/>
          </w:tcPr>
          <w:p w14:paraId="57573757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483BBFCA" w14:textId="77777777" w:rsidTr="001A59E0">
        <w:trPr>
          <w:trHeight w:val="270"/>
        </w:trPr>
        <w:tc>
          <w:tcPr>
            <w:tcW w:w="2432" w:type="dxa"/>
          </w:tcPr>
          <w:p w14:paraId="4BB9C82C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3141163A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BAD_pS112</w:t>
            </w:r>
          </w:p>
        </w:tc>
        <w:tc>
          <w:tcPr>
            <w:tcW w:w="1243" w:type="dxa"/>
          </w:tcPr>
          <w:p w14:paraId="28FE8B89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5AE4F670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37398AFD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3595E740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BCL-2</w:t>
            </w:r>
          </w:p>
        </w:tc>
        <w:tc>
          <w:tcPr>
            <w:tcW w:w="1243" w:type="dxa"/>
            <w:shd w:val="clear" w:color="auto" w:fill="F2F2F2"/>
          </w:tcPr>
          <w:p w14:paraId="52D545D6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2C817B16" w14:textId="77777777" w:rsidTr="001A59E0">
        <w:trPr>
          <w:trHeight w:val="270"/>
        </w:trPr>
        <w:tc>
          <w:tcPr>
            <w:tcW w:w="2432" w:type="dxa"/>
          </w:tcPr>
          <w:p w14:paraId="1CCEFC68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4BB5F3D4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BCL-XL</w:t>
            </w:r>
          </w:p>
        </w:tc>
        <w:tc>
          <w:tcPr>
            <w:tcW w:w="1243" w:type="dxa"/>
          </w:tcPr>
          <w:p w14:paraId="1E57E1E3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5A399A94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7E5BC89D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AC3694">
              <w:rPr>
                <w:rFonts w:ascii="Times New Roman" w:hAnsi="Times New Roman"/>
                <w:b/>
                <w:bCs/>
              </w:rPr>
              <w:t>EMT</w:t>
            </w:r>
          </w:p>
        </w:tc>
        <w:tc>
          <w:tcPr>
            <w:tcW w:w="2056" w:type="dxa"/>
            <w:shd w:val="clear" w:color="auto" w:fill="F2F2F2"/>
          </w:tcPr>
          <w:p w14:paraId="222C3622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Fibronectin</w:t>
            </w:r>
          </w:p>
        </w:tc>
        <w:tc>
          <w:tcPr>
            <w:tcW w:w="1243" w:type="dxa"/>
            <w:shd w:val="clear" w:color="auto" w:fill="F2F2F2"/>
          </w:tcPr>
          <w:p w14:paraId="15257D03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13118666" w14:textId="77777777" w:rsidTr="001A59E0">
        <w:trPr>
          <w:trHeight w:val="270"/>
        </w:trPr>
        <w:tc>
          <w:tcPr>
            <w:tcW w:w="2432" w:type="dxa"/>
          </w:tcPr>
          <w:p w14:paraId="6EEC0C56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70A220A5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N-Cadherin</w:t>
            </w:r>
          </w:p>
        </w:tc>
        <w:tc>
          <w:tcPr>
            <w:tcW w:w="1243" w:type="dxa"/>
          </w:tcPr>
          <w:p w14:paraId="16CB5F3E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39C23244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225DA55D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7D9D9E00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Collagen-VI</w:t>
            </w:r>
          </w:p>
        </w:tc>
        <w:tc>
          <w:tcPr>
            <w:tcW w:w="1243" w:type="dxa"/>
            <w:shd w:val="clear" w:color="auto" w:fill="F2F2F2"/>
          </w:tcPr>
          <w:p w14:paraId="22C34F34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640586DE" w14:textId="77777777" w:rsidTr="001A59E0">
        <w:trPr>
          <w:trHeight w:val="270"/>
        </w:trPr>
        <w:tc>
          <w:tcPr>
            <w:tcW w:w="2432" w:type="dxa"/>
          </w:tcPr>
          <w:p w14:paraId="6A0F3344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642EAC5D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Claudin-7</w:t>
            </w:r>
          </w:p>
        </w:tc>
        <w:tc>
          <w:tcPr>
            <w:tcW w:w="1243" w:type="dxa"/>
          </w:tcPr>
          <w:p w14:paraId="6D9764DE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4E283651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4313D3FB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6AB81C26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E-Cadherin</w:t>
            </w:r>
          </w:p>
        </w:tc>
        <w:tc>
          <w:tcPr>
            <w:tcW w:w="1243" w:type="dxa"/>
            <w:shd w:val="clear" w:color="auto" w:fill="F2F2F2"/>
          </w:tcPr>
          <w:p w14:paraId="341CC116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0C4FD2B8" w14:textId="77777777" w:rsidTr="001A59E0">
        <w:trPr>
          <w:trHeight w:val="270"/>
        </w:trPr>
        <w:tc>
          <w:tcPr>
            <w:tcW w:w="2432" w:type="dxa"/>
          </w:tcPr>
          <w:p w14:paraId="77B8ACA5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02C43360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b-Catenin</w:t>
            </w:r>
          </w:p>
        </w:tc>
        <w:tc>
          <w:tcPr>
            <w:tcW w:w="1243" w:type="dxa"/>
          </w:tcPr>
          <w:p w14:paraId="3BF3A00C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35873014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6D53859A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38395DF5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PAI-1</w:t>
            </w:r>
          </w:p>
        </w:tc>
        <w:tc>
          <w:tcPr>
            <w:tcW w:w="1243" w:type="dxa"/>
            <w:shd w:val="clear" w:color="auto" w:fill="F2F2F2"/>
          </w:tcPr>
          <w:p w14:paraId="0BD640F8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40F8FD1C" w14:textId="77777777" w:rsidTr="001A59E0">
        <w:trPr>
          <w:trHeight w:val="270"/>
        </w:trPr>
        <w:tc>
          <w:tcPr>
            <w:tcW w:w="2432" w:type="dxa"/>
          </w:tcPr>
          <w:p w14:paraId="1E4C3BC5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AC3694">
              <w:rPr>
                <w:rFonts w:ascii="Times New Roman" w:hAnsi="Times New Roman"/>
                <w:b/>
                <w:bCs/>
              </w:rPr>
              <w:t>Notch</w:t>
            </w:r>
          </w:p>
        </w:tc>
        <w:tc>
          <w:tcPr>
            <w:tcW w:w="2056" w:type="dxa"/>
          </w:tcPr>
          <w:p w14:paraId="6D9DB97F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Notch1</w:t>
            </w:r>
          </w:p>
        </w:tc>
        <w:tc>
          <w:tcPr>
            <w:tcW w:w="1243" w:type="dxa"/>
          </w:tcPr>
          <w:p w14:paraId="56E24189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16FC1CAE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2B12FAEF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12315B8C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TAZ</w:t>
            </w:r>
          </w:p>
        </w:tc>
        <w:tc>
          <w:tcPr>
            <w:tcW w:w="1243" w:type="dxa"/>
            <w:shd w:val="clear" w:color="auto" w:fill="F2F2F2"/>
          </w:tcPr>
          <w:p w14:paraId="0A91D098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62709093" w14:textId="77777777" w:rsidTr="001A59E0">
        <w:trPr>
          <w:trHeight w:val="270"/>
        </w:trPr>
        <w:tc>
          <w:tcPr>
            <w:tcW w:w="2432" w:type="dxa"/>
          </w:tcPr>
          <w:p w14:paraId="60E5014C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4C6FA264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YAP</w:t>
            </w:r>
          </w:p>
        </w:tc>
        <w:tc>
          <w:tcPr>
            <w:tcW w:w="1243" w:type="dxa"/>
          </w:tcPr>
          <w:p w14:paraId="71B5B1BD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2BD96E21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13674D6B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56" w:type="dxa"/>
            <w:shd w:val="clear" w:color="auto" w:fill="F2F2F2"/>
          </w:tcPr>
          <w:p w14:paraId="7D11B891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YAP_pS127</w:t>
            </w:r>
          </w:p>
        </w:tc>
        <w:tc>
          <w:tcPr>
            <w:tcW w:w="1243" w:type="dxa"/>
            <w:shd w:val="clear" w:color="auto" w:fill="F2F2F2"/>
          </w:tcPr>
          <w:p w14:paraId="2BE28372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1C402BF3" w14:textId="77777777" w:rsidTr="001A59E0">
        <w:trPr>
          <w:trHeight w:val="270"/>
        </w:trPr>
        <w:tc>
          <w:tcPr>
            <w:tcW w:w="2432" w:type="dxa"/>
          </w:tcPr>
          <w:p w14:paraId="4F62A6ED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AC3694">
              <w:rPr>
                <w:rFonts w:ascii="Times New Roman" w:hAnsi="Times New Roman"/>
                <w:b/>
                <w:bCs/>
              </w:rPr>
              <w:t>G1-S checkpoint</w:t>
            </w:r>
          </w:p>
        </w:tc>
        <w:tc>
          <w:tcPr>
            <w:tcW w:w="2056" w:type="dxa"/>
          </w:tcPr>
          <w:p w14:paraId="16AAC21E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53BP1</w:t>
            </w:r>
          </w:p>
        </w:tc>
        <w:tc>
          <w:tcPr>
            <w:tcW w:w="1243" w:type="dxa"/>
          </w:tcPr>
          <w:p w14:paraId="2FE5C195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71DF008D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64E2D34E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6CD142DB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ATM_pS1981</w:t>
            </w:r>
          </w:p>
        </w:tc>
        <w:tc>
          <w:tcPr>
            <w:tcW w:w="1243" w:type="dxa"/>
            <w:shd w:val="clear" w:color="auto" w:fill="F2F2F2"/>
          </w:tcPr>
          <w:p w14:paraId="32FEBE80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-1</w:t>
            </w:r>
          </w:p>
        </w:tc>
      </w:tr>
      <w:tr w:rsidR="009A44EA" w:rsidRPr="00AC3694" w14:paraId="0D860C9D" w14:textId="77777777" w:rsidTr="001A59E0">
        <w:trPr>
          <w:trHeight w:val="270"/>
        </w:trPr>
        <w:tc>
          <w:tcPr>
            <w:tcW w:w="2432" w:type="dxa"/>
          </w:tcPr>
          <w:p w14:paraId="13250914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0ED9EE74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Cyclin-E1</w:t>
            </w:r>
          </w:p>
        </w:tc>
        <w:tc>
          <w:tcPr>
            <w:tcW w:w="1243" w:type="dxa"/>
          </w:tcPr>
          <w:p w14:paraId="599D95BB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380F86A6" w14:textId="77777777" w:rsidTr="001A59E0">
        <w:trPr>
          <w:trHeight w:val="270"/>
        </w:trPr>
        <w:tc>
          <w:tcPr>
            <w:tcW w:w="2432" w:type="dxa"/>
            <w:shd w:val="clear" w:color="auto" w:fill="F2F2F2"/>
          </w:tcPr>
          <w:p w14:paraId="6A9EA92A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AC3694">
              <w:rPr>
                <w:rFonts w:ascii="Times New Roman" w:hAnsi="Times New Roman"/>
                <w:b/>
                <w:bCs/>
              </w:rPr>
              <w:t>DNA damage response</w:t>
            </w:r>
          </w:p>
        </w:tc>
        <w:tc>
          <w:tcPr>
            <w:tcW w:w="2056" w:type="dxa"/>
            <w:shd w:val="clear" w:color="auto" w:fill="F2F2F2"/>
          </w:tcPr>
          <w:p w14:paraId="63CCB10F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53BP1</w:t>
            </w:r>
          </w:p>
        </w:tc>
        <w:tc>
          <w:tcPr>
            <w:tcW w:w="1243" w:type="dxa"/>
            <w:shd w:val="clear" w:color="auto" w:fill="F2F2F2"/>
          </w:tcPr>
          <w:p w14:paraId="3EB16F81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48242501" w14:textId="77777777" w:rsidTr="001A59E0">
        <w:trPr>
          <w:trHeight w:val="270"/>
        </w:trPr>
        <w:tc>
          <w:tcPr>
            <w:tcW w:w="2432" w:type="dxa"/>
          </w:tcPr>
          <w:p w14:paraId="46AD5F87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043693FD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ERCC1</w:t>
            </w:r>
          </w:p>
        </w:tc>
        <w:tc>
          <w:tcPr>
            <w:tcW w:w="1243" w:type="dxa"/>
          </w:tcPr>
          <w:p w14:paraId="3CD81180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70C27548" w14:textId="77777777" w:rsidTr="001A59E0">
        <w:trPr>
          <w:trHeight w:val="68"/>
        </w:trPr>
        <w:tc>
          <w:tcPr>
            <w:tcW w:w="2432" w:type="dxa"/>
            <w:shd w:val="clear" w:color="auto" w:fill="F2F2F2"/>
          </w:tcPr>
          <w:p w14:paraId="2DAC7879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4C967D04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PARP1</w:t>
            </w:r>
          </w:p>
        </w:tc>
        <w:tc>
          <w:tcPr>
            <w:tcW w:w="1243" w:type="dxa"/>
            <w:shd w:val="clear" w:color="auto" w:fill="F2F2F2"/>
          </w:tcPr>
          <w:p w14:paraId="4446F219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2EF7E816" w14:textId="77777777" w:rsidTr="001A59E0">
        <w:trPr>
          <w:trHeight w:val="68"/>
        </w:trPr>
        <w:tc>
          <w:tcPr>
            <w:tcW w:w="2432" w:type="dxa"/>
          </w:tcPr>
          <w:p w14:paraId="6F1A40F1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</w:tcPr>
          <w:p w14:paraId="5D3A4C12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Rad50</w:t>
            </w:r>
          </w:p>
        </w:tc>
        <w:tc>
          <w:tcPr>
            <w:tcW w:w="1243" w:type="dxa"/>
          </w:tcPr>
          <w:p w14:paraId="20852562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053D1E8D" w14:textId="77777777" w:rsidTr="001A59E0">
        <w:trPr>
          <w:trHeight w:val="68"/>
        </w:trPr>
        <w:tc>
          <w:tcPr>
            <w:tcW w:w="2432" w:type="dxa"/>
            <w:shd w:val="clear" w:color="auto" w:fill="F2F2F2"/>
          </w:tcPr>
          <w:p w14:paraId="778F5268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50594562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Rad51</w:t>
            </w:r>
          </w:p>
        </w:tc>
        <w:tc>
          <w:tcPr>
            <w:tcW w:w="1243" w:type="dxa"/>
            <w:shd w:val="clear" w:color="auto" w:fill="F2F2F2"/>
          </w:tcPr>
          <w:p w14:paraId="0BC7A622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1</w:t>
            </w:r>
          </w:p>
        </w:tc>
      </w:tr>
      <w:tr w:rsidR="009A44EA" w:rsidRPr="00AC3694" w14:paraId="22AFB106" w14:textId="77777777" w:rsidTr="001A59E0">
        <w:trPr>
          <w:trHeight w:val="68"/>
        </w:trPr>
        <w:tc>
          <w:tcPr>
            <w:tcW w:w="2432" w:type="dxa"/>
            <w:shd w:val="clear" w:color="auto" w:fill="F2F2F2"/>
          </w:tcPr>
          <w:p w14:paraId="14C9C38B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56" w:type="dxa"/>
            <w:shd w:val="clear" w:color="auto" w:fill="F2F2F2"/>
          </w:tcPr>
          <w:p w14:paraId="1B5F6771" w14:textId="77777777" w:rsidR="009A44EA" w:rsidRPr="00AC3694" w:rsidRDefault="009A44EA" w:rsidP="001A59E0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AC3694">
              <w:rPr>
                <w:rFonts w:ascii="Times New Roman" w:hAnsi="Times New Roman"/>
              </w:rPr>
              <w:t>XRCC1</w:t>
            </w:r>
          </w:p>
        </w:tc>
        <w:tc>
          <w:tcPr>
            <w:tcW w:w="1243" w:type="dxa"/>
          </w:tcPr>
          <w:p w14:paraId="36101984" w14:textId="77777777" w:rsidR="009A44EA" w:rsidRPr="00AC3694" w:rsidRDefault="009A44EA" w:rsidP="001A59E0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177E65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</w:tbl>
    <w:p w14:paraId="05296CFF" w14:textId="77777777" w:rsidR="009A44EA" w:rsidRDefault="009A44EA"/>
    <w:p w14:paraId="20F3FBF1" w14:textId="77777777" w:rsidR="009A44EA" w:rsidRPr="00667D06" w:rsidRDefault="009A44EA" w:rsidP="009A44EA">
      <w:pPr>
        <w:spacing w:line="480" w:lineRule="auto"/>
        <w:rPr>
          <w:rFonts w:ascii="Times New Roman" w:hAnsi="Times New Roman"/>
        </w:rPr>
      </w:pPr>
      <w:r w:rsidRPr="00667D06">
        <w:rPr>
          <w:rFonts w:ascii="Times New Roman" w:hAnsi="Times New Roman"/>
        </w:rPr>
        <w:t xml:space="preserve">                </w:t>
      </w:r>
    </w:p>
    <w:p w14:paraId="4B1509EB" w14:textId="77777777" w:rsidR="009A44EA" w:rsidRPr="00290090" w:rsidRDefault="009A44EA" w:rsidP="009A44EA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en-CA"/>
        </w:rPr>
        <w:lastRenderedPageBreak/>
        <w:drawing>
          <wp:inline distT="0" distB="0" distL="0" distR="0" wp14:anchorId="76CB3D95" wp14:editId="6E066B59">
            <wp:extent cx="4921504" cy="2374521"/>
            <wp:effectExtent l="0" t="0" r="0" b="6985"/>
            <wp:docPr id="1382480756" name="Picture 1" descr="A graph of a number of mont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80756" name="Picture 1" descr="A graph of a number of month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879" cy="240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4D26" w14:textId="77777777" w:rsidR="009A44EA" w:rsidRPr="00667D06" w:rsidRDefault="009A44EA" w:rsidP="009A44EA">
      <w:pPr>
        <w:pStyle w:val="EndNoteBibliography"/>
        <w:contextualSpacing/>
        <w:jc w:val="left"/>
        <w:rPr>
          <w:rFonts w:ascii="Times New Roman" w:hAnsi="Times New Roman"/>
          <w:iCs/>
        </w:rPr>
      </w:pPr>
      <w:r w:rsidRPr="00667D06">
        <w:rPr>
          <w:rFonts w:ascii="Times New Roman" w:hAnsi="Times New Roman"/>
          <w:b/>
          <w:bCs/>
          <w:i/>
          <w:iCs/>
        </w:rPr>
        <w:t>Supplemental Figure 1:</w:t>
      </w:r>
      <w:r w:rsidRPr="00667D06">
        <w:rPr>
          <w:rFonts w:ascii="Times New Roman" w:hAnsi="Times New Roman"/>
          <w:i/>
          <w:iCs/>
        </w:rPr>
        <w:t xml:space="preserve">  </w:t>
      </w:r>
      <w:r w:rsidRPr="00667D06">
        <w:rPr>
          <w:rFonts w:ascii="Times New Roman" w:hAnsi="Times New Roman"/>
        </w:rPr>
        <w:t xml:space="preserve">Kaplan Meier </w:t>
      </w:r>
      <w:r w:rsidRPr="00667D06">
        <w:rPr>
          <w:rFonts w:ascii="Times New Roman" w:hAnsi="Times New Roman"/>
          <w:iCs/>
        </w:rPr>
        <w:t xml:space="preserve">DFS curves for NeoAva patients with ER+/HER2- RDA-assessable disease, based on the level of RNA disruption at 12 weeks.  Patients with tumour RDI values &gt;1.1 experienced significantly higher DFS than patients with tumour RDI values </w:t>
      </w:r>
      <w:r w:rsidRPr="00667D06">
        <w:rPr>
          <w:rFonts w:ascii="Times New Roman" w:hAnsi="Times New Roman" w:cs="Times New Roman"/>
          <w:iCs/>
        </w:rPr>
        <w:t>≤</w:t>
      </w:r>
      <w:r w:rsidRPr="00667D06">
        <w:rPr>
          <w:rFonts w:ascii="Times New Roman" w:hAnsi="Times New Roman"/>
          <w:iCs/>
        </w:rPr>
        <w:t xml:space="preserve"> 1.1 (p=0.02, HR 3.2, 95% CI 0.9-10.8).</w:t>
      </w:r>
    </w:p>
    <w:p w14:paraId="4EDE56F0" w14:textId="77777777" w:rsidR="009A44EA" w:rsidRDefault="009A44EA" w:rsidP="009A44EA">
      <w:pPr>
        <w:pStyle w:val="EndNoteBibliography"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CA"/>
        </w:rPr>
        <w:drawing>
          <wp:inline distT="0" distB="0" distL="0" distR="0" wp14:anchorId="075116AB" wp14:editId="4CDF4FCC">
            <wp:extent cx="4653280" cy="2533253"/>
            <wp:effectExtent l="0" t="0" r="0" b="635"/>
            <wp:docPr id="1235624887" name="Picture 2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24887" name="Picture 2" descr="A graph of a number of patient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00" cy="256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A0E81" w14:textId="77777777" w:rsidR="009A44EA" w:rsidRDefault="009A44EA" w:rsidP="009A44EA">
      <w:pPr>
        <w:spacing w:line="240" w:lineRule="auto"/>
        <w:contextualSpacing/>
        <w:rPr>
          <w:rFonts w:ascii="Times New Roman" w:hAnsi="Times New Roman"/>
        </w:rPr>
      </w:pPr>
      <w:r w:rsidRPr="00667D06">
        <w:rPr>
          <w:rFonts w:ascii="Times New Roman" w:hAnsi="Times New Roman"/>
          <w:b/>
          <w:bCs/>
          <w:i/>
          <w:iCs/>
        </w:rPr>
        <w:t>Supplemental Figure 2</w:t>
      </w:r>
      <w:proofErr w:type="gramStart"/>
      <w:r w:rsidRPr="00667D06">
        <w:rPr>
          <w:rFonts w:ascii="Times New Roman" w:hAnsi="Times New Roman"/>
          <w:b/>
          <w:bCs/>
          <w:i/>
          <w:iCs/>
        </w:rPr>
        <w:t>:</w:t>
      </w:r>
      <w:r w:rsidRPr="00667D06">
        <w:rPr>
          <w:rFonts w:ascii="Times New Roman" w:hAnsi="Times New Roman"/>
          <w:i/>
          <w:iCs/>
        </w:rPr>
        <w:t xml:space="preserve">  </w:t>
      </w:r>
      <w:r w:rsidRPr="00667D06">
        <w:rPr>
          <w:rFonts w:ascii="Times New Roman" w:hAnsi="Times New Roman"/>
        </w:rPr>
        <w:t>Kaplan</w:t>
      </w:r>
      <w:proofErr w:type="gramEnd"/>
      <w:r w:rsidRPr="00667D06">
        <w:rPr>
          <w:rFonts w:ascii="Times New Roman" w:hAnsi="Times New Roman"/>
        </w:rPr>
        <w:t xml:space="preserve"> Meier </w:t>
      </w:r>
      <w:r w:rsidRPr="00667D06">
        <w:rPr>
          <w:rFonts w:ascii="Times New Roman" w:hAnsi="Times New Roman"/>
          <w:iCs/>
        </w:rPr>
        <w:t xml:space="preserve">BCSS curves for </w:t>
      </w:r>
      <w:proofErr w:type="spellStart"/>
      <w:r w:rsidRPr="00667D06">
        <w:rPr>
          <w:rFonts w:ascii="Times New Roman" w:hAnsi="Times New Roman"/>
          <w:iCs/>
        </w:rPr>
        <w:t>NeoAva</w:t>
      </w:r>
      <w:proofErr w:type="spellEnd"/>
      <w:r w:rsidRPr="00667D06">
        <w:rPr>
          <w:rFonts w:ascii="Times New Roman" w:hAnsi="Times New Roman"/>
          <w:iCs/>
        </w:rPr>
        <w:t xml:space="preserve"> patients with ER+/HER2- RDA-assessable disease, based on the level of RNA disruption at 12 weeks.  Patients with </w:t>
      </w:r>
      <w:proofErr w:type="spellStart"/>
      <w:r w:rsidRPr="00667D06">
        <w:rPr>
          <w:rFonts w:ascii="Times New Roman" w:hAnsi="Times New Roman"/>
          <w:iCs/>
        </w:rPr>
        <w:t>tumour</w:t>
      </w:r>
      <w:proofErr w:type="spellEnd"/>
      <w:r w:rsidRPr="00667D06">
        <w:rPr>
          <w:rFonts w:ascii="Times New Roman" w:hAnsi="Times New Roman"/>
          <w:iCs/>
        </w:rPr>
        <w:t xml:space="preserve"> RDI values &gt;1.1 experienced significantly higher BCSS than patients with </w:t>
      </w:r>
      <w:proofErr w:type="spellStart"/>
      <w:r w:rsidRPr="00667D06">
        <w:rPr>
          <w:rFonts w:ascii="Times New Roman" w:hAnsi="Times New Roman"/>
          <w:iCs/>
        </w:rPr>
        <w:t>tumour</w:t>
      </w:r>
      <w:proofErr w:type="spellEnd"/>
      <w:r w:rsidRPr="00667D06">
        <w:rPr>
          <w:rFonts w:ascii="Times New Roman" w:hAnsi="Times New Roman"/>
          <w:iCs/>
        </w:rPr>
        <w:t xml:space="preserve"> RDI values </w:t>
      </w:r>
      <w:r w:rsidRPr="00667D06">
        <w:rPr>
          <w:rFonts w:ascii="Times New Roman" w:hAnsi="Times New Roman" w:cs="Times New Roman"/>
          <w:iCs/>
        </w:rPr>
        <w:t>≤</w:t>
      </w:r>
      <w:r w:rsidRPr="00667D06">
        <w:rPr>
          <w:rFonts w:ascii="Times New Roman" w:hAnsi="Times New Roman"/>
          <w:iCs/>
        </w:rPr>
        <w:t xml:space="preserve"> 1.1 (p=0.008, HR 4.7, 95% CI 1.1-19.8).</w:t>
      </w:r>
      <w:r w:rsidRPr="00667D06">
        <w:rPr>
          <w:rFonts w:ascii="Times New Roman" w:hAnsi="Times New Roman"/>
        </w:rPr>
        <w:t xml:space="preserve">With regards to the effects of bevacizumab , the median </w:t>
      </w:r>
      <w:proofErr w:type="spellStart"/>
      <w:r w:rsidRPr="00667D06">
        <w:rPr>
          <w:rFonts w:ascii="Times New Roman" w:hAnsi="Times New Roman"/>
        </w:rPr>
        <w:t>tumour</w:t>
      </w:r>
      <w:proofErr w:type="spellEnd"/>
      <w:r w:rsidRPr="00667D06">
        <w:rPr>
          <w:rFonts w:ascii="Times New Roman" w:hAnsi="Times New Roman"/>
        </w:rPr>
        <w:t xml:space="preserve"> RDI value for patients with ER+/HER2- </w:t>
      </w:r>
      <w:proofErr w:type="spellStart"/>
      <w:r w:rsidRPr="00667D06">
        <w:rPr>
          <w:rFonts w:ascii="Times New Roman" w:hAnsi="Times New Roman"/>
        </w:rPr>
        <w:t>tumours</w:t>
      </w:r>
      <w:proofErr w:type="spellEnd"/>
      <w:r w:rsidRPr="00667D06">
        <w:rPr>
          <w:rFonts w:ascii="Times New Roman" w:hAnsi="Times New Roman"/>
        </w:rPr>
        <w:t xml:space="preserve"> was significantly higher for bevacizumab-treated patients (2.4) compared to non-bevacizumab-treated patients (1.4), p=0.002, Mann Whitney test.  The </w:t>
      </w:r>
      <w:proofErr w:type="spellStart"/>
      <w:r w:rsidRPr="00667D06">
        <w:rPr>
          <w:rFonts w:ascii="Times New Roman" w:hAnsi="Times New Roman"/>
        </w:rPr>
        <w:t>pCR</w:t>
      </w:r>
      <w:proofErr w:type="spellEnd"/>
      <w:r w:rsidRPr="00667D06">
        <w:rPr>
          <w:rFonts w:ascii="Times New Roman" w:hAnsi="Times New Roman"/>
        </w:rPr>
        <w:t xml:space="preserve"> rate for patients with ER+/HER2- </w:t>
      </w:r>
      <w:proofErr w:type="spellStart"/>
      <w:r w:rsidRPr="00667D06">
        <w:rPr>
          <w:rFonts w:ascii="Times New Roman" w:hAnsi="Times New Roman"/>
        </w:rPr>
        <w:t>tumours</w:t>
      </w:r>
      <w:proofErr w:type="spellEnd"/>
      <w:r w:rsidRPr="00667D06">
        <w:rPr>
          <w:rFonts w:ascii="Times New Roman" w:hAnsi="Times New Roman"/>
        </w:rPr>
        <w:t xml:space="preserve"> was also significantly higher for bevacizumab-treated patients (22%) compared to non-bevacizumab-treated patients (6.7%).</w:t>
      </w:r>
    </w:p>
    <w:p w14:paraId="6CD37017" w14:textId="77777777" w:rsidR="009A44EA" w:rsidRDefault="009A44EA"/>
    <w:p w14:paraId="41EF4E6A" w14:textId="77777777" w:rsidR="009A44EA" w:rsidRPr="00AC3694" w:rsidRDefault="009A44EA" w:rsidP="009A44EA">
      <w:pPr>
        <w:pStyle w:val="EndNoteBibliography"/>
        <w:spacing w:line="480" w:lineRule="auto"/>
        <w:ind w:left="720" w:hanging="720"/>
        <w:jc w:val="left"/>
        <w:rPr>
          <w:rFonts w:ascii="Times New Roman" w:hAnsi="Times New Roman" w:cs="Times New Roman"/>
        </w:rPr>
      </w:pPr>
      <w:r w:rsidRPr="00AC3694">
        <w:rPr>
          <w:rFonts w:ascii="Times New Roman" w:hAnsi="Times New Roman" w:cs="Times New Roman"/>
          <w:lang w:eastAsia="en-CA"/>
        </w:rPr>
        <w:lastRenderedPageBreak/>
        <w:drawing>
          <wp:inline distT="0" distB="0" distL="0" distR="0" wp14:anchorId="58D91570" wp14:editId="1B1853B7">
            <wp:extent cx="4390612" cy="2991104"/>
            <wp:effectExtent l="0" t="0" r="0" b="0"/>
            <wp:docPr id="14" name="Bilde 7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pplementary Fig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708" cy="30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FDD2" w14:textId="77777777" w:rsidR="009A44EA" w:rsidRDefault="009A44EA" w:rsidP="009A44EA">
      <w:pPr>
        <w:spacing w:line="240" w:lineRule="auto"/>
        <w:contextualSpacing/>
        <w:rPr>
          <w:rFonts w:ascii="Times New Roman" w:hAnsi="Times New Roman"/>
          <w:iCs/>
        </w:rPr>
      </w:pPr>
      <w:r w:rsidRPr="00667D06">
        <w:rPr>
          <w:rFonts w:ascii="Times New Roman" w:hAnsi="Times New Roman"/>
          <w:b/>
          <w:bCs/>
          <w:i/>
          <w:iCs/>
        </w:rPr>
        <w:t>Supplemental Figure 3:</w:t>
      </w:r>
      <w:r w:rsidRPr="00667D06">
        <w:rPr>
          <w:rFonts w:ascii="Times New Roman" w:hAnsi="Times New Roman"/>
          <w:i/>
          <w:iCs/>
        </w:rPr>
        <w:t xml:space="preserve"> </w:t>
      </w:r>
      <w:r w:rsidRPr="00667D06">
        <w:rPr>
          <w:rFonts w:ascii="Times New Roman" w:hAnsi="Times New Roman"/>
          <w:iCs/>
        </w:rPr>
        <w:t xml:space="preserve">DFS curves for all </w:t>
      </w:r>
      <w:proofErr w:type="spellStart"/>
      <w:r w:rsidRPr="00667D06">
        <w:rPr>
          <w:rFonts w:ascii="Times New Roman" w:hAnsi="Times New Roman"/>
          <w:iCs/>
        </w:rPr>
        <w:t>NeoAva</w:t>
      </w:r>
      <w:proofErr w:type="spellEnd"/>
      <w:r w:rsidRPr="00667D06">
        <w:rPr>
          <w:rFonts w:ascii="Times New Roman" w:hAnsi="Times New Roman"/>
          <w:iCs/>
        </w:rPr>
        <w:t xml:space="preserve"> patients with RDA-assessable biopsies after 12 weeks of treatment, based on the extent of residual cancer burden (RCB) in these patients’ post-treatment. Patients in RCB 0 had no residual disease, while patients in RCB 3 had the highest level of residual disease.</w:t>
      </w:r>
    </w:p>
    <w:p w14:paraId="75064AC0" w14:textId="77777777" w:rsidR="009A44EA" w:rsidRDefault="009A44EA"/>
    <w:sectPr w:rsidR="009A4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EA"/>
    <w:rsid w:val="00863755"/>
    <w:rsid w:val="009A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A156"/>
  <w15:chartTrackingRefBased/>
  <w15:docId w15:val="{6DD11E91-A7CE-4383-B4F7-2D412FC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4EA"/>
  </w:style>
  <w:style w:type="paragraph" w:styleId="Heading1">
    <w:name w:val="heading 1"/>
    <w:basedOn w:val="Normal"/>
    <w:next w:val="Normal"/>
    <w:link w:val="Heading1Char"/>
    <w:uiPriority w:val="9"/>
    <w:qFormat/>
    <w:rsid w:val="009A4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4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EA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9A44EA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link w:val="EndNoteBibliography"/>
    <w:rsid w:val="009A44EA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268</Words>
  <Characters>1529</Characters>
  <Application>Microsoft Office Word</Application>
  <DocSecurity>0</DocSecurity>
  <Lines>12</Lines>
  <Paragraphs>3</Paragraphs>
  <ScaleCrop>false</ScaleCrop>
  <Company>SpringerNature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Euegen Jaiseelan</dc:creator>
  <cp:keywords/>
  <dc:description/>
  <cp:lastModifiedBy>Euegen Jaiseelan</cp:lastModifiedBy>
  <cp:revision>1</cp:revision>
  <dcterms:created xsi:type="dcterms:W3CDTF">2025-07-24T09:22:00Z</dcterms:created>
  <dcterms:modified xsi:type="dcterms:W3CDTF">2025-07-24T09:24:00Z</dcterms:modified>
</cp:coreProperties>
</file>