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18A0D9" w14:textId="77777777" w:rsidR="006553BE" w:rsidRPr="00C50452" w:rsidRDefault="006553BE" w:rsidP="00422C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0000" w:themeColor="text1"/>
        </w:rPr>
      </w:pPr>
    </w:p>
    <w:p w14:paraId="1D3E3F02" w14:textId="31D10F7F" w:rsidR="00422C1A" w:rsidRPr="00C50452" w:rsidRDefault="00422C1A" w:rsidP="00422C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0000" w:themeColor="text1"/>
        </w:rPr>
      </w:pPr>
      <w:r w:rsidRPr="00C50452">
        <w:rPr>
          <w:rFonts w:ascii="Arial" w:hAnsi="Arial" w:cs="Arial"/>
          <w:color w:val="000000" w:themeColor="text1"/>
        </w:rPr>
        <w:t>Supplemental Figure 1: Validation of anti-CIRBP antibody (Abcam ab191885) for immunohistochemistry. A) Immunoblot for CIRBP and α-Tubulin in parental MDA-MB-231 cells, alongside those expressing a CRISPR targeting control (AAVS1</w:t>
      </w:r>
      <w:r w:rsidRPr="00C50452">
        <w:rPr>
          <w:rFonts w:ascii="Arial" w:hAnsi="Arial" w:cs="Arial"/>
          <w:color w:val="000000" w:themeColor="text1"/>
          <w:vertAlign w:val="superscript"/>
        </w:rPr>
        <w:t>CTRL</w:t>
      </w:r>
      <w:r w:rsidRPr="00C50452">
        <w:rPr>
          <w:rFonts w:ascii="Arial" w:hAnsi="Arial" w:cs="Arial"/>
          <w:color w:val="000000" w:themeColor="text1"/>
        </w:rPr>
        <w:t>), CRISPR/Cas9 knockout (CIRBP</w:t>
      </w:r>
      <w:r w:rsidRPr="00C50452">
        <w:rPr>
          <w:rFonts w:ascii="Arial" w:hAnsi="Arial" w:cs="Arial"/>
          <w:color w:val="000000" w:themeColor="text1"/>
          <w:vertAlign w:val="superscript"/>
        </w:rPr>
        <w:t>CRISPR</w:t>
      </w:r>
      <w:r w:rsidRPr="00C50452">
        <w:rPr>
          <w:rFonts w:ascii="Arial" w:hAnsi="Arial" w:cs="Arial"/>
          <w:color w:val="000000" w:themeColor="text1"/>
        </w:rPr>
        <w:t>) + empty expression vector</w:t>
      </w:r>
      <w:r w:rsidRPr="00C50452">
        <w:rPr>
          <w:rFonts w:ascii="Arial" w:hAnsi="Arial" w:cs="Arial"/>
          <w:color w:val="000000" w:themeColor="text1"/>
          <w:vertAlign w:val="superscript"/>
        </w:rPr>
        <w:t xml:space="preserve"> </w:t>
      </w:r>
      <w:r w:rsidRPr="00C50452">
        <w:rPr>
          <w:rFonts w:ascii="Arial" w:hAnsi="Arial" w:cs="Arial"/>
          <w:color w:val="000000" w:themeColor="text1"/>
        </w:rPr>
        <w:t>(CIRBP</w:t>
      </w:r>
      <w:r w:rsidRPr="00C50452">
        <w:rPr>
          <w:rFonts w:ascii="Arial" w:hAnsi="Arial" w:cs="Arial"/>
          <w:color w:val="000000" w:themeColor="text1"/>
          <w:vertAlign w:val="superscript"/>
        </w:rPr>
        <w:t>CRISPR+VC</w:t>
      </w:r>
      <w:r w:rsidRPr="00C50452">
        <w:rPr>
          <w:rFonts w:ascii="Arial" w:hAnsi="Arial" w:cs="Arial"/>
          <w:color w:val="000000" w:themeColor="text1"/>
        </w:rPr>
        <w:t>) or CIRBP</w:t>
      </w:r>
      <w:r w:rsidRPr="00C50452">
        <w:rPr>
          <w:rFonts w:ascii="Arial" w:hAnsi="Arial" w:cs="Arial"/>
          <w:color w:val="000000" w:themeColor="text1"/>
          <w:vertAlign w:val="superscript"/>
        </w:rPr>
        <w:t xml:space="preserve">CRISPR </w:t>
      </w:r>
      <w:r w:rsidRPr="00C50452">
        <w:rPr>
          <w:rFonts w:ascii="Arial" w:hAnsi="Arial" w:cs="Arial"/>
          <w:color w:val="000000" w:themeColor="text1"/>
        </w:rPr>
        <w:t>+ wild-type FLAG-tagged CIRBP (CIRBP</w:t>
      </w:r>
      <w:r w:rsidRPr="00C50452">
        <w:rPr>
          <w:rFonts w:ascii="Arial" w:hAnsi="Arial" w:cs="Arial"/>
          <w:color w:val="000000" w:themeColor="text1"/>
          <w:vertAlign w:val="superscript"/>
        </w:rPr>
        <w:t>CRISPR+WT</w:t>
      </w:r>
      <w:r w:rsidRPr="00C50452">
        <w:rPr>
          <w:rFonts w:ascii="Arial" w:hAnsi="Arial" w:cs="Arial"/>
          <w:color w:val="000000" w:themeColor="text1"/>
        </w:rPr>
        <w:t>). B) Immunoblot analysis for RBM3 and α-Tubulin in parental, AAVS1</w:t>
      </w:r>
      <w:r w:rsidRPr="00C50452">
        <w:rPr>
          <w:rFonts w:ascii="Arial" w:hAnsi="Arial" w:cs="Arial"/>
          <w:color w:val="000000" w:themeColor="text1"/>
          <w:vertAlign w:val="superscript"/>
        </w:rPr>
        <w:t>CTRL</w:t>
      </w:r>
      <w:r w:rsidRPr="00C50452">
        <w:rPr>
          <w:rFonts w:ascii="Arial" w:hAnsi="Arial" w:cs="Arial"/>
          <w:color w:val="000000" w:themeColor="text1"/>
        </w:rPr>
        <w:t>, CIRBP</w:t>
      </w:r>
      <w:r w:rsidRPr="00C50452">
        <w:rPr>
          <w:rFonts w:ascii="Arial" w:hAnsi="Arial" w:cs="Arial"/>
          <w:color w:val="000000" w:themeColor="text1"/>
          <w:vertAlign w:val="superscript"/>
        </w:rPr>
        <w:t>CRISPR+VC</w:t>
      </w:r>
      <w:r w:rsidRPr="00C50452">
        <w:rPr>
          <w:rFonts w:ascii="Arial" w:hAnsi="Arial" w:cs="Arial"/>
          <w:color w:val="000000" w:themeColor="text1"/>
        </w:rPr>
        <w:t xml:space="preserve"> and CIRBP</w:t>
      </w:r>
      <w:r w:rsidRPr="00C50452">
        <w:rPr>
          <w:rFonts w:ascii="Arial" w:hAnsi="Arial" w:cs="Arial"/>
          <w:color w:val="000000" w:themeColor="text1"/>
          <w:vertAlign w:val="superscript"/>
        </w:rPr>
        <w:t>CRISPR+WT</w:t>
      </w:r>
      <w:r w:rsidRPr="00C50452">
        <w:rPr>
          <w:rFonts w:ascii="Arial" w:hAnsi="Arial" w:cs="Arial"/>
          <w:color w:val="000000" w:themeColor="text1"/>
        </w:rPr>
        <w:t xml:space="preserve"> MDA-MB-231 cells. C) Immunohistochemistry for CIRBP after intracranial</w:t>
      </w:r>
      <w:r w:rsidRPr="00C50452">
        <w:rPr>
          <w:rFonts w:ascii="Arial" w:hAnsi="Arial" w:cs="Arial"/>
          <w:i/>
          <w:iCs/>
          <w:color w:val="000000" w:themeColor="text1"/>
        </w:rPr>
        <w:t xml:space="preserve"> </w:t>
      </w:r>
      <w:r w:rsidRPr="00C50452">
        <w:rPr>
          <w:rFonts w:ascii="Arial" w:hAnsi="Arial" w:cs="Arial"/>
          <w:color w:val="000000" w:themeColor="text1"/>
        </w:rPr>
        <w:t>implantation of parental, CIRBP</w:t>
      </w:r>
      <w:r w:rsidRPr="00C50452">
        <w:rPr>
          <w:rFonts w:ascii="Arial" w:hAnsi="Arial" w:cs="Arial"/>
          <w:color w:val="000000" w:themeColor="text1"/>
          <w:vertAlign w:val="superscript"/>
        </w:rPr>
        <w:t>CRISPR+VC</w:t>
      </w:r>
      <w:r w:rsidRPr="00C50452">
        <w:rPr>
          <w:rFonts w:ascii="Arial" w:hAnsi="Arial" w:cs="Arial"/>
          <w:color w:val="000000" w:themeColor="text1"/>
        </w:rPr>
        <w:t xml:space="preserve"> or CIRBP</w:t>
      </w:r>
      <w:r w:rsidRPr="00C50452">
        <w:rPr>
          <w:rFonts w:ascii="Arial" w:hAnsi="Arial" w:cs="Arial"/>
          <w:color w:val="000000" w:themeColor="text1"/>
          <w:vertAlign w:val="superscript"/>
        </w:rPr>
        <w:t>CRISPR+WT</w:t>
      </w:r>
      <w:r w:rsidRPr="00C50452">
        <w:rPr>
          <w:rFonts w:ascii="Arial" w:hAnsi="Arial" w:cs="Arial"/>
          <w:color w:val="000000" w:themeColor="text1"/>
        </w:rPr>
        <w:t xml:space="preserve"> MDA-MB-231 cells into the brains of immunocompromised mice. Insets represent higher magnification views of the associated image above. The Scale bar in the right most images is applicable to all images within the same row.</w:t>
      </w:r>
    </w:p>
    <w:p w14:paraId="7803FA6D" w14:textId="77777777" w:rsidR="00422C1A" w:rsidRPr="00C50452" w:rsidRDefault="00422C1A" w:rsidP="00422C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rPr>
      </w:pPr>
    </w:p>
    <w:p w14:paraId="4BAB2B79" w14:textId="3C4C44A4" w:rsidR="00422C1A" w:rsidRPr="00C50452" w:rsidRDefault="00422C1A" w:rsidP="00422C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rPr>
      </w:pPr>
      <w:r w:rsidRPr="00C50452">
        <w:rPr>
          <w:rFonts w:ascii="Arial" w:hAnsi="Arial" w:cs="Arial"/>
        </w:rPr>
        <w:t xml:space="preserve">Supplemental Figure 2: Software algorithm used to define CIRBP positivity. A) Representative images of CIRBP immunohistochemistry staining from hormone receptor positive patients in the Gold Series tissue microarray, with annotation for tumor cells indicated with yellow regions of interest (left), and examples of 0+, 1+, 2+, and 3+ staining cells in matched regions of interest with the HALO digital pathology algorithm (right). </w:t>
      </w:r>
      <w:r w:rsidRPr="00C50452">
        <w:rPr>
          <w:rFonts w:ascii="Arial" w:eastAsiaTheme="minorHAnsi" w:hAnsi="Arial" w:cs="Arial"/>
          <w:color w:val="000000"/>
          <w:lang w:val="en-US"/>
          <w14:ligatures w14:val="standardContextual"/>
        </w:rPr>
        <w:t>0+ = blue, 1+ = yellow, 2+ = orange, 3+ = red.</w:t>
      </w:r>
      <w:r w:rsidRPr="00C50452">
        <w:rPr>
          <w:rFonts w:ascii="Arial" w:hAnsi="Arial" w:cs="Arial"/>
        </w:rPr>
        <w:t xml:space="preserve"> Scale bar: 100 µM. B) Quantification of CIRBP H-score by immunohistochemistry from patients in the Gold Series tissue microarray, with means demonstrated on the bar graph. Error bars represent standard error of means. ANOVA was performed to calculate P-value.  C) Representative images of CIRBP immunohistochemistry staining from patients in the Triple-Negative Breast Cancer tissue microarray, with examples of 0+, 1+, 2+, and 3+ staining cells in matched regions of interest with the HALO digital pathology algorithm (right). </w:t>
      </w:r>
      <w:r w:rsidRPr="00C50452">
        <w:rPr>
          <w:rFonts w:ascii="Arial" w:eastAsiaTheme="minorHAnsi" w:hAnsi="Arial" w:cs="Arial"/>
          <w:color w:val="000000"/>
          <w:lang w:val="en-US"/>
          <w14:ligatures w14:val="standardContextual"/>
        </w:rPr>
        <w:t>0+ = blue, 1+ = yellow, 2+ = orange, 3+ = red.</w:t>
      </w:r>
      <w:r w:rsidRPr="00C50452">
        <w:rPr>
          <w:rFonts w:ascii="Arial" w:hAnsi="Arial" w:cs="Arial"/>
        </w:rPr>
        <w:t xml:space="preserve"> Scale bar: 50 µM. Abbreviations: HR+: hormone receptor positive, HER2+: human epidermal growth factor receptor 2 positive, TNBC: triple-negative breast cancer. </w:t>
      </w:r>
    </w:p>
    <w:p w14:paraId="2773E7DB" w14:textId="77777777" w:rsidR="00A41D44" w:rsidRPr="00C50452" w:rsidRDefault="00A41D44" w:rsidP="00422C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rPr>
      </w:pPr>
    </w:p>
    <w:p w14:paraId="2589C546" w14:textId="3C018A2D" w:rsidR="00A41D44" w:rsidRPr="00C50452" w:rsidRDefault="00A41D44" w:rsidP="00422C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eastAsiaTheme="minorHAnsi" w:hAnsi="Arial" w:cs="Arial"/>
          <w:color w:val="000000"/>
          <w:lang w:val="en-US"/>
          <w14:ligatures w14:val="standardContextual"/>
        </w:rPr>
      </w:pPr>
      <w:r w:rsidRPr="00C50452">
        <w:rPr>
          <w:rFonts w:ascii="Arial" w:hAnsi="Arial" w:cs="Arial"/>
          <w:color w:val="000000" w:themeColor="text1"/>
        </w:rPr>
        <w:t>Supplemental Figure 3: Uncropped immunoblots from Supplemental Figure 1. A) Corresponds to Supplemental Figure 1A. B) Corresponds to Supplemental Figure 1B.</w:t>
      </w:r>
    </w:p>
    <w:p w14:paraId="00AF8ED0" w14:textId="77777777" w:rsidR="00D33AD0" w:rsidRDefault="00D33AD0">
      <w:pPr>
        <w:rPr>
          <w:lang w:val="en-US"/>
        </w:rPr>
      </w:pPr>
    </w:p>
    <w:p w14:paraId="22B8872D" w14:textId="77777777" w:rsidR="00A41D44" w:rsidRPr="00422C1A" w:rsidRDefault="00A41D44">
      <w:pPr>
        <w:rPr>
          <w:lang w:val="en-US"/>
        </w:rPr>
      </w:pPr>
    </w:p>
    <w:sectPr w:rsidR="00A41D44" w:rsidRPr="00422C1A" w:rsidSect="00CA748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C1A"/>
    <w:rsid w:val="00002AEE"/>
    <w:rsid w:val="00010260"/>
    <w:rsid w:val="000216CF"/>
    <w:rsid w:val="00036E3E"/>
    <w:rsid w:val="0004668A"/>
    <w:rsid w:val="00066F0C"/>
    <w:rsid w:val="00070FE3"/>
    <w:rsid w:val="00085999"/>
    <w:rsid w:val="000A1D58"/>
    <w:rsid w:val="000B0070"/>
    <w:rsid w:val="000B4D0F"/>
    <w:rsid w:val="000B5195"/>
    <w:rsid w:val="000C38C1"/>
    <w:rsid w:val="000C63B8"/>
    <w:rsid w:val="000E6AEA"/>
    <w:rsid w:val="001062FA"/>
    <w:rsid w:val="00135248"/>
    <w:rsid w:val="00143F7F"/>
    <w:rsid w:val="00145D08"/>
    <w:rsid w:val="00151E1A"/>
    <w:rsid w:val="00187EA4"/>
    <w:rsid w:val="00194465"/>
    <w:rsid w:val="001A02B9"/>
    <w:rsid w:val="001A593D"/>
    <w:rsid w:val="001B23B7"/>
    <w:rsid w:val="001B32CD"/>
    <w:rsid w:val="001B7090"/>
    <w:rsid w:val="001D5344"/>
    <w:rsid w:val="002119A1"/>
    <w:rsid w:val="0021724E"/>
    <w:rsid w:val="00264559"/>
    <w:rsid w:val="002750AB"/>
    <w:rsid w:val="00295751"/>
    <w:rsid w:val="002A429B"/>
    <w:rsid w:val="002C2348"/>
    <w:rsid w:val="002C6ACB"/>
    <w:rsid w:val="002D2765"/>
    <w:rsid w:val="00315CC9"/>
    <w:rsid w:val="00332414"/>
    <w:rsid w:val="00365EA0"/>
    <w:rsid w:val="0038301D"/>
    <w:rsid w:val="00385730"/>
    <w:rsid w:val="003A2205"/>
    <w:rsid w:val="003A79D8"/>
    <w:rsid w:val="003D1227"/>
    <w:rsid w:val="003E6CDE"/>
    <w:rsid w:val="003F1773"/>
    <w:rsid w:val="003F3F11"/>
    <w:rsid w:val="0040546E"/>
    <w:rsid w:val="00422C1A"/>
    <w:rsid w:val="00434B47"/>
    <w:rsid w:val="00434E86"/>
    <w:rsid w:val="00455A14"/>
    <w:rsid w:val="00467D69"/>
    <w:rsid w:val="00474AE6"/>
    <w:rsid w:val="00474FFA"/>
    <w:rsid w:val="00477B52"/>
    <w:rsid w:val="004A7938"/>
    <w:rsid w:val="004B06A3"/>
    <w:rsid w:val="005149CD"/>
    <w:rsid w:val="00517647"/>
    <w:rsid w:val="005514CD"/>
    <w:rsid w:val="00563776"/>
    <w:rsid w:val="0057047E"/>
    <w:rsid w:val="005B35B7"/>
    <w:rsid w:val="005C2F05"/>
    <w:rsid w:val="005E74CC"/>
    <w:rsid w:val="005F2ABF"/>
    <w:rsid w:val="005F49C8"/>
    <w:rsid w:val="005F51AA"/>
    <w:rsid w:val="00626F36"/>
    <w:rsid w:val="00632E13"/>
    <w:rsid w:val="006367E2"/>
    <w:rsid w:val="0065478A"/>
    <w:rsid w:val="006553BE"/>
    <w:rsid w:val="00682B9F"/>
    <w:rsid w:val="006928EF"/>
    <w:rsid w:val="006C570C"/>
    <w:rsid w:val="007102C5"/>
    <w:rsid w:val="0071562F"/>
    <w:rsid w:val="007430A8"/>
    <w:rsid w:val="00766A5B"/>
    <w:rsid w:val="007843C7"/>
    <w:rsid w:val="0078673E"/>
    <w:rsid w:val="00797252"/>
    <w:rsid w:val="00797A1C"/>
    <w:rsid w:val="007A08D8"/>
    <w:rsid w:val="007A7669"/>
    <w:rsid w:val="007D2FA1"/>
    <w:rsid w:val="007D5CF6"/>
    <w:rsid w:val="007E0051"/>
    <w:rsid w:val="00802E2A"/>
    <w:rsid w:val="00833B42"/>
    <w:rsid w:val="00835097"/>
    <w:rsid w:val="00836278"/>
    <w:rsid w:val="00840FBB"/>
    <w:rsid w:val="008478A0"/>
    <w:rsid w:val="00852978"/>
    <w:rsid w:val="00862649"/>
    <w:rsid w:val="00870680"/>
    <w:rsid w:val="0089390A"/>
    <w:rsid w:val="008E2A82"/>
    <w:rsid w:val="008F5EE6"/>
    <w:rsid w:val="008F646C"/>
    <w:rsid w:val="0092473F"/>
    <w:rsid w:val="00927E06"/>
    <w:rsid w:val="00933A24"/>
    <w:rsid w:val="00956AB6"/>
    <w:rsid w:val="009808C0"/>
    <w:rsid w:val="009C5578"/>
    <w:rsid w:val="009E4789"/>
    <w:rsid w:val="009E7E6B"/>
    <w:rsid w:val="00A064EB"/>
    <w:rsid w:val="00A14861"/>
    <w:rsid w:val="00A16BAB"/>
    <w:rsid w:val="00A41D44"/>
    <w:rsid w:val="00A52BEE"/>
    <w:rsid w:val="00A52FD3"/>
    <w:rsid w:val="00A5634C"/>
    <w:rsid w:val="00A60EAC"/>
    <w:rsid w:val="00A73BC0"/>
    <w:rsid w:val="00AA6F5F"/>
    <w:rsid w:val="00AA781C"/>
    <w:rsid w:val="00AB3947"/>
    <w:rsid w:val="00AD73F6"/>
    <w:rsid w:val="00AF031B"/>
    <w:rsid w:val="00AF24DD"/>
    <w:rsid w:val="00B37484"/>
    <w:rsid w:val="00B61C2C"/>
    <w:rsid w:val="00B62600"/>
    <w:rsid w:val="00B65CC7"/>
    <w:rsid w:val="00B905AC"/>
    <w:rsid w:val="00B94194"/>
    <w:rsid w:val="00B9651E"/>
    <w:rsid w:val="00BA303C"/>
    <w:rsid w:val="00BA4242"/>
    <w:rsid w:val="00BF24B1"/>
    <w:rsid w:val="00BF4017"/>
    <w:rsid w:val="00C11465"/>
    <w:rsid w:val="00C317BC"/>
    <w:rsid w:val="00C31969"/>
    <w:rsid w:val="00C34167"/>
    <w:rsid w:val="00C41E45"/>
    <w:rsid w:val="00C50452"/>
    <w:rsid w:val="00C7108C"/>
    <w:rsid w:val="00C735C5"/>
    <w:rsid w:val="00C9321F"/>
    <w:rsid w:val="00C94797"/>
    <w:rsid w:val="00CA748E"/>
    <w:rsid w:val="00CF2A75"/>
    <w:rsid w:val="00D0196D"/>
    <w:rsid w:val="00D034B1"/>
    <w:rsid w:val="00D33AD0"/>
    <w:rsid w:val="00D33C3E"/>
    <w:rsid w:val="00D3754A"/>
    <w:rsid w:val="00D42D53"/>
    <w:rsid w:val="00D43327"/>
    <w:rsid w:val="00D471EF"/>
    <w:rsid w:val="00D620A1"/>
    <w:rsid w:val="00D62F0D"/>
    <w:rsid w:val="00D72D10"/>
    <w:rsid w:val="00D805C1"/>
    <w:rsid w:val="00DA0FDF"/>
    <w:rsid w:val="00DA3980"/>
    <w:rsid w:val="00DB172D"/>
    <w:rsid w:val="00DE5B98"/>
    <w:rsid w:val="00DE6458"/>
    <w:rsid w:val="00DF2319"/>
    <w:rsid w:val="00E17491"/>
    <w:rsid w:val="00E248F0"/>
    <w:rsid w:val="00E2606D"/>
    <w:rsid w:val="00E41B56"/>
    <w:rsid w:val="00E42BB7"/>
    <w:rsid w:val="00E44E42"/>
    <w:rsid w:val="00E81E3E"/>
    <w:rsid w:val="00E97CE4"/>
    <w:rsid w:val="00EC6312"/>
    <w:rsid w:val="00EC7019"/>
    <w:rsid w:val="00ED2C0B"/>
    <w:rsid w:val="00EF0062"/>
    <w:rsid w:val="00EF1AD0"/>
    <w:rsid w:val="00EF2AE0"/>
    <w:rsid w:val="00F00395"/>
    <w:rsid w:val="00F11DD0"/>
    <w:rsid w:val="00F150CB"/>
    <w:rsid w:val="00F448EC"/>
    <w:rsid w:val="00F51C81"/>
    <w:rsid w:val="00F715C1"/>
    <w:rsid w:val="00F7368C"/>
    <w:rsid w:val="00F7478F"/>
    <w:rsid w:val="00F83433"/>
    <w:rsid w:val="00FB5EB6"/>
    <w:rsid w:val="00FC02B8"/>
    <w:rsid w:val="00FE0DAD"/>
    <w:rsid w:val="00FF798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725EBC7A"/>
  <w15:chartTrackingRefBased/>
  <w15:docId w15:val="{6C982A99-5B93-5F42-9451-878B249D0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2C1A"/>
    <w:rPr>
      <w:rFonts w:ascii="Times New Roman" w:eastAsia="Times New Roman" w:hAnsi="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F1773"/>
    <w:rPr>
      <w:rFonts w:eastAsiaTheme="minorHAnsi"/>
      <w:kern w:val="2"/>
      <w:sz w:val="18"/>
      <w:szCs w:val="18"/>
      <w14:ligatures w14:val="standardContextual"/>
    </w:rPr>
  </w:style>
  <w:style w:type="character" w:customStyle="1" w:styleId="BalloonTextChar">
    <w:name w:val="Balloon Text Char"/>
    <w:basedOn w:val="DefaultParagraphFont"/>
    <w:link w:val="BalloonText"/>
    <w:uiPriority w:val="99"/>
    <w:semiHidden/>
    <w:rsid w:val="003F1773"/>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6553BE"/>
    <w:rPr>
      <w:sz w:val="16"/>
      <w:szCs w:val="16"/>
    </w:rPr>
  </w:style>
  <w:style w:type="paragraph" w:styleId="CommentText">
    <w:name w:val="annotation text"/>
    <w:basedOn w:val="Normal"/>
    <w:link w:val="CommentTextChar"/>
    <w:uiPriority w:val="99"/>
    <w:semiHidden/>
    <w:unhideWhenUsed/>
    <w:rsid w:val="006553BE"/>
    <w:rPr>
      <w:sz w:val="20"/>
      <w:szCs w:val="20"/>
    </w:rPr>
  </w:style>
  <w:style w:type="character" w:customStyle="1" w:styleId="CommentTextChar">
    <w:name w:val="Comment Text Char"/>
    <w:basedOn w:val="DefaultParagraphFont"/>
    <w:link w:val="CommentText"/>
    <w:uiPriority w:val="99"/>
    <w:semiHidden/>
    <w:rsid w:val="006553BE"/>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553BE"/>
    <w:rPr>
      <w:b/>
      <w:bCs/>
    </w:rPr>
  </w:style>
  <w:style w:type="character" w:customStyle="1" w:styleId="CommentSubjectChar">
    <w:name w:val="Comment Subject Char"/>
    <w:basedOn w:val="CommentTextChar"/>
    <w:link w:val="CommentSubject"/>
    <w:uiPriority w:val="99"/>
    <w:semiHidden/>
    <w:rsid w:val="006553BE"/>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324</Words>
  <Characters>1885</Characters>
  <Application>Microsoft Office Word</Application>
  <DocSecurity>0</DocSecurity>
  <Lines>58</Lines>
  <Paragraphs>40</Paragraphs>
  <ScaleCrop>false</ScaleCrop>
  <Company/>
  <LinksUpToDate>false</LinksUpToDate>
  <CharactersWithSpaces>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Dankner</dc:creator>
  <cp:keywords/>
  <dc:description/>
  <cp:lastModifiedBy>Matthew Dankner</cp:lastModifiedBy>
  <cp:revision>6</cp:revision>
  <dcterms:created xsi:type="dcterms:W3CDTF">2025-02-10T21:51:00Z</dcterms:created>
  <dcterms:modified xsi:type="dcterms:W3CDTF">2025-02-12T01:00:00Z</dcterms:modified>
</cp:coreProperties>
</file>