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D711" w14:textId="77777777" w:rsidR="00105BED" w:rsidRPr="002F0633" w:rsidRDefault="00105BED" w:rsidP="00105BED">
      <w:pPr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2F0633">
        <w:rPr>
          <w:rFonts w:ascii="Arial" w:hAnsi="Arial" w:cs="Arial"/>
          <w:b/>
          <w:bCs/>
          <w:color w:val="000000" w:themeColor="text1"/>
          <w:sz w:val="24"/>
          <w:szCs w:val="28"/>
        </w:rPr>
        <w:t>Cell-Level Recognition and Classification (TLScope-Cell)</w:t>
      </w:r>
    </w:p>
    <w:p w14:paraId="7E368A61" w14:textId="63C8816E" w:rsidR="00105BED" w:rsidRPr="002F0633" w:rsidRDefault="00105BED" w:rsidP="00105BED">
      <w:pPr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For single-cell level characterization (Fig. 5B) from the filtered cell-image blocks, we first employed a deep convolutional neural network based on the </w:t>
      </w:r>
      <w:proofErr w:type="spellStart"/>
      <w:r w:rsidRPr="002F0633">
        <w:rPr>
          <w:rFonts w:ascii="Arial" w:hAnsi="Arial" w:cs="Arial"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color w:val="000000" w:themeColor="text1"/>
        </w:rPr>
        <w:t>-Net architecture. This model is designed for simultaneous nuclear instance segmentation and preliminary multi-type classification (neoplastic, inflammatory, connective tissue, or non-neoplastic epithelial).</w:t>
      </w:r>
    </w:p>
    <w:p w14:paraId="0D6797F6" w14:textId="58951D06" w:rsidR="00105BED" w:rsidRPr="00105BED" w:rsidRDefault="00105BED" w:rsidP="00105BED">
      <w:pPr>
        <w:pStyle w:val="a9"/>
        <w:numPr>
          <w:ilvl w:val="0"/>
          <w:numId w:val="5"/>
        </w:numPr>
        <w:spacing w:after="0"/>
        <w:ind w:left="578" w:hanging="357"/>
        <w:jc w:val="both"/>
        <w:rPr>
          <w:rFonts w:ascii="Arial" w:hAnsi="Arial" w:cs="Arial"/>
          <w:b/>
          <w:bCs/>
          <w:color w:val="000000" w:themeColor="text1"/>
        </w:rPr>
      </w:pPr>
      <w:proofErr w:type="spellStart"/>
      <w:r w:rsidRPr="00105BED">
        <w:rPr>
          <w:rFonts w:ascii="Arial" w:hAnsi="Arial" w:cs="Arial"/>
          <w:b/>
          <w:bCs/>
          <w:color w:val="000000" w:themeColor="text1"/>
        </w:rPr>
        <w:t>HoVer</w:t>
      </w:r>
      <w:proofErr w:type="spellEnd"/>
      <w:r w:rsidRPr="00105BED">
        <w:rPr>
          <w:rFonts w:ascii="Arial" w:hAnsi="Arial" w:cs="Arial"/>
          <w:b/>
          <w:bCs/>
          <w:color w:val="000000" w:themeColor="text1"/>
        </w:rPr>
        <w:t>-Net Architecture and Training</w:t>
      </w:r>
    </w:p>
    <w:p w14:paraId="5A3D816C" w14:textId="77777777" w:rsidR="00105BED" w:rsidRPr="002F0633" w:rsidRDefault="00105BED" w:rsidP="00105BED">
      <w:pPr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The network's encoder utilizes a </w:t>
      </w:r>
      <w:r w:rsidRPr="002F0633">
        <w:rPr>
          <w:rFonts w:ascii="Arial" w:hAnsi="Arial" w:cs="Arial"/>
          <w:b/>
          <w:bCs/>
          <w:color w:val="000000" w:themeColor="text1"/>
        </w:rPr>
        <w:t>Preact-ResNet50 backbone</w:t>
      </w:r>
      <w:r w:rsidRPr="002F0633">
        <w:rPr>
          <w:rFonts w:ascii="Arial" w:hAnsi="Arial" w:cs="Arial"/>
          <w:color w:val="000000" w:themeColor="text1"/>
        </w:rPr>
        <w:t>. This backbone was modified from the standard implementation to reduce the total down-sampling factor from 32× to 8× by setting the stride of the first convolution to 1 and removing the subsequent max-pooling operation. This modification ensures that crucial fine-grained information for accurate segmentation is preserved. The encoder extracts multi-scale features, which are then processed by three distinct, parallel decoder branches:</w:t>
      </w:r>
    </w:p>
    <w:p w14:paraId="049AE9E6" w14:textId="77777777" w:rsidR="00105BED" w:rsidRPr="002F0633" w:rsidRDefault="00105BED" w:rsidP="00105BE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Nuclear Pixel (NP) Branch:</w:t>
      </w:r>
      <w:r w:rsidRPr="002F0633">
        <w:rPr>
          <w:rFonts w:ascii="Arial" w:hAnsi="Arial" w:cs="Arial"/>
          <w:color w:val="000000" w:themeColor="text1"/>
        </w:rPr>
        <w:t xml:space="preserve"> This branch predicts a binary mask indicating whether each pixel belongs to a nucleus or the background.</w:t>
      </w:r>
    </w:p>
    <w:p w14:paraId="460BD1FB" w14:textId="77777777" w:rsidR="00105BED" w:rsidRPr="002F0633" w:rsidRDefault="00105BED" w:rsidP="00105BE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Horizontal/Vertical (</w:t>
      </w:r>
      <w:proofErr w:type="spellStart"/>
      <w:r w:rsidRPr="002F0633">
        <w:rPr>
          <w:rFonts w:ascii="Arial" w:hAnsi="Arial" w:cs="Arial"/>
          <w:b/>
          <w:bCs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b/>
          <w:bCs/>
          <w:color w:val="000000" w:themeColor="text1"/>
        </w:rPr>
        <w:t>) Branch:</w:t>
      </w:r>
      <w:r w:rsidRPr="002F0633">
        <w:rPr>
          <w:rFonts w:ascii="Arial" w:hAnsi="Arial" w:cs="Arial"/>
          <w:color w:val="000000" w:themeColor="text1"/>
        </w:rPr>
        <w:t xml:space="preserve"> This branch regresses the horizontal and vertical distances of nuclear pixels to their respective centers of mass. These distance maps provide rich instance-specific information crucial for separating touching or overlapping nuclei.</w:t>
      </w:r>
    </w:p>
    <w:p w14:paraId="4E835137" w14:textId="77777777" w:rsidR="00105BED" w:rsidRPr="002F0633" w:rsidRDefault="00105BED" w:rsidP="00105BE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Nuclear Classification (NC) Branch:</w:t>
      </w:r>
      <w:r w:rsidRPr="002F0633">
        <w:rPr>
          <w:rFonts w:ascii="Arial" w:hAnsi="Arial" w:cs="Arial"/>
          <w:color w:val="000000" w:themeColor="text1"/>
        </w:rPr>
        <w:t xml:space="preserve"> This branch predicts the class of each nucleus pixel.</w:t>
      </w:r>
    </w:p>
    <w:p w14:paraId="1ECF8C51" w14:textId="77777777" w:rsidR="00105BED" w:rsidRPr="002F0633" w:rsidRDefault="00105BED" w:rsidP="00105BED">
      <w:pPr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These three branches share the upstream encoder, allowing for end-to-end training and promoting shared learning of features relevant to all tasks. The model was initialized with weights pre-trained on the </w:t>
      </w:r>
      <w:proofErr w:type="spellStart"/>
      <w:r w:rsidRPr="002F0633">
        <w:rPr>
          <w:rFonts w:ascii="Arial" w:hAnsi="Arial" w:cs="Arial"/>
          <w:color w:val="000000" w:themeColor="text1"/>
        </w:rPr>
        <w:t>PanNuke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dataset and subsequently fine-tuned on our internal dataset of 453 annotated cell-image blocks.</w:t>
      </w:r>
    </w:p>
    <w:p w14:paraId="1B46B108" w14:textId="77777777" w:rsidR="00105BED" w:rsidRPr="002F0633" w:rsidRDefault="00105BED" w:rsidP="00105BED">
      <w:pPr>
        <w:ind w:leftChars="100" w:left="220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Training was performed using a composite loss function, L, defined as a weighted sum of losses from each branch:</w:t>
      </w:r>
    </w:p>
    <w:p w14:paraId="02023CD4" w14:textId="77777777" w:rsidR="00105BED" w:rsidRPr="002F0633" w:rsidRDefault="00105BED" w:rsidP="00105BED">
      <w:pPr>
        <w:spacing w:after="0"/>
        <w:jc w:val="both"/>
        <w:rPr>
          <w:rFonts w:ascii="Arial" w:hAnsi="Arial" w:cs="Arial"/>
          <w:color w:val="000000" w:themeColor="text1"/>
        </w:rPr>
      </w:pPr>
      <m:oMathPara>
        <m:oMath>
          <m:r>
            <w:rPr>
              <w:rFonts w:ascii="Cambria Math" w:hAnsi="Cambria Math" w:cs="Arial"/>
              <w:color w:val="000000" w:themeColor="text1"/>
            </w:rPr>
            <m:t>L=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a</m:t>
              </m:r>
            </m:sub>
          </m:sSub>
          <m:r>
            <w:rPr>
              <w:rFonts w:ascii="Cambria Math" w:hAnsi="Cambria Math" w:cs="Arial"/>
              <w:color w:val="000000" w:themeColor="text1"/>
            </w:rPr>
            <m:t>+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b</m:t>
              </m:r>
            </m:sub>
          </m:sSub>
          <m:r>
            <w:rPr>
              <w:rFonts w:ascii="Cambria Math" w:hAnsi="Cambria Math" w:cs="Arial"/>
              <w:color w:val="000000" w:themeColor="text1"/>
            </w:rPr>
            <m:t>+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c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c</m:t>
              </m:r>
            </m:sub>
          </m:sSub>
          <m:r>
            <w:rPr>
              <w:rFonts w:ascii="Cambria Math" w:hAnsi="Cambria Math" w:cs="Arial"/>
              <w:color w:val="000000" w:themeColor="text1"/>
            </w:rPr>
            <m:t>+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d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d</m:t>
              </m:r>
            </m:sub>
          </m:sSub>
          <m:r>
            <w:rPr>
              <w:rFonts w:ascii="Cambria Math" w:hAnsi="Cambria Math" w:cs="Arial"/>
              <w:color w:val="000000" w:themeColor="text1"/>
            </w:rPr>
            <m:t>+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e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e</m:t>
              </m:r>
            </m:sub>
          </m:sSub>
          <m:r>
            <w:rPr>
              <w:rFonts w:ascii="Cambria Math" w:hAnsi="Cambria Math" w:cs="Arial"/>
              <w:color w:val="000000" w:themeColor="text1"/>
            </w:rPr>
            <m:t>+</m:t>
          </m:r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f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L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f</m:t>
              </m:r>
            </m:sub>
          </m:sSub>
        </m:oMath>
      </m:oMathPara>
    </w:p>
    <w:p w14:paraId="2AE437FB" w14:textId="77777777" w:rsidR="00105BED" w:rsidRPr="002F0633" w:rsidRDefault="00105BED" w:rsidP="00105BED">
      <w:pPr>
        <w:spacing w:after="0"/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Where:</w:t>
      </w:r>
    </w:p>
    <w:p w14:paraId="10445D0C" w14:textId="77777777" w:rsidR="00105BED" w:rsidRPr="002F0633" w:rsidRDefault="00105BED" w:rsidP="00105BED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For the </w:t>
      </w:r>
      <w:proofErr w:type="spellStart"/>
      <w:r w:rsidRPr="002F0633">
        <w:rPr>
          <w:rFonts w:ascii="Arial" w:hAnsi="Arial" w:cs="Arial"/>
          <w:b/>
          <w:bCs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b/>
          <w:bCs/>
          <w:color w:val="000000" w:themeColor="text1"/>
        </w:rPr>
        <w:t xml:space="preserve"> Branch</w:t>
      </w:r>
      <w:r w:rsidRPr="002F0633">
        <w:rPr>
          <w:rFonts w:ascii="Arial" w:hAnsi="Arial" w:cs="Arial"/>
          <w:color w:val="000000" w:themeColor="text1"/>
        </w:rPr>
        <w:t>:</w:t>
      </w:r>
    </w:p>
    <w:p w14:paraId="29B25D11" w14:textId="77777777" w:rsidR="00105BED" w:rsidRPr="002F0633" w:rsidRDefault="00105BED" w:rsidP="00105BED">
      <w:pPr>
        <w:numPr>
          <w:ilvl w:val="1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a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is the mean squared error (MSE) between the predicted horizontal/vertical distance maps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</m:t>
            </m:r>
          </m:sub>
        </m:sSub>
        <m:r>
          <w:rPr>
            <w:rFonts w:ascii="Cambria Math" w:eastAsia="MS Gothic" w:hAnsi="Cambria Math" w:cs="Arial"/>
            <w:color w:val="000000" w:themeColor="text1"/>
          </w:rPr>
          <m:t>​</m:t>
        </m:r>
      </m:oMath>
      <w:r w:rsidRPr="002F0633">
        <w:rPr>
          <w:rFonts w:ascii="Arial" w:hAnsi="Arial" w:cs="Arial"/>
          <w:color w:val="000000" w:themeColor="text1"/>
        </w:rPr>
        <w:t>) and their ground truth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Γ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):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a</m:t>
            </m:r>
          </m:sub>
        </m:sSub>
        <m:r>
          <w:rPr>
            <w:rFonts w:ascii="Cambria Math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hAnsi="Cambria Math" w:cs="Arial"/>
                <w:color w:val="000000" w:themeColor="text1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Arial"/>
                <w:color w:val="000000" w:themeColor="text1"/>
              </w:rPr>
              <m:t>n</m:t>
            </m:r>
          </m:den>
        </m:f>
        <m:nary>
          <m:naryPr>
            <m:chr m:val="∑"/>
            <m:limLoc m:val="undOvr"/>
            <m:grow m:val="1"/>
            <m:ctrlPr>
              <w:rPr>
                <w:rFonts w:ascii="Cambria Math" w:hAnsi="Cambria Math" w:cs="Arial"/>
                <w:color w:val="000000" w:themeColor="text1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</w:rPr>
              <m:t>i=1</m:t>
            </m:r>
          </m:sub>
          <m:sup>
            <m:r>
              <w:rPr>
                <w:rFonts w:ascii="Cambria Math" w:hAnsi="Cambria Math" w:cs="Arial"/>
                <w:color w:val="000000" w:themeColor="text1"/>
              </w:rPr>
              <m:t>n</m:t>
            </m:r>
          </m:sup>
          <m:e>
            <m:r>
              <w:rPr>
                <w:rFonts w:ascii="Cambria Math" w:hAnsi="Cambria Math" w:cs="Arial"/>
                <w:color w:val="000000" w:themeColor="text1"/>
              </w:rPr>
              <m:t> </m:t>
            </m:r>
          </m:e>
        </m:nary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</m:t>
            </m:r>
          </m:sub>
        </m:sSub>
        <m:r>
          <w:rPr>
            <w:rFonts w:ascii="Cambria Math" w:hAnsi="Cambria Math" w:cs="Arial"/>
            <w:color w:val="000000" w:themeColor="text1"/>
          </w:rPr>
          <m:t>(I;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0</m:t>
            </m:r>
          </m:sub>
        </m:sSub>
        <m:r>
          <w:rPr>
            <w:rFonts w:ascii="Cambria Math" w:hAnsi="Cambria Math" w:cs="Arial"/>
            <w:color w:val="000000" w:themeColor="text1"/>
          </w:rPr>
          <m:t>,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1</m:t>
            </m:r>
          </m:sub>
        </m:sSub>
        <m:r>
          <w:rPr>
            <w:rFonts w:ascii="Cambria Math" w:hAnsi="Cambria Math" w:cs="Arial"/>
            <w:color w:val="000000" w:themeColor="text1"/>
          </w:rPr>
          <m:t>)-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Γ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</m:t>
            </m:r>
          </m:sub>
        </m:sSub>
        <m:r>
          <w:rPr>
            <w:rFonts w:ascii="Cambria Math" w:hAnsi="Cambria Math" w:cs="Arial"/>
            <w:color w:val="000000" w:themeColor="text1"/>
          </w:rPr>
          <m:t>(I)</m:t>
        </m:r>
        <m:sSup>
          <m:sSupPr>
            <m:ctrlPr>
              <w:rPr>
                <w:rFonts w:ascii="Cambria Math" w:hAnsi="Cambria Math" w:cs="Arial"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)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2</m:t>
            </m:r>
          </m:sup>
        </m:sSup>
      </m:oMath>
    </w:p>
    <w:p w14:paraId="3AA9287F" w14:textId="77777777" w:rsidR="00105BED" w:rsidRPr="002F0633" w:rsidRDefault="00105BED" w:rsidP="00105BED">
      <w:pPr>
        <w:numPr>
          <w:ilvl w:val="1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b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is a novel loss calculating the MSE between the gradients of the predicted distance maps and the gradients of their ground truth, focusing on the structure of the maps: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b</m:t>
            </m:r>
          </m:sub>
        </m:sSub>
        <m:r>
          <w:rPr>
            <w:rFonts w:ascii="Cambria Math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hAnsi="Cambria Math" w:cs="Arial"/>
                <w:color w:val="000000" w:themeColor="text1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Arial"/>
                <w:color w:val="000000" w:themeColor="text1"/>
              </w:rPr>
              <m:t>m</m:t>
            </m:r>
          </m:den>
        </m:f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 w:cs="Arial"/>
                <w:color w:val="000000" w:themeColor="text1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</w:rPr>
              <m:t>i∈M</m:t>
            </m:r>
          </m:sub>
          <m:sup/>
          <m:e>
            <m:r>
              <w:rPr>
                <w:rFonts w:ascii="Cambria Math" w:hAnsi="Cambria Math" w:cs="Arial"/>
                <w:color w:val="000000" w:themeColor="text1"/>
              </w:rPr>
              <m:t> </m:t>
            </m:r>
          </m:e>
        </m:nary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i,x</m:t>
            </m:r>
          </m:sub>
        </m:sSub>
        <m:r>
          <w:rPr>
            <w:rFonts w:ascii="Cambria Math" w:hAnsi="Cambria Math" w:cs="Arial"/>
            <w:color w:val="000000" w:themeColor="text1"/>
          </w:rPr>
          <m:t>(I;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0</m:t>
            </m:r>
          </m:sub>
        </m:sSub>
        <m:r>
          <w:rPr>
            <w:rFonts w:ascii="Cambria Math" w:hAnsi="Cambria Math" w:cs="Arial"/>
            <w:color w:val="000000" w:themeColor="text1"/>
          </w:rPr>
          <m:t>,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1</m:t>
            </m:r>
          </m:sub>
        </m:sSub>
        <m:r>
          <w:rPr>
            <w:rFonts w:ascii="Cambria Math" w:hAnsi="Cambria Math" w:cs="Arial"/>
            <w:color w:val="000000" w:themeColor="text1"/>
          </w:rPr>
          <m:t>))-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Γ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i,x</m:t>
            </m:r>
          </m:sub>
        </m:sSub>
        <m:r>
          <w:rPr>
            <w:rFonts w:ascii="Cambria Math" w:hAnsi="Cambria Math" w:cs="Arial"/>
            <w:color w:val="000000" w:themeColor="text1"/>
          </w:rPr>
          <m:t>(I))</m:t>
        </m:r>
        <m:sSup>
          <m:sSupPr>
            <m:ctrlPr>
              <w:rPr>
                <w:rFonts w:ascii="Cambria Math" w:hAnsi="Cambria Math" w:cs="Arial"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)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2</m:t>
            </m:r>
          </m:sup>
        </m:sSup>
        <m:r>
          <w:rPr>
            <w:rFonts w:ascii="Cambria Math" w:hAnsi="Cambria Math" w:cs="Arial"/>
            <w:color w:val="000000" w:themeColor="text1"/>
          </w:rPr>
          <m:t>+</m:t>
        </m:r>
        <m:f>
          <m:fPr>
            <m:ctrlPr>
              <w:rPr>
                <w:rFonts w:ascii="Cambria Math" w:hAnsi="Cambria Math" w:cs="Arial"/>
                <w:color w:val="000000" w:themeColor="text1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Arial"/>
                <w:color w:val="000000" w:themeColor="text1"/>
              </w:rPr>
              <m:t>m</m:t>
            </m:r>
          </m:den>
        </m:f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 w:cs="Arial"/>
                <w:color w:val="000000" w:themeColor="text1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</w:rPr>
              <m:t>i∈M</m:t>
            </m:r>
          </m:sub>
          <m:sup/>
          <m:e>
            <m:r>
              <w:rPr>
                <w:rFonts w:ascii="Cambria Math" w:hAnsi="Cambria Math" w:cs="Arial"/>
                <w:color w:val="000000" w:themeColor="text1"/>
              </w:rPr>
              <m:t> </m:t>
            </m:r>
          </m:e>
        </m:nary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i,y</m:t>
            </m:r>
          </m:sub>
        </m:sSub>
        <m:r>
          <w:rPr>
            <w:rFonts w:ascii="Cambria Math" w:hAnsi="Cambria Math" w:cs="Arial"/>
            <w:color w:val="000000" w:themeColor="text1"/>
          </w:rPr>
          <m:t>(I;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0</m:t>
            </m:r>
          </m:sub>
        </m:sSub>
        <m:r>
          <w:rPr>
            <w:rFonts w:ascii="Cambria Math" w:hAnsi="Cambria Math" w:cs="Arial"/>
            <w:color w:val="000000" w:themeColor="text1"/>
          </w:rPr>
          <m:t>,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w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1</m:t>
            </m:r>
          </m:sub>
        </m:sSub>
        <m:r>
          <w:rPr>
            <w:rFonts w:ascii="Cambria Math" w:hAnsi="Cambria Math" w:cs="Arial"/>
            <w:color w:val="000000" w:themeColor="text1"/>
          </w:rPr>
          <m:t>))-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  <m:r>
          <w:rPr>
            <w:rFonts w:ascii="Cambria Math" w:hAnsi="Cambria Math" w:cs="Arial"/>
            <w:color w:val="000000" w:themeColor="text1"/>
          </w:rPr>
          <m:t>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Γ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i,y</m:t>
            </m:r>
          </m:sub>
        </m:sSub>
        <m:r>
          <w:rPr>
            <w:rFonts w:ascii="Cambria Math" w:hAnsi="Cambria Math" w:cs="Arial"/>
            <w:color w:val="000000" w:themeColor="text1"/>
          </w:rPr>
          <m:t>(I))</m:t>
        </m:r>
        <m:sSup>
          <m:sSupPr>
            <m:ctrlPr>
              <w:rPr>
                <w:rFonts w:ascii="Cambria Math" w:hAnsi="Cambria Math" w:cs="Arial"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)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2</m:t>
            </m:r>
          </m:sup>
        </m:sSup>
      </m:oMath>
      <w:r w:rsidRPr="002F0633">
        <w:rPr>
          <w:rFonts w:ascii="Arial" w:hAnsi="Arial" w:cs="Arial"/>
          <w:color w:val="000000" w:themeColor="text1"/>
        </w:rPr>
        <w:t xml:space="preserve">Here,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 and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∇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 are the horizontal and vertical gradients, respectively, and M is the set of nuclear pixels. The authors set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λ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b</m:t>
            </m:r>
          </m:sub>
        </m:sSub>
        <m:r>
          <w:rPr>
            <w:rFonts w:ascii="Cambria Math" w:hAnsi="Cambria Math" w:cs="Arial"/>
            <w:color w:val="000000" w:themeColor="text1"/>
          </w:rPr>
          <m:t>=2</m:t>
        </m:r>
      </m:oMath>
      <w:r w:rsidRPr="002F0633">
        <w:rPr>
          <w:rFonts w:ascii="Arial" w:hAnsi="Arial" w:cs="Arial"/>
          <w:color w:val="000000" w:themeColor="text1"/>
        </w:rPr>
        <w:t xml:space="preserve"> and other </w:t>
      </w:r>
      <m:oMath>
        <m:r>
          <w:rPr>
            <w:rFonts w:ascii="Cambria Math" w:hAnsi="Cambria Math" w:cs="Arial"/>
            <w:color w:val="000000" w:themeColor="text1"/>
          </w:rPr>
          <m:t>λ</m:t>
        </m:r>
      </m:oMath>
      <w:r w:rsidRPr="002F0633">
        <w:rPr>
          <w:rFonts w:ascii="Arial" w:hAnsi="Arial" w:cs="Arial"/>
          <w:color w:val="000000" w:themeColor="text1"/>
        </w:rPr>
        <w:t xml:space="preserve"> values to 1.</w:t>
      </w:r>
    </w:p>
    <w:p w14:paraId="06836961" w14:textId="77777777" w:rsidR="00105BED" w:rsidRPr="002F0633" w:rsidRDefault="00105BED" w:rsidP="00105BED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For the </w:t>
      </w:r>
      <w:r w:rsidRPr="002F0633">
        <w:rPr>
          <w:rFonts w:ascii="Arial" w:hAnsi="Arial" w:cs="Arial"/>
          <w:b/>
          <w:bCs/>
          <w:color w:val="000000" w:themeColor="text1"/>
        </w:rPr>
        <w:t>NP Branch</w:t>
      </w:r>
      <w:r w:rsidRPr="002F0633">
        <w:rPr>
          <w:rFonts w:ascii="Arial" w:hAnsi="Arial" w:cs="Arial"/>
          <w:color w:val="000000" w:themeColor="text1"/>
        </w:rPr>
        <w:t xml:space="preserve"> (binary nuclear segmentation):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c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is the cross-entropy loss and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d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 is the Dice loss.</w:t>
      </w:r>
    </w:p>
    <w:p w14:paraId="7A6E6E86" w14:textId="77777777" w:rsidR="00105BED" w:rsidRPr="002F0633" w:rsidRDefault="00105BED" w:rsidP="00105BED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For the </w:t>
      </w:r>
      <w:r w:rsidRPr="002F0633">
        <w:rPr>
          <w:rFonts w:ascii="Arial" w:hAnsi="Arial" w:cs="Arial"/>
          <w:b/>
          <w:bCs/>
          <w:color w:val="000000" w:themeColor="text1"/>
        </w:rPr>
        <w:t>NC Branch</w:t>
      </w:r>
      <w:r w:rsidRPr="002F0633">
        <w:rPr>
          <w:rFonts w:ascii="Arial" w:hAnsi="Arial" w:cs="Arial"/>
          <w:color w:val="000000" w:themeColor="text1"/>
        </w:rPr>
        <w:t xml:space="preserve"> (multi-class nuclear classification):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e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is the cross-entropy loss and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f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is the Dice loss.</w:t>
      </w:r>
    </w:p>
    <w:p w14:paraId="79930509" w14:textId="77777777" w:rsidR="00105BED" w:rsidRPr="002F0633" w:rsidRDefault="00105BED" w:rsidP="00105BED">
      <w:pPr>
        <w:spacing w:after="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The general forms for cross-entropy (CE) and Dice loss used are:</w:t>
      </w:r>
    </w:p>
    <w:p w14:paraId="18351BF0" w14:textId="77777777" w:rsidR="00105BED" w:rsidRPr="002F0633" w:rsidRDefault="00105BED" w:rsidP="00105BED">
      <w:pPr>
        <w:rPr>
          <w:rFonts w:ascii="Arial" w:hAnsi="Arial" w:cs="Arial"/>
          <w:color w:val="000000" w:themeColor="text1"/>
        </w:rPr>
      </w:pPr>
      <m:oMathPara>
        <m:oMath>
          <m:r>
            <w:rPr>
              <w:rFonts w:ascii="Cambria Math" w:hAnsi="Cambria Math" w:cs="Arial"/>
              <w:color w:val="000000" w:themeColor="text1"/>
            </w:rPr>
            <m:t>CE=-</m:t>
          </m:r>
          <m:f>
            <m:fPr>
              <m:ctrlPr>
                <w:rPr>
                  <w:rFonts w:ascii="Cambria Math" w:hAnsi="Cambria Math" w:cs="Arial"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0000" w:themeColor="text1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 w:cs="Arial"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 w:cs="Arial"/>
                  <w:color w:val="000000" w:themeColor="text1"/>
                </w:rPr>
                <m:t>i=1</m:t>
              </m:r>
            </m:sub>
            <m:sup>
              <m:r>
                <w:rPr>
                  <w:rFonts w:ascii="Cambria Math" w:hAnsi="Cambria Math" w:cs="Arial"/>
                  <w:color w:val="000000" w:themeColor="text1"/>
                </w:rPr>
                <m:t>N</m:t>
              </m:r>
            </m:sup>
            <m:e>
              <m:r>
                <w:rPr>
                  <w:rFonts w:ascii="Cambria Math" w:hAnsi="Cambria Math" w:cs="Arial"/>
                  <w:color w:val="000000" w:themeColor="text1"/>
                </w:rPr>
                <m:t> </m:t>
              </m:r>
            </m:e>
          </m:nary>
          <m:nary>
            <m:naryPr>
              <m:chr m:val="∑"/>
              <m:limLoc m:val="undOvr"/>
              <m:grow m:val="1"/>
              <m:ctrlPr>
                <w:rPr>
                  <w:rFonts w:ascii="Cambria Math" w:hAnsi="Cambria Math" w:cs="Arial"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 w:cs="Arial"/>
                  <w:color w:val="000000" w:themeColor="text1"/>
                </w:rPr>
                <m:t>k=1</m:t>
              </m:r>
            </m:sub>
            <m:sup>
              <m:r>
                <w:rPr>
                  <w:rFonts w:ascii="Cambria Math" w:hAnsi="Cambria Math" w:cs="Arial"/>
                  <w:color w:val="000000" w:themeColor="text1"/>
                </w:rPr>
                <m:t>K</m:t>
              </m:r>
            </m:sup>
            <m:e>
              <m:r>
                <w:rPr>
                  <w:rFonts w:ascii="Cambria Math" w:hAnsi="Cambria Math" w:cs="Arial"/>
                  <w:color w:val="000000" w:themeColor="text1"/>
                </w:rPr>
                <m:t> </m:t>
              </m:r>
            </m:e>
          </m:nary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X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i,k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 w:cs="Arial"/>
                  <w:color w:val="000000" w:themeColor="text1"/>
                </w:rPr>
                <m:t>I</m:t>
              </m:r>
            </m:e>
          </m:d>
          <m:func>
            <m:funcPr>
              <m:ctrlPr>
                <w:rPr>
                  <w:rFonts w:ascii="Cambria Math" w:hAnsi="Cambria Math" w:cs="Arial"/>
                  <w:i/>
                  <w:color w:val="000000" w:themeColor="text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log</m:t>
              </m:r>
              <m:ctrlPr>
                <w:rPr>
                  <w:rFonts w:ascii="Cambria Math" w:hAnsi="Cambria Math" w:cs="Arial"/>
                  <w:color w:val="000000" w:themeColor="text1"/>
                </w:rPr>
              </m:ctrlPr>
            </m:fName>
            <m:e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i,k</m:t>
                  </m:r>
                </m:sub>
              </m:sSub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I</m:t>
                  </m:r>
                </m:e>
              </m:d>
            </m:e>
          </m:func>
        </m:oMath>
      </m:oMathPara>
    </w:p>
    <w:p w14:paraId="487D8ECB" w14:textId="77777777" w:rsidR="00105BED" w:rsidRPr="002F0633" w:rsidRDefault="00105BED" w:rsidP="00105BED">
      <w:pPr>
        <w:rPr>
          <w:rFonts w:ascii="Arial" w:hAnsi="Arial" w:cs="Arial"/>
          <w:color w:val="000000" w:themeColor="text1"/>
        </w:rPr>
      </w:pPr>
      <m:oMathPara>
        <m:oMath>
          <m:r>
            <w:rPr>
              <w:rFonts w:ascii="Cambria Math" w:hAnsi="Cambria Math" w:cs="Arial"/>
              <w:color w:val="000000" w:themeColor="text1"/>
            </w:rPr>
            <m:t>Dice=1-</m:t>
          </m:r>
          <m:f>
            <m:fPr>
              <m:ctrlPr>
                <w:rPr>
                  <w:rFonts w:ascii="Cambria Math" w:hAnsi="Cambria Math" w:cs="Arial"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</w:rPr>
                <m:t>2×</m:t>
              </m:r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color w:val="000000" w:themeColor="text1"/>
                    </w:rPr>
                    <m:t>N</m:t>
                  </m:r>
                </m:sup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 </m:t>
                  </m:r>
                </m:e>
              </m:nary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I</m:t>
                      </m:r>
                    </m:e>
                  </m:d>
                  <m:r>
                    <w:rPr>
                      <w:rFonts w:ascii="Cambria Math" w:hAnsi="Cambria Math" w:cs="Arial"/>
                      <w:color w:val="000000" w:themeColor="text1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</w:rPr>
                        <m:t>I</m:t>
                      </m:r>
                    </m:e>
                  </m:d>
                </m:e>
              </m:d>
              <m:r>
                <w:rPr>
                  <w:rFonts w:ascii="Cambria Math" w:hAnsi="Cambria Math" w:cs="Arial"/>
                  <w:color w:val="000000" w:themeColor="text1"/>
                </w:rPr>
                <m:t>+ϵ</m:t>
              </m:r>
            </m:num>
            <m:den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color w:val="000000" w:themeColor="text1"/>
                    </w:rPr>
                    <m:t>N</m:t>
                  </m:r>
                </m:sup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 </m:t>
                  </m:r>
                </m:e>
              </m:nary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I</m:t>
                  </m:r>
                </m:e>
              </m:d>
              <m:r>
                <w:rPr>
                  <w:rFonts w:ascii="Cambria Math" w:hAnsi="Cambria Math" w:cs="Arial"/>
                  <w:color w:val="000000" w:themeColor="text1"/>
                </w:rPr>
                <m:t>+</m:t>
              </m:r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i=1</m:t>
                  </m:r>
                </m:sub>
                <m:sup>
                  <m:r>
                    <w:rPr>
                      <w:rFonts w:ascii="Cambria Math" w:hAnsi="Cambria Math" w:cs="Arial"/>
                      <w:color w:val="000000" w:themeColor="text1"/>
                    </w:rPr>
                    <m:t>N</m:t>
                  </m:r>
                </m:sup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 </m:t>
                  </m:r>
                </m:e>
              </m:nary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I</m:t>
                  </m:r>
                </m:e>
              </m:d>
              <m:r>
                <w:rPr>
                  <w:rFonts w:ascii="Cambria Math" w:hAnsi="Cambria Math" w:cs="Arial"/>
                  <w:color w:val="000000" w:themeColor="text1"/>
                </w:rPr>
                <m:t>+ϵ</m:t>
              </m:r>
            </m:den>
          </m:f>
        </m:oMath>
      </m:oMathPara>
    </w:p>
    <w:p w14:paraId="13DBDBF6" w14:textId="77777777" w:rsidR="00105BED" w:rsidRPr="002F0633" w:rsidRDefault="00105BED" w:rsidP="00105BED">
      <w:pPr>
        <w:spacing w:after="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where </w:t>
      </w:r>
      <m:oMath>
        <m:r>
          <w:rPr>
            <w:rFonts w:ascii="Cambria Math" w:hAnsi="Cambria Math" w:cs="Arial"/>
            <w:color w:val="000000" w:themeColor="text1"/>
          </w:rPr>
          <m:t>X</m:t>
        </m:r>
      </m:oMath>
      <w:r w:rsidRPr="002F0633">
        <w:rPr>
          <w:rFonts w:ascii="Arial" w:hAnsi="Arial" w:cs="Arial"/>
          <w:color w:val="000000" w:themeColor="text1"/>
        </w:rPr>
        <w:t xml:space="preserve"> is the ground truth, </w:t>
      </w:r>
      <m:oMath>
        <m:r>
          <w:rPr>
            <w:rFonts w:ascii="Cambria Math" w:hAnsi="Cambria Math" w:cs="Arial"/>
            <w:color w:val="000000" w:themeColor="text1"/>
          </w:rPr>
          <m:t>Y</m:t>
        </m:r>
      </m:oMath>
      <w:r w:rsidRPr="002F0633">
        <w:rPr>
          <w:rFonts w:ascii="Arial" w:hAnsi="Arial" w:cs="Arial"/>
          <w:color w:val="000000" w:themeColor="text1"/>
        </w:rPr>
        <w:t xml:space="preserve"> is the prediction, </w:t>
      </w:r>
      <m:oMath>
        <m:r>
          <w:rPr>
            <w:rFonts w:ascii="Cambria Math" w:hAnsi="Cambria Math" w:cs="Arial"/>
            <w:color w:val="000000" w:themeColor="text1"/>
          </w:rPr>
          <m:t>K</m:t>
        </m:r>
      </m:oMath>
      <w:r w:rsidRPr="002F0633">
        <w:rPr>
          <w:rFonts w:ascii="Arial" w:hAnsi="Arial" w:cs="Arial"/>
          <w:color w:val="000000" w:themeColor="text1"/>
        </w:rPr>
        <w:t xml:space="preserve"> is the number of classes, </w:t>
      </w:r>
      <m:oMath>
        <m:r>
          <w:rPr>
            <w:rFonts w:ascii="Cambria Math" w:hAnsi="Cambria Math" w:cs="Arial"/>
            <w:color w:val="000000" w:themeColor="text1"/>
          </w:rPr>
          <m:t>N</m:t>
        </m:r>
      </m:oMath>
      <w:r w:rsidRPr="002F0633">
        <w:rPr>
          <w:rFonts w:ascii="Arial" w:hAnsi="Arial" w:cs="Arial"/>
          <w:color w:val="000000" w:themeColor="text1"/>
        </w:rPr>
        <w:t xml:space="preserve"> is the number of pixels, and </w:t>
      </w:r>
      <m:oMath>
        <m:r>
          <w:rPr>
            <w:rFonts w:ascii="Cambria Math" w:hAnsi="Cambria Math" w:cs="Arial"/>
            <w:color w:val="000000" w:themeColor="text1"/>
          </w:rPr>
          <m:t>ϵ</m:t>
        </m:r>
      </m:oMath>
      <w:r w:rsidRPr="002F0633">
        <w:rPr>
          <w:rFonts w:ascii="Arial" w:hAnsi="Arial" w:cs="Arial"/>
          <w:color w:val="000000" w:themeColor="text1"/>
        </w:rPr>
        <w:t xml:space="preserve"> is a smoothing constant.</w:t>
      </w:r>
    </w:p>
    <w:p w14:paraId="74923A84" w14:textId="58103CD0" w:rsidR="00105BED" w:rsidRPr="002F0633" w:rsidRDefault="00105BED" w:rsidP="00105BED">
      <w:pPr>
        <w:pStyle w:val="a9"/>
        <w:numPr>
          <w:ilvl w:val="0"/>
          <w:numId w:val="5"/>
        </w:numPr>
        <w:spacing w:after="0"/>
        <w:ind w:left="357" w:hanging="357"/>
        <w:jc w:val="both"/>
        <w:rPr>
          <w:rFonts w:ascii="Arial" w:hAnsi="Arial" w:cs="Arial"/>
          <w:b/>
          <w:bCs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Watershed-Enhanced Instance Delineation</w:t>
      </w:r>
    </w:p>
    <w:p w14:paraId="28DBC51A" w14:textId="77777777" w:rsidR="00105BED" w:rsidRPr="002F0633" w:rsidRDefault="00105BED" w:rsidP="00105BED">
      <w:pPr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To refine nuclear instances from </w:t>
      </w:r>
      <w:proofErr w:type="spellStart"/>
      <w:r w:rsidRPr="002F0633">
        <w:rPr>
          <w:rFonts w:ascii="Arial" w:hAnsi="Arial" w:cs="Arial"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-Net predictions, a marker-controlled watershed algorithm was applied. This post-processing step leverages the outputs from the NP and </w:t>
      </w:r>
      <w:proofErr w:type="spellStart"/>
      <w:r w:rsidRPr="002F0633">
        <w:rPr>
          <w:rFonts w:ascii="Arial" w:hAnsi="Arial" w:cs="Arial"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branches:</w:t>
      </w:r>
    </w:p>
    <w:p w14:paraId="122546B2" w14:textId="77777777" w:rsidR="00105BED" w:rsidRPr="002F0633" w:rsidRDefault="00105BED" w:rsidP="00105BED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Gradient Map Generation: The horizontal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>) and vertical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) map predictions from the </w:t>
      </w:r>
      <w:proofErr w:type="spellStart"/>
      <w:r w:rsidRPr="002F0633">
        <w:rPr>
          <w:rFonts w:ascii="Arial" w:hAnsi="Arial" w:cs="Arial"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branch are used to compute an overall "separation map" 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m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by applying Sobel operators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>,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1"/>
                <w:szCs w:val="22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>) and taking the maximum response: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m</m:t>
            </m:r>
          </m:sub>
        </m:sSub>
        <m:r>
          <w:rPr>
            <w:rFonts w:ascii="Cambria Math" w:hAnsi="Cambria Math" w:cs="Arial"/>
            <w:color w:val="000000" w:themeColor="text1"/>
          </w:rPr>
          <m:t>=max(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H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x</m:t>
            </m:r>
          </m:sub>
        </m:sSub>
        <m:d>
          <m:d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</w:rPr>
                  <m:t>x</m:t>
                </m:r>
              </m:sub>
            </m:sSub>
          </m:e>
        </m:d>
        <m:r>
          <w:rPr>
            <w:rFonts w:ascii="Cambria Math" w:hAnsi="Cambria Math" w:cs="Arial"/>
            <w:color w:val="000000" w:themeColor="text1"/>
          </w:rPr>
          <m:t>,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H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y</m:t>
            </m:r>
          </m:sub>
        </m:sSub>
        <m:d>
          <m:d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</w:rPr>
                  <m:t>y</m:t>
                </m:r>
              </m:sub>
            </m:sSub>
          </m:e>
        </m:d>
      </m:oMath>
      <w:r w:rsidRPr="002F0633">
        <w:rPr>
          <w:rFonts w:ascii="Arial" w:hAnsi="Arial" w:cs="Arial"/>
          <w:color w:val="000000" w:themeColor="text1"/>
        </w:rPr>
        <w:t>. This map highlights areas with significant differences in predicted distances, typically corresponding to boundaries between nuclei.</w:t>
      </w:r>
    </w:p>
    <w:p w14:paraId="3B15E2BF" w14:textId="77777777" w:rsidR="00105BED" w:rsidRPr="002F0633" w:rsidRDefault="00105BED" w:rsidP="00105BED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Instance Marker Creation: Markers (</w:t>
      </w:r>
      <m:oMath>
        <m:r>
          <w:rPr>
            <w:rFonts w:ascii="Cambria Math" w:hAnsi="Cambria Math" w:cs="Arial"/>
            <w:color w:val="000000" w:themeColor="text1"/>
          </w:rPr>
          <m:t>M</m:t>
        </m:r>
      </m:oMath>
      <w:r w:rsidRPr="002F0633">
        <w:rPr>
          <w:rFonts w:ascii="Arial" w:hAnsi="Arial" w:cs="Arial"/>
          <w:color w:val="000000" w:themeColor="text1"/>
        </w:rPr>
        <w:t>) for the watershed algorithm are generated by taking the nuclear probability map (</w:t>
      </w:r>
      <m:oMath>
        <m:r>
          <w:rPr>
            <w:rFonts w:ascii="Cambria Math" w:hAnsi="Cambria Math" w:cs="Arial"/>
            <w:color w:val="000000" w:themeColor="text1"/>
          </w:rPr>
          <m:t>q</m:t>
        </m:r>
      </m:oMath>
      <w:r w:rsidRPr="002F0633">
        <w:rPr>
          <w:rFonts w:ascii="Arial" w:hAnsi="Arial" w:cs="Arial"/>
          <w:color w:val="000000" w:themeColor="text1"/>
        </w:rPr>
        <w:t xml:space="preserve">) from the NP branch, thresholding it (with threshold </w:t>
      </w:r>
      <m:oMath>
        <m:r>
          <w:rPr>
            <w:rFonts w:ascii="Cambria Math" w:hAnsi="Cambria Math" w:cs="Arial"/>
            <w:color w:val="000000" w:themeColor="text1"/>
          </w:rPr>
          <m:t>h</m:t>
        </m:r>
      </m:oMath>
      <w:r w:rsidRPr="002F0633">
        <w:rPr>
          <w:rFonts w:ascii="Arial" w:hAnsi="Arial" w:cs="Arial"/>
          <w:color w:val="000000" w:themeColor="text1"/>
        </w:rPr>
        <w:t xml:space="preserve">), and then subtracting regions from </w:t>
      </w:r>
      <m:oMath>
        <m:r>
          <w:rPr>
            <w:rFonts w:ascii="Cambria Math" w:hAnsi="Cambria Math" w:cs="Arial"/>
            <w:color w:val="000000" w:themeColor="text1"/>
          </w:rPr>
          <m:t>M=σ(τ(q,h)-τ(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m</m:t>
            </m:r>
          </m:sub>
        </m:sSub>
        <m:r>
          <w:rPr>
            <w:rFonts w:ascii="Cambria Math" w:hAnsi="Cambria Math" w:cs="Arial"/>
            <w:color w:val="000000" w:themeColor="text1"/>
          </w:rPr>
          <m:t>,k))</m:t>
        </m:r>
      </m:oMath>
      <w:r w:rsidRPr="002F0633">
        <w:rPr>
          <w:rFonts w:ascii="Arial" w:eastAsia="MS Gothic" w:hAnsi="Arial" w:cs="Arial"/>
          <w:color w:val="000000" w:themeColor="text1"/>
        </w:rPr>
        <w:t>​</w:t>
      </w:r>
      <w:r w:rsidRPr="002F0633">
        <w:rPr>
          <w:rFonts w:ascii="Arial" w:hAnsi="Arial" w:cs="Arial"/>
          <w:color w:val="000000" w:themeColor="text1"/>
        </w:rPr>
        <w:t xml:space="preserve"> that are above a threshold </w:t>
      </w:r>
      <m:oMath>
        <m:r>
          <w:rPr>
            <w:rFonts w:ascii="Cambria Math" w:hAnsi="Cambria Math" w:cs="Arial"/>
            <w:color w:val="000000" w:themeColor="text1"/>
          </w:rPr>
          <m:t>k</m:t>
        </m:r>
      </m:oMath>
      <w:r w:rsidRPr="002F0633">
        <w:rPr>
          <w:rFonts w:ascii="Arial" w:hAnsi="Arial" w:cs="Arial"/>
          <w:color w:val="000000" w:themeColor="text1"/>
        </w:rPr>
        <w:t xml:space="preserve"> (indicating likely instance boundaries). A rectifier </w:t>
      </w:r>
      <m:oMath>
        <m:r>
          <w:rPr>
            <w:rFonts w:ascii="Cambria Math" w:eastAsia="等线" w:hAnsi="Cambria Math" w:cs="Arial"/>
            <w:color w:val="000000" w:themeColor="text1"/>
          </w:rPr>
          <m:t>σ</m:t>
        </m:r>
      </m:oMath>
      <w:r w:rsidRPr="002F0633">
        <w:rPr>
          <w:rFonts w:ascii="Arial" w:hAnsi="Arial" w:cs="Arial"/>
          <w:color w:val="000000" w:themeColor="text1"/>
        </w:rPr>
        <w:t xml:space="preserve"> sets negative values to 0. </w:t>
      </w:r>
      <m:oMath>
        <m:r>
          <w:rPr>
            <w:rFonts w:ascii="Cambria Math" w:hAnsi="Cambria Math" w:cs="Arial"/>
            <w:color w:val="000000" w:themeColor="text1"/>
          </w:rPr>
          <m:t>M=σ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 w:cs="Arial"/>
                <w:color w:val="000000" w:themeColor="text1"/>
              </w:rPr>
              <m:t>τ</m:t>
            </m:r>
            <m:d>
              <m:dPr>
                <m:ctrlPr>
                  <w:rPr>
                    <w:rFonts w:ascii="Cambria Math" w:hAnsi="Cambria Math" w:cs="Arial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q,h</m:t>
                </m:r>
              </m:e>
            </m:d>
            <m:r>
              <w:rPr>
                <w:rFonts w:ascii="Cambria Math" w:hAnsi="Cambria Math" w:cs="Arial"/>
                <w:color w:val="000000" w:themeColor="text1"/>
              </w:rPr>
              <m:t>-τ</m:t>
            </m:r>
            <m:d>
              <m:dPr>
                <m:ctrlPr>
                  <w:rPr>
                    <w:rFonts w:ascii="Cambria Math" w:hAnsi="Cambria Math" w:cs="Arial"/>
                    <w:i/>
                    <w:color w:val="000000" w:themeColor="text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Arial"/>
                    <w:color w:val="000000" w:themeColor="text1"/>
                  </w:rPr>
                  <m:t>,k</m:t>
                </m:r>
              </m:e>
            </m:d>
          </m:e>
        </m:d>
      </m:oMath>
      <w:r w:rsidRPr="002F0633">
        <w:rPr>
          <w:rFonts w:ascii="Arial" w:hAnsi="Arial" w:cs="Arial"/>
          <w:color w:val="000000" w:themeColor="text1"/>
        </w:rPr>
        <w:t xml:space="preserve"> where </w:t>
      </w:r>
      <m:oMath>
        <m:r>
          <w:rPr>
            <w:rFonts w:ascii="Cambria Math" w:hAnsi="Cambria Math" w:cs="Arial"/>
            <w:color w:val="000000" w:themeColor="text1"/>
          </w:rPr>
          <m:t>τ(a,b)</m:t>
        </m:r>
      </m:oMath>
      <w:r w:rsidRPr="002F0633">
        <w:rPr>
          <w:rFonts w:ascii="Arial" w:hAnsi="Arial" w:cs="Arial"/>
          <w:color w:val="000000" w:themeColor="text1"/>
        </w:rPr>
        <w:t xml:space="preserve"> is a threshold function that sets values in a above b to 1, and 0 otherwise.</w:t>
      </w:r>
    </w:p>
    <w:p w14:paraId="51A8892F" w14:textId="77777777" w:rsidR="00105BED" w:rsidRPr="002F0633" w:rsidRDefault="00105BED" w:rsidP="00105BED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Energy Landscape Construction: An energy landscape (E) is constructed using the NP branch output and the separation map:</w:t>
      </w:r>
      <m:oMath>
        <m:r>
          <w:rPr>
            <w:rFonts w:ascii="Cambria Math" w:hAnsi="Cambria Math" w:cs="Arial"/>
            <w:color w:val="000000" w:themeColor="text1"/>
          </w:rPr>
          <m:t>E=[1-τ(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m</m:t>
            </m:r>
          </m:sub>
        </m:sSub>
        <m:r>
          <w:rPr>
            <w:rFonts w:ascii="Cambria Math" w:hAnsi="Cambria Math" w:cs="Arial"/>
            <w:color w:val="000000" w:themeColor="text1"/>
          </w:rPr>
          <m:t>,k)]*τ(q,h)</m:t>
        </m:r>
      </m:oMath>
    </w:p>
    <w:p w14:paraId="49A3BB12" w14:textId="2B54CD7F" w:rsidR="00105BED" w:rsidRPr="002F0633" w:rsidRDefault="00105BED" w:rsidP="00105BED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Watershed Segmentation:</w:t>
      </w:r>
      <w:r w:rsidRPr="002F0633">
        <w:rPr>
          <w:rFonts w:ascii="Arial" w:hAnsi="Arial" w:cs="Arial"/>
          <w:color w:val="000000" w:themeColor="text1"/>
        </w:rPr>
        <w:t xml:space="preserve"> Finally, the marker-controlled watershed algorithm segments individual nuclei using M as markers on the energy landscape E applied to the </w:t>
      </w:r>
      <w:proofErr w:type="spellStart"/>
      <w:r w:rsidRPr="002F0633">
        <w:rPr>
          <w:rFonts w:ascii="Arial" w:hAnsi="Arial" w:cs="Arial"/>
          <w:color w:val="000000" w:themeColor="text1"/>
        </w:rPr>
        <w:t>threshoded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nuclear pixel prediction </w:t>
      </w:r>
      <m:oMath>
        <m:r>
          <w:rPr>
            <w:rFonts w:ascii="Cambria Math" w:hAnsi="Cambria Math" w:cs="Arial"/>
            <w:color w:val="000000" w:themeColor="text1"/>
          </w:rPr>
          <m:t>τ</m:t>
        </m:r>
        <m:r>
          <m:rPr>
            <m:sty m:val="bi"/>
          </m:rPr>
          <w:rPr>
            <w:rFonts w:ascii="Cambria Math" w:hAnsi="Cambria Math" w:cs="Arial"/>
            <w:color w:val="000000" w:themeColor="text1"/>
          </w:rPr>
          <m:t>(</m:t>
        </m:r>
        <m:r>
          <w:rPr>
            <w:rFonts w:ascii="Cambria Math" w:hAnsi="Cambria Math" w:cs="Arial"/>
            <w:color w:val="000000" w:themeColor="text1"/>
          </w:rPr>
          <m:t>q,h)</m:t>
        </m:r>
      </m:oMath>
      <w:r w:rsidRPr="002F0633">
        <w:rPr>
          <w:rFonts w:ascii="Arial" w:hAnsi="Arial" w:cs="Arial"/>
          <w:color w:val="000000" w:themeColor="text1"/>
        </w:rPr>
        <w:t>. The final class for each segmented nucleus was determined by majority voting of pixel-level predictions from the NC branch within that instance.</w:t>
      </w:r>
    </w:p>
    <w:p w14:paraId="294C8A11" w14:textId="27758DAA" w:rsidR="00105BED" w:rsidRPr="002F0633" w:rsidRDefault="00105BED" w:rsidP="00105BED">
      <w:pPr>
        <w:pStyle w:val="a9"/>
        <w:numPr>
          <w:ilvl w:val="0"/>
          <w:numId w:val="5"/>
        </w:numPr>
        <w:spacing w:after="0"/>
        <w:ind w:left="357" w:hanging="357"/>
        <w:jc w:val="both"/>
        <w:rPr>
          <w:rFonts w:ascii="Arial" w:hAnsi="Arial" w:cs="Arial"/>
          <w:b/>
          <w:bCs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Tumor-Context Informed Classification Refinement</w:t>
      </w:r>
    </w:p>
    <w:p w14:paraId="7859708F" w14:textId="77777777" w:rsidR="00105BED" w:rsidRPr="002F0633" w:rsidRDefault="00105BED" w:rsidP="00105BED">
      <w:pPr>
        <w:spacing w:after="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lastRenderedPageBreak/>
        <w:t xml:space="preserve">To enhance cell classification accuracy, particularly for neoplastic cells, contextual information from larger tissue regions was incorporated. Cells located within automatically identified tumor regions had their labels systematically reviewed. Specifically, if a cell situated within a confirmed tumor region was initially classified by </w:t>
      </w:r>
      <w:proofErr w:type="spellStart"/>
      <w:r w:rsidRPr="002F0633">
        <w:rPr>
          <w:rFonts w:ascii="Arial" w:hAnsi="Arial" w:cs="Arial"/>
          <w:color w:val="000000" w:themeColor="text1"/>
        </w:rPr>
        <w:t>HoVer</w:t>
      </w:r>
      <w:proofErr w:type="spellEnd"/>
      <w:r w:rsidRPr="002F0633">
        <w:rPr>
          <w:rFonts w:ascii="Arial" w:hAnsi="Arial" w:cs="Arial"/>
          <w:color w:val="000000" w:themeColor="text1"/>
        </w:rPr>
        <w:t>-Net as non-neoplastic (e.g., non-neoplastic epithelial or connective tissue), its label was programmatically corrected to "neoplastic cell." This step aims to rectify potential misclassifications by leveraging higher-level tissue architecture. Furthermore, all cells identified within automatically segmented necrotic regions were excluded from subsequent quantitative analyses to ensure data quality.</w:t>
      </w:r>
    </w:p>
    <w:p w14:paraId="1A401B9B" w14:textId="77777777" w:rsidR="00105BED" w:rsidRPr="002F0633" w:rsidRDefault="00105BED" w:rsidP="00105BED">
      <w:pPr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2F0633">
        <w:rPr>
          <w:rFonts w:ascii="Arial" w:hAnsi="Arial" w:cs="Arial"/>
          <w:b/>
          <w:bCs/>
          <w:color w:val="000000" w:themeColor="text1"/>
          <w:sz w:val="24"/>
          <w:szCs w:val="28"/>
        </w:rPr>
        <w:t>Region-Level Histological Segmentation</w:t>
      </w:r>
    </w:p>
    <w:p w14:paraId="286FD450" w14:textId="1E1A4E87" w:rsidR="00105BED" w:rsidRPr="002F0633" w:rsidRDefault="00105BED" w:rsidP="00105BED">
      <w:pPr>
        <w:spacing w:after="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Parallel to cell recognition, segmentation of larger histological regions was performed from the filtered region-image blocks. This involved the development of specialized deep learning models based on the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architecture.</w:t>
      </w:r>
    </w:p>
    <w:p w14:paraId="6530D415" w14:textId="3A906398" w:rsidR="00105BED" w:rsidRPr="002F0633" w:rsidRDefault="00105BED" w:rsidP="00105BED">
      <w:pPr>
        <w:pStyle w:val="a9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>Segmentation of Tumor and Necrotic Regions</w:t>
      </w:r>
      <w:r w:rsidRPr="002F0633">
        <w:rPr>
          <w:rFonts w:ascii="Arial" w:hAnsi="Arial" w:cs="Arial" w:hint="eastAsia"/>
          <w:b/>
          <w:bCs/>
          <w:color w:val="000000" w:themeColor="text1"/>
        </w:rPr>
        <w:t>:</w:t>
      </w:r>
    </w:p>
    <w:p w14:paraId="1D450D5C" w14:textId="0F09D4DB" w:rsidR="00105BED" w:rsidRPr="002F0633" w:rsidRDefault="00105BED" w:rsidP="00105BED">
      <w:pPr>
        <w:ind w:leftChars="100" w:left="220"/>
        <w:jc w:val="both"/>
        <w:rPr>
          <w:rFonts w:ascii="Arial" w:hAnsi="Arial" w:cs="Arial"/>
          <w:b/>
          <w:bCs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We developed and trained a deep learning model for the precise segmentation of tumor and necrotic regions</w:t>
      </w:r>
      <w:r>
        <w:rPr>
          <w:rFonts w:ascii="Arial" w:hAnsi="Arial" w:cs="Arial" w:hint="eastAsia"/>
          <w:color w:val="000000" w:themeColor="text1"/>
        </w:rPr>
        <w:t xml:space="preserve"> </w:t>
      </w:r>
      <w:r w:rsidRPr="002F0633">
        <w:rPr>
          <w:rFonts w:ascii="Arial" w:hAnsi="Arial" w:cs="Arial" w:hint="eastAsia"/>
          <w:color w:val="000000" w:themeColor="text1"/>
        </w:rPr>
        <w:t>(T and N region segmentation in Fig.5B)</w:t>
      </w:r>
      <w:r w:rsidRPr="002F0633">
        <w:rPr>
          <w:rFonts w:ascii="Arial" w:hAnsi="Arial" w:cs="Arial"/>
          <w:color w:val="000000" w:themeColor="text1"/>
        </w:rPr>
        <w:t xml:space="preserve">. This model is based on the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architecture, a convolutional neural network (CNN) designed as a large-scale foundation model.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was chosen for its demonstrated efficacy in capturing multi-scale features and complex spatial relationships, which are crucial for accurately delineating heterogeneous tissue structures.</w:t>
      </w:r>
    </w:p>
    <w:p w14:paraId="7D1E5331" w14:textId="77777777" w:rsidR="00105BED" w:rsidRPr="002F0633" w:rsidRDefault="00105BED" w:rsidP="00105BED">
      <w:pPr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A core component of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is its use of Deformable Convolution v3 (DCNv3) as its primary operator. The overall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architecture incorporates these DCNv3 operators within a hierarchical structure. It employs a stem layer for initial input processing and </w:t>
      </w:r>
      <w:proofErr w:type="spellStart"/>
      <w:r w:rsidRPr="002F0633">
        <w:rPr>
          <w:rFonts w:ascii="Arial" w:hAnsi="Arial" w:cs="Arial"/>
          <w:color w:val="000000" w:themeColor="text1"/>
        </w:rPr>
        <w:t>downsampling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layers to create feature maps at different scales. The basic building blocks are designed akin to those in Vision Transformers (</w:t>
      </w:r>
      <w:proofErr w:type="spellStart"/>
      <w:r w:rsidRPr="002F0633">
        <w:rPr>
          <w:rFonts w:ascii="Arial" w:hAnsi="Arial" w:cs="Arial"/>
          <w:color w:val="000000" w:themeColor="text1"/>
        </w:rPr>
        <w:t>ViTs</w:t>
      </w:r>
      <w:proofErr w:type="spellEnd"/>
      <w:r w:rsidRPr="002F0633">
        <w:rPr>
          <w:rFonts w:ascii="Arial" w:hAnsi="Arial" w:cs="Arial"/>
          <w:color w:val="000000" w:themeColor="text1"/>
        </w:rPr>
        <w:t>), incorporating components such as Layer Normalization (LN), feed-forward networks (FFN), and GELU activation functions. Specific stacking rules and scaling strategies are applied to construct model variants of different sizes, ensuring effective utilization of the DCNv3 operator.</w:t>
      </w:r>
    </w:p>
    <w:p w14:paraId="0F6A77AA" w14:textId="77777777" w:rsidR="00105BED" w:rsidRPr="002F0633" w:rsidRDefault="00105BED" w:rsidP="00105BED">
      <w:pPr>
        <w:spacing w:after="0"/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>The DCNv3 operator in a given layer g can be generally formulated as:</w:t>
      </w:r>
    </w:p>
    <w:p w14:paraId="027D67CA" w14:textId="77777777" w:rsidR="00105BED" w:rsidRPr="002F0633" w:rsidRDefault="00105BED" w:rsidP="00105BED">
      <w:pPr>
        <w:rPr>
          <w:rFonts w:ascii="Arial" w:hAnsi="Arial" w:cs="Arial"/>
          <w:color w:val="000000" w:themeColor="text1"/>
        </w:rPr>
      </w:pPr>
      <m:oMathPara>
        <m:oMath>
          <m:r>
            <w:rPr>
              <w:rFonts w:ascii="Cambria Math" w:hAnsi="Cambria Math" w:cs="Arial"/>
              <w:color w:val="000000" w:themeColor="text1"/>
            </w:rPr>
            <m:t>y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Arial"/>
              <w:color w:val="000000" w:themeColor="text1"/>
            </w:rPr>
            <m:t>=</m:t>
          </m:r>
          <m:nary>
            <m:naryPr>
              <m:chr m:val="∑"/>
              <m:limLoc m:val="undOvr"/>
              <m:grow m:val="1"/>
              <m:ctrlPr>
                <w:rPr>
                  <w:rFonts w:ascii="Cambria Math" w:hAnsi="Cambria Math" w:cs="Arial"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 w:cs="Arial"/>
                  <w:color w:val="000000" w:themeColor="text1"/>
                </w:rPr>
                <m:t>g=1</m:t>
              </m:r>
            </m:sub>
            <m:sup>
              <m:r>
                <w:rPr>
                  <w:rFonts w:ascii="Cambria Math" w:hAnsi="Cambria Math" w:cs="Arial"/>
                  <w:color w:val="000000" w:themeColor="text1"/>
                </w:rPr>
                <m:t>G</m:t>
              </m:r>
            </m:sup>
            <m:e>
              <m:r>
                <w:rPr>
                  <w:rFonts w:ascii="Cambria Math" w:hAnsi="Cambria Math" w:cs="Arial"/>
                  <w:color w:val="000000" w:themeColor="text1"/>
                </w:rPr>
                <m:t> </m:t>
              </m:r>
            </m:e>
          </m:nary>
          <m:nary>
            <m:naryPr>
              <m:chr m:val="∑"/>
              <m:limLoc m:val="undOvr"/>
              <m:grow m:val="1"/>
              <m:ctrlPr>
                <w:rPr>
                  <w:rFonts w:ascii="Cambria Math" w:hAnsi="Cambria Math" w:cs="Arial"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 w:cs="Arial"/>
                  <w:color w:val="000000" w:themeColor="text1"/>
                </w:rPr>
                <m:t>k=1</m:t>
              </m:r>
            </m:sub>
            <m:sup>
              <m:r>
                <w:rPr>
                  <w:rFonts w:ascii="Cambria Math" w:hAnsi="Cambria Math" w:cs="Arial"/>
                  <w:color w:val="000000" w:themeColor="text1"/>
                </w:rPr>
                <m:t>K</m:t>
              </m:r>
            </m:sup>
            <m:e>
              <m:r>
                <w:rPr>
                  <w:rFonts w:ascii="Cambria Math" w:hAnsi="Cambria Math" w:cs="Arial"/>
                  <w:color w:val="000000" w:themeColor="text1"/>
                </w:rPr>
                <m:t> </m:t>
              </m:r>
            </m:e>
          </m:nary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w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m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gk</m:t>
              </m:r>
            </m:sub>
          </m:sSub>
          <m:sSub>
            <m:sSubPr>
              <m:ctrlPr>
                <w:rPr>
                  <w:rFonts w:ascii="Cambria Math" w:hAnsi="Cambria Math" w:cs="Arial"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</w:rPr>
                <m:t>x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</w:rPr>
                <m:t>g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0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k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Δ</m:t>
              </m:r>
              <m:sSub>
                <m:sSubPr>
                  <m:ctrlPr>
                    <w:rPr>
                      <w:rFonts w:ascii="Cambria Math" w:hAnsi="Cambria Math" w:cs="Arial"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</w:rPr>
                    <m:t>gk</m:t>
                  </m:r>
                </m:sub>
              </m:sSub>
            </m:e>
          </m:d>
        </m:oMath>
      </m:oMathPara>
    </w:p>
    <w:p w14:paraId="2003583F" w14:textId="77777777" w:rsidR="00105BED" w:rsidRPr="002F0633" w:rsidRDefault="00105BED" w:rsidP="00105BED">
      <w:pPr>
        <w:spacing w:after="0"/>
        <w:ind w:leftChars="100" w:left="22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color w:val="000000" w:themeColor="text1"/>
        </w:rPr>
        <w:t xml:space="preserve">where </w:t>
      </w:r>
      <m:oMath>
        <m:r>
          <w:rPr>
            <w:rFonts w:ascii="Cambria Math" w:hAnsi="Cambria Math" w:cs="Arial"/>
            <w:color w:val="000000" w:themeColor="text1"/>
          </w:rPr>
          <m:t>y</m:t>
        </m:r>
        <m:d>
          <m:d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</w:rPr>
                  <m:t>0</m:t>
                </m:r>
              </m:sub>
            </m:sSub>
          </m:e>
        </m:d>
      </m:oMath>
      <w:r w:rsidRPr="002F0633">
        <w:rPr>
          <w:rFonts w:ascii="Arial" w:hAnsi="Arial" w:cs="Arial"/>
          <w:color w:val="000000" w:themeColor="text1"/>
        </w:rPr>
        <w:t xml:space="preserve"> is the output at pixel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0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​, </w:t>
      </w:r>
      <m:oMath>
        <m:r>
          <w:rPr>
            <w:rFonts w:ascii="Cambria Math" w:hAnsi="Cambria Math" w:cs="Arial"/>
            <w:color w:val="000000" w:themeColor="text1"/>
          </w:rPr>
          <m:t>G</m:t>
        </m:r>
      </m:oMath>
      <w:r w:rsidRPr="002F0633">
        <w:rPr>
          <w:rFonts w:ascii="Arial" w:hAnsi="Arial" w:cs="Arial"/>
          <w:color w:val="000000" w:themeColor="text1"/>
        </w:rPr>
        <w:t xml:space="preserve"> is the number of aggregation groups, </w:t>
      </w:r>
      <m:oMath>
        <m:r>
          <w:rPr>
            <w:rFonts w:ascii="Cambria Math" w:hAnsi="Cambria Math" w:cs="Arial"/>
            <w:color w:val="000000" w:themeColor="text1"/>
          </w:rPr>
          <m:t>K</m:t>
        </m:r>
      </m:oMath>
      <w:r w:rsidRPr="002F0633">
        <w:rPr>
          <w:rFonts w:ascii="Arial" w:hAnsi="Arial" w:cs="Arial"/>
          <w:color w:val="000000" w:themeColor="text1"/>
        </w:rPr>
        <w:t xml:space="preserve"> is the number of sampling points, wg​ are the shared projection weights for group </w:t>
      </w:r>
      <m:oMath>
        <m:r>
          <w:rPr>
            <w:rFonts w:ascii="Cambria Math" w:hAnsi="Cambria Math" w:cs="Arial"/>
            <w:color w:val="000000" w:themeColor="text1"/>
          </w:rPr>
          <m:t>g</m:t>
        </m:r>
      </m:oMath>
      <w:r w:rsidRPr="002F0633">
        <w:rPr>
          <w:rFonts w:ascii="Arial" w:hAnsi="Arial" w:cs="Arial"/>
          <w:color w:val="000000" w:themeColor="text1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m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gk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>​ is the modulation scalar for the k-</w:t>
      </w:r>
      <w:proofErr w:type="spellStart"/>
      <w:r w:rsidRPr="002F0633">
        <w:rPr>
          <w:rFonts w:ascii="Arial" w:hAnsi="Arial" w:cs="Arial"/>
          <w:color w:val="000000" w:themeColor="text1"/>
        </w:rPr>
        <w:t>th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sampling point in group </w:t>
      </w:r>
      <m:oMath>
        <m:r>
          <w:rPr>
            <w:rFonts w:ascii="Cambria Math" w:hAnsi="Cambria Math" w:cs="Arial"/>
            <w:color w:val="000000" w:themeColor="text1"/>
          </w:rPr>
          <m:t>g</m:t>
        </m:r>
      </m:oMath>
      <w:r w:rsidRPr="002F0633">
        <w:rPr>
          <w:rFonts w:ascii="Arial" w:hAnsi="Arial" w:cs="Arial"/>
          <w:color w:val="000000" w:themeColor="text1"/>
        </w:rPr>
        <w:t xml:space="preserve"> (normalized by </w:t>
      </w:r>
      <w:r w:rsidRPr="002F0633">
        <w:rPr>
          <w:rFonts w:ascii="Arial" w:hAnsi="Arial" w:cs="Arial"/>
          <w:color w:val="000000" w:themeColor="text1"/>
        </w:rPr>
        <w:lastRenderedPageBreak/>
        <w:t>softmax),</w:t>
      </w:r>
      <w:r w:rsidRPr="002F0633">
        <w:rPr>
          <w:rFonts w:ascii="Cambria Math" w:hAnsi="Cambria Math" w:cs="Arial"/>
          <w:color w:val="000000" w:themeColor="text1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x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​ is the input feature map for group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</w:rPr>
          <m:t>Δ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gk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k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 xml:space="preserve">​ is a pre-defined grid sampling location, and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</w:rPr>
          <m:t>Δ</m:t>
        </m:r>
        <m:sSub>
          <m:sSubPr>
            <m:ctrlPr>
              <w:rPr>
                <w:rFonts w:ascii="Cambria Math" w:hAnsi="Cambria Math" w:cs="Arial"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gk</m:t>
            </m:r>
          </m:sub>
        </m:sSub>
      </m:oMath>
      <w:r w:rsidRPr="002F0633">
        <w:rPr>
          <w:rFonts w:ascii="Arial" w:hAnsi="Arial" w:cs="Arial"/>
          <w:color w:val="000000" w:themeColor="text1"/>
        </w:rPr>
        <w:t>​ is the learnable offset for the k-</w:t>
      </w:r>
      <w:proofErr w:type="spellStart"/>
      <w:r w:rsidRPr="002F0633">
        <w:rPr>
          <w:rFonts w:ascii="Arial" w:hAnsi="Arial" w:cs="Arial"/>
          <w:color w:val="000000" w:themeColor="text1"/>
        </w:rPr>
        <w:t>th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sampling point in group </w:t>
      </w:r>
      <m:oMath>
        <m:r>
          <w:rPr>
            <w:rFonts w:ascii="Cambria Math" w:hAnsi="Cambria Math" w:cs="Arial"/>
            <w:color w:val="000000" w:themeColor="text1"/>
          </w:rPr>
          <m:t>g</m:t>
        </m:r>
      </m:oMath>
      <w:r w:rsidRPr="002F0633">
        <w:rPr>
          <w:rFonts w:ascii="Arial" w:hAnsi="Arial" w:cs="Arial"/>
          <w:color w:val="000000" w:themeColor="text1"/>
        </w:rPr>
        <w:t>. This formulation allows different groups to learn distinct spatial aggregation patterns, enhancing the feature representation capabilities.</w:t>
      </w:r>
    </w:p>
    <w:p w14:paraId="3B5D34A4" w14:textId="5597F71D" w:rsidR="00105BED" w:rsidRPr="002F0633" w:rsidRDefault="00105BED" w:rsidP="00105BED">
      <w:pPr>
        <w:pStyle w:val="a9"/>
        <w:numPr>
          <w:ilvl w:val="0"/>
          <w:numId w:val="6"/>
        </w:numPr>
        <w:spacing w:after="0"/>
        <w:ind w:left="221" w:firstLine="0"/>
        <w:jc w:val="both"/>
        <w:rPr>
          <w:rFonts w:ascii="Arial" w:hAnsi="Arial" w:cs="Arial"/>
          <w:color w:val="000000" w:themeColor="text1"/>
        </w:rPr>
      </w:pPr>
      <w:r w:rsidRPr="002F0633">
        <w:rPr>
          <w:rFonts w:ascii="Arial" w:hAnsi="Arial" w:cs="Arial"/>
          <w:b/>
          <w:bCs/>
          <w:color w:val="000000" w:themeColor="text1"/>
        </w:rPr>
        <w:t xml:space="preserve">Dedicated </w:t>
      </w:r>
      <w:proofErr w:type="spellStart"/>
      <w:r w:rsidRPr="002F0633">
        <w:rPr>
          <w:rFonts w:ascii="Arial" w:hAnsi="Arial" w:cs="Arial"/>
          <w:b/>
          <w:bCs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b/>
          <w:bCs/>
          <w:color w:val="000000" w:themeColor="text1"/>
        </w:rPr>
        <w:t xml:space="preserve"> Model for Candidate TLS Detection</w:t>
      </w:r>
      <w:r w:rsidRPr="002F0633">
        <w:rPr>
          <w:rFonts w:ascii="Arial" w:hAnsi="Arial" w:cs="Arial" w:hint="eastAsia"/>
          <w:b/>
          <w:bCs/>
          <w:color w:val="000000" w:themeColor="text1"/>
        </w:rPr>
        <w:t>:</w:t>
      </w:r>
      <w:r>
        <w:rPr>
          <w:rFonts w:ascii="Arial" w:hAnsi="Arial" w:cs="Arial" w:hint="eastAsia"/>
          <w:b/>
          <w:bCs/>
          <w:color w:val="000000" w:themeColor="text1"/>
        </w:rPr>
        <w:t xml:space="preserve"> </w:t>
      </w:r>
      <w:r w:rsidRPr="002F0633">
        <w:rPr>
          <w:rFonts w:ascii="Arial" w:hAnsi="Arial" w:cs="Arial"/>
          <w:color w:val="000000" w:themeColor="text1"/>
        </w:rPr>
        <w:t xml:space="preserve">A second, separate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model</w:t>
      </w:r>
      <w:r>
        <w:rPr>
          <w:rFonts w:ascii="Arial" w:hAnsi="Arial" w:cs="Arial" w:hint="eastAsia"/>
          <w:color w:val="000000" w:themeColor="text1"/>
        </w:rPr>
        <w:t xml:space="preserve"> </w:t>
      </w:r>
      <w:r w:rsidRPr="002F0633">
        <w:rPr>
          <w:rFonts w:ascii="Arial" w:hAnsi="Arial" w:cs="Arial" w:hint="eastAsia"/>
          <w:color w:val="000000" w:themeColor="text1"/>
        </w:rPr>
        <w:t>(TLS region segmentation in Fig.5C)</w:t>
      </w:r>
      <w:r w:rsidRPr="002F0633">
        <w:rPr>
          <w:rFonts w:ascii="Arial" w:hAnsi="Arial" w:cs="Arial"/>
          <w:color w:val="000000" w:themeColor="text1"/>
        </w:rPr>
        <w:t xml:space="preserve">, built upon the same architectural principles and leveraging the capabilities of DCNv3 as described above, was specifically trained for the detection of </w:t>
      </w:r>
      <w:r w:rsidRPr="002F0633">
        <w:rPr>
          <w:rFonts w:ascii="Arial" w:hAnsi="Arial" w:cs="Arial"/>
          <w:i/>
          <w:iCs/>
          <w:color w:val="000000" w:themeColor="text1"/>
        </w:rPr>
        <w:t>candidate</w:t>
      </w:r>
      <w:r w:rsidRPr="002F0633">
        <w:rPr>
          <w:rFonts w:ascii="Arial" w:hAnsi="Arial" w:cs="Arial"/>
          <w:color w:val="000000" w:themeColor="text1"/>
        </w:rPr>
        <w:t xml:space="preserve"> Tertiary Lymphoid Structure (TLS) regions from the same type of region-image blocks. The adaptive nature and strong representational power of </w:t>
      </w:r>
      <w:proofErr w:type="spellStart"/>
      <w:r w:rsidRPr="002F0633">
        <w:rPr>
          <w:rFonts w:ascii="Arial" w:hAnsi="Arial" w:cs="Arial"/>
          <w:color w:val="000000" w:themeColor="text1"/>
        </w:rPr>
        <w:t>InternImage</w:t>
      </w:r>
      <w:proofErr w:type="spellEnd"/>
      <w:r w:rsidRPr="002F0633">
        <w:rPr>
          <w:rFonts w:ascii="Arial" w:hAnsi="Arial" w:cs="Arial"/>
          <w:color w:val="000000" w:themeColor="text1"/>
        </w:rPr>
        <w:t xml:space="preserve"> make it well-suited for identifying these complex and often variably expressed immunological structures.</w:t>
      </w:r>
    </w:p>
    <w:p w14:paraId="76A80694" w14:textId="77777777" w:rsidR="00AE36A6" w:rsidRPr="00105BED" w:rsidRDefault="00AE36A6"/>
    <w:sectPr w:rsidR="00AE36A6" w:rsidRPr="00105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701"/>
    <w:multiLevelType w:val="hybridMultilevel"/>
    <w:tmpl w:val="D520BBF2"/>
    <w:lvl w:ilvl="0" w:tplc="134E11BC">
      <w:start w:val="1"/>
      <w:numFmt w:val="lowerRoman"/>
      <w:lvlText w:val="%1)"/>
      <w:lvlJc w:val="left"/>
      <w:pPr>
        <w:ind w:left="860" w:hanging="44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3F1E13EB"/>
    <w:multiLevelType w:val="hybridMultilevel"/>
    <w:tmpl w:val="152A3546"/>
    <w:lvl w:ilvl="0" w:tplc="FFFFFFFF">
      <w:start w:val="1"/>
      <w:numFmt w:val="upperLetter"/>
      <w:lvlText w:val="%1)"/>
      <w:lvlJc w:val="left"/>
      <w:pPr>
        <w:ind w:left="58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100" w:hanging="440"/>
      </w:pPr>
    </w:lvl>
    <w:lvl w:ilvl="2" w:tplc="FFFFFFFF" w:tentative="1">
      <w:start w:val="1"/>
      <w:numFmt w:val="lowerRoman"/>
      <w:lvlText w:val="%3."/>
      <w:lvlJc w:val="right"/>
      <w:pPr>
        <w:ind w:left="1540" w:hanging="440"/>
      </w:pPr>
    </w:lvl>
    <w:lvl w:ilvl="3" w:tplc="FFFFFFFF" w:tentative="1">
      <w:start w:val="1"/>
      <w:numFmt w:val="decimal"/>
      <w:lvlText w:val="%4."/>
      <w:lvlJc w:val="left"/>
      <w:pPr>
        <w:ind w:left="1980" w:hanging="440"/>
      </w:pPr>
    </w:lvl>
    <w:lvl w:ilvl="4" w:tplc="FFFFFFFF" w:tentative="1">
      <w:start w:val="1"/>
      <w:numFmt w:val="lowerLetter"/>
      <w:lvlText w:val="%5)"/>
      <w:lvlJc w:val="left"/>
      <w:pPr>
        <w:ind w:left="2420" w:hanging="440"/>
      </w:pPr>
    </w:lvl>
    <w:lvl w:ilvl="5" w:tplc="FFFFFFFF" w:tentative="1">
      <w:start w:val="1"/>
      <w:numFmt w:val="lowerRoman"/>
      <w:lvlText w:val="%6."/>
      <w:lvlJc w:val="right"/>
      <w:pPr>
        <w:ind w:left="2860" w:hanging="440"/>
      </w:pPr>
    </w:lvl>
    <w:lvl w:ilvl="6" w:tplc="FFFFFFFF" w:tentative="1">
      <w:start w:val="1"/>
      <w:numFmt w:val="decimal"/>
      <w:lvlText w:val="%7."/>
      <w:lvlJc w:val="left"/>
      <w:pPr>
        <w:ind w:left="3300" w:hanging="440"/>
      </w:pPr>
    </w:lvl>
    <w:lvl w:ilvl="7" w:tplc="FFFFFFFF" w:tentative="1">
      <w:start w:val="1"/>
      <w:numFmt w:val="lowerLetter"/>
      <w:lvlText w:val="%8)"/>
      <w:lvlJc w:val="left"/>
      <w:pPr>
        <w:ind w:left="3740" w:hanging="440"/>
      </w:pPr>
    </w:lvl>
    <w:lvl w:ilvl="8" w:tplc="FFFFFFFF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2" w15:restartNumberingAfterBreak="0">
    <w:nsid w:val="3F915C8B"/>
    <w:multiLevelType w:val="multilevel"/>
    <w:tmpl w:val="0E5C3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B41E6"/>
    <w:multiLevelType w:val="multilevel"/>
    <w:tmpl w:val="E3E8FE6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A851ED"/>
    <w:multiLevelType w:val="hybridMultilevel"/>
    <w:tmpl w:val="032ADA50"/>
    <w:lvl w:ilvl="0" w:tplc="0409001B">
      <w:start w:val="1"/>
      <w:numFmt w:val="lowerRoman"/>
      <w:lvlText w:val="%1."/>
      <w:lvlJc w:val="right"/>
      <w:pPr>
        <w:ind w:left="86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6AEC23CD"/>
    <w:multiLevelType w:val="hybridMultilevel"/>
    <w:tmpl w:val="152A3546"/>
    <w:lvl w:ilvl="0" w:tplc="FD38EFEE">
      <w:start w:val="1"/>
      <w:numFmt w:val="upperLetter"/>
      <w:lvlText w:val="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lowerLetter"/>
      <w:lvlText w:val="%5)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lowerLetter"/>
      <w:lvlText w:val="%8)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num w:numId="1" w16cid:durableId="1966809432">
    <w:abstractNumId w:val="0"/>
  </w:num>
  <w:num w:numId="2" w16cid:durableId="2112160920">
    <w:abstractNumId w:val="2"/>
  </w:num>
  <w:num w:numId="3" w16cid:durableId="1409352411">
    <w:abstractNumId w:val="3"/>
  </w:num>
  <w:num w:numId="4" w16cid:durableId="205147281">
    <w:abstractNumId w:val="4"/>
  </w:num>
  <w:num w:numId="5" w16cid:durableId="1496606002">
    <w:abstractNumId w:val="5"/>
  </w:num>
  <w:num w:numId="6" w16cid:durableId="1351491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6A6"/>
    <w:rsid w:val="00105BED"/>
    <w:rsid w:val="004678AB"/>
    <w:rsid w:val="00AE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9B6B"/>
  <w15:chartTrackingRefBased/>
  <w15:docId w15:val="{CE5B88AE-5FD5-4AF2-B7A8-CF3F65C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BE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E36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6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6A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6A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6A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6A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6A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6A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36A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3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3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36A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36A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E36A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36A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36A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36A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E36A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3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6A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36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3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36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36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36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3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36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36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1279</Words>
  <Characters>7293</Characters>
  <Application>Microsoft Office Word</Application>
  <DocSecurity>0</DocSecurity>
  <Lines>60</Lines>
  <Paragraphs>17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Ruyuan Wang</dc:creator>
  <cp:keywords/>
  <dc:description/>
  <cp:lastModifiedBy>Ruyuan Wang</cp:lastModifiedBy>
  <cp:revision>2</cp:revision>
  <dcterms:created xsi:type="dcterms:W3CDTF">2025-12-26T09:22:00Z</dcterms:created>
  <dcterms:modified xsi:type="dcterms:W3CDTF">2025-12-26T09:27:00Z</dcterms:modified>
</cp:coreProperties>
</file>