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0468E" w14:textId="77777777" w:rsidR="00DF78DC" w:rsidRPr="00DD0828" w:rsidRDefault="00DF78DC" w:rsidP="003A3B4A">
      <w:pPr>
        <w:spacing w:line="360" w:lineRule="auto"/>
        <w:jc w:val="center"/>
        <w:rPr>
          <w:rFonts w:ascii="Times New Roman" w:hAnsi="Times New Roman" w:cs="Times New Roman"/>
          <w:b/>
          <w:bCs/>
          <w:color w:val="000000" w:themeColor="text1"/>
          <w:szCs w:val="21"/>
        </w:rPr>
      </w:pPr>
      <w:bookmarkStart w:id="0" w:name="_Hlk126742996"/>
      <w:r w:rsidRPr="00DD0828">
        <w:rPr>
          <w:rFonts w:ascii="Times New Roman" w:hAnsi="Times New Roman" w:cs="Times New Roman"/>
          <w:b/>
          <w:bCs/>
          <w:color w:val="000000" w:themeColor="text1"/>
          <w:szCs w:val="21"/>
        </w:rPr>
        <w:t>Supplemental Methods</w:t>
      </w:r>
    </w:p>
    <w:p w14:paraId="72BF9B69" w14:textId="77777777" w:rsidR="00DF78DC" w:rsidRPr="00DD0828" w:rsidRDefault="00DF78DC" w:rsidP="003A3B4A">
      <w:pPr>
        <w:pStyle w:val="1"/>
        <w:spacing w:line="360" w:lineRule="auto"/>
        <w:rPr>
          <w:rFonts w:cs="Times New Roman"/>
          <w:color w:val="000000" w:themeColor="text1"/>
          <w:sz w:val="21"/>
          <w:szCs w:val="21"/>
        </w:rPr>
      </w:pPr>
      <w:r w:rsidRPr="00DD0828">
        <w:rPr>
          <w:rFonts w:cs="Times New Roman"/>
          <w:color w:val="000000" w:themeColor="text1"/>
          <w:sz w:val="21"/>
          <w:szCs w:val="21"/>
        </w:rPr>
        <w:t>Imaging Protocol</w:t>
      </w:r>
      <w:bookmarkEnd w:id="0"/>
    </w:p>
    <w:p w14:paraId="3BBA05A7" w14:textId="19231530" w:rsidR="00DF78DC" w:rsidRPr="00DD0828" w:rsidRDefault="00DF78DC" w:rsidP="003A3B4A">
      <w:pPr>
        <w:pStyle w:val="a5"/>
        <w:spacing w:line="360" w:lineRule="auto"/>
        <w:ind w:firstLineChars="0" w:firstLine="0"/>
        <w:rPr>
          <w:rFonts w:ascii="Times New Roman" w:eastAsia="宋体" w:hAnsi="Times New Roman" w:cs="Times New Roman"/>
          <w:color w:val="000000" w:themeColor="text1"/>
          <w:szCs w:val="21"/>
        </w:rPr>
      </w:pPr>
      <w:r w:rsidRPr="00DD0828">
        <w:rPr>
          <w:rFonts w:ascii="Times New Roman" w:eastAsia="宋体" w:hAnsi="Times New Roman" w:cs="Times New Roman"/>
          <w:b/>
          <w:bCs/>
          <w:color w:val="000000" w:themeColor="text1"/>
          <w:szCs w:val="21"/>
        </w:rPr>
        <w:t>(1) Cohort 1:</w:t>
      </w:r>
      <w:r w:rsidRPr="00DD0828">
        <w:rPr>
          <w:rFonts w:ascii="Times New Roman" w:eastAsia="宋体" w:hAnsi="Times New Roman" w:cs="Times New Roman"/>
          <w:color w:val="000000" w:themeColor="text1"/>
          <w:szCs w:val="21"/>
        </w:rPr>
        <w:t xml:space="preserve"> MR examinations were performed on a 3.0-T MRI scanner (Siemens Healthineers, Erlangen, Germany) using a 16-channel phased-array breast surface coil. Before contrast injection, all patients underwent T1-weighted imaging (T1WI; fast spin-echo sequence, TR/TE 8600/4.7 ms; thickness 5.0 mm), T2WI (short time inversion recovery, TR/TE 5600/56 ms; thickness 5.0 mm), and DWI (single-shot echo-planar imaging, TR/TE 5600/75 ms; thickness 5.0 mm; b value 0/800 </w:t>
      </w:r>
      <w:r w:rsidRPr="00DD0828">
        <w:rPr>
          <w:rFonts w:ascii="Times New Roman" w:eastAsia="等线" w:hAnsi="Times New Roman" w:cs="Times New Roman"/>
          <w:color w:val="000000" w:themeColor="text1"/>
          <w:szCs w:val="21"/>
        </w:rPr>
        <w:t>s/mm</w:t>
      </w:r>
      <w:r w:rsidRPr="00DD0828">
        <w:rPr>
          <w:rFonts w:ascii="Times New Roman" w:eastAsia="等线" w:hAnsi="Times New Roman" w:cs="Times New Roman"/>
          <w:color w:val="000000" w:themeColor="text1"/>
          <w:szCs w:val="21"/>
          <w:vertAlign w:val="superscript"/>
        </w:rPr>
        <w:t>2</w:t>
      </w:r>
      <w:r w:rsidRPr="00DD0828">
        <w:rPr>
          <w:rFonts w:ascii="Times New Roman" w:eastAsia="宋体" w:hAnsi="Times New Roman" w:cs="Times New Roman"/>
          <w:color w:val="000000" w:themeColor="text1"/>
          <w:szCs w:val="21"/>
        </w:rPr>
        <w:t>), followed by DCE-MRI (spoiled gradient echo, TR/TE 4.4/1.8 ms; thickness 1.5 mm). A contrast agent (Magnevist, Bayer HealthCare Pharmaceuticals Inc., Wayne, USA) was injected (0.1 mmol/kg, rate of 2.0 ml/s) after a plain scan and was followed immediately by a 20-ml saline flush. Post-contrast images were acquired at 90, 150, 210, 270 and 330 s after injection, at 60-s intervals.</w:t>
      </w:r>
    </w:p>
    <w:p w14:paraId="6A77B0E8" w14:textId="77777777" w:rsidR="00DF78DC" w:rsidRPr="00DD0828" w:rsidRDefault="00DF78DC" w:rsidP="003A3B4A">
      <w:pPr>
        <w:pStyle w:val="a5"/>
        <w:spacing w:line="360" w:lineRule="auto"/>
        <w:ind w:firstLineChars="0" w:firstLine="0"/>
        <w:rPr>
          <w:rFonts w:ascii="Times New Roman" w:eastAsia="宋体" w:hAnsi="Times New Roman" w:cs="Times New Roman"/>
          <w:color w:val="000000" w:themeColor="text1"/>
          <w:szCs w:val="21"/>
        </w:rPr>
      </w:pPr>
      <w:r w:rsidRPr="00DD0828">
        <w:rPr>
          <w:rFonts w:ascii="Times New Roman" w:eastAsia="宋体" w:hAnsi="Times New Roman" w:cs="Times New Roman"/>
          <w:b/>
          <w:bCs/>
          <w:color w:val="000000" w:themeColor="text1"/>
          <w:szCs w:val="21"/>
        </w:rPr>
        <w:t xml:space="preserve">(2) DUKE datasets [1]: </w:t>
      </w:r>
      <w:r w:rsidRPr="00DD0828">
        <w:rPr>
          <w:rFonts w:ascii="Times New Roman" w:eastAsia="宋体" w:hAnsi="Times New Roman" w:cs="Times New Roman"/>
          <w:color w:val="000000" w:themeColor="text1"/>
          <w:szCs w:val="21"/>
        </w:rPr>
        <w:t>MR examinations were performed on 1.5T or 3T MRI scanner (GE Medical Systems, Siemens or MPTronic software). The imaging protocols included a pre-contrast non-fat saturated T1-weighted sequence and a fat-saturated gradient echo T1-weighted sequence. Typically, three to four post-contrast T1-weighted sequences with fat suppression were acquired after the IV administration of contrast agent using a weight-based protocol of (0.2 mL/kg). The contrast-enhanced series consisted of a high-resolution (≤1 mm in-plane spatial resolution), three-dimensional, fat-suppressed, T1-weighted gradient-echo sequence (flip angle, 7°-12°; field of view, 250–480 mm; minimum matrix, 320 × 320; section thickness, 0.9-2.5 mm).</w:t>
      </w:r>
    </w:p>
    <w:p w14:paraId="0CCA9AF0" w14:textId="77777777" w:rsidR="00DF78DC" w:rsidRPr="00DD0828" w:rsidRDefault="00DF78DC" w:rsidP="003A3B4A">
      <w:pPr>
        <w:pStyle w:val="a5"/>
        <w:spacing w:line="360" w:lineRule="auto"/>
        <w:ind w:firstLineChars="0" w:firstLine="0"/>
        <w:rPr>
          <w:rFonts w:ascii="Times New Roman" w:hAnsi="Times New Roman" w:cs="Times New Roman"/>
          <w:color w:val="000000" w:themeColor="text1"/>
          <w:kern w:val="0"/>
          <w:szCs w:val="21"/>
        </w:rPr>
      </w:pPr>
      <w:r w:rsidRPr="00DD0828">
        <w:rPr>
          <w:rFonts w:ascii="Times New Roman" w:eastAsia="宋体" w:hAnsi="Times New Roman" w:cs="Times New Roman"/>
          <w:b/>
          <w:bCs/>
          <w:color w:val="000000" w:themeColor="text1"/>
          <w:szCs w:val="21"/>
        </w:rPr>
        <w:t xml:space="preserve">(3) I-SPY 1 datasets [2]: </w:t>
      </w:r>
      <w:r w:rsidRPr="00DD0828">
        <w:rPr>
          <w:rFonts w:ascii="Times New Roman" w:eastAsia="宋体" w:hAnsi="Times New Roman" w:cs="Times New Roman"/>
          <w:color w:val="000000" w:themeColor="text1"/>
          <w:szCs w:val="21"/>
        </w:rPr>
        <w:t>MR examinations were performed on</w:t>
      </w:r>
      <w:r w:rsidRPr="00DD0828">
        <w:rPr>
          <w:rFonts w:ascii="Times New Roman" w:eastAsia="微软雅黑" w:hAnsi="Times New Roman" w:cs="Times New Roman"/>
          <w:color w:val="000000" w:themeColor="text1"/>
          <w:szCs w:val="21"/>
        </w:rPr>
        <w:t xml:space="preserve"> 1.5T MR </w:t>
      </w:r>
      <w:r w:rsidRPr="00DD0828">
        <w:rPr>
          <w:rFonts w:ascii="Times New Roman" w:eastAsia="宋体" w:hAnsi="Times New Roman" w:cs="Times New Roman"/>
          <w:color w:val="000000" w:themeColor="text1"/>
          <w:szCs w:val="21"/>
        </w:rPr>
        <w:t>scanner</w:t>
      </w:r>
      <w:r w:rsidRPr="00DD0828">
        <w:rPr>
          <w:rFonts w:ascii="Times New Roman" w:eastAsia="微软雅黑" w:hAnsi="Times New Roman" w:cs="Times New Roman"/>
          <w:color w:val="000000" w:themeColor="text1"/>
          <w:szCs w:val="21"/>
        </w:rPr>
        <w:t xml:space="preserve"> (GE Medical Systems, Siemens or Philips Medical Systems). The imaging protocols included a localization sequence and T2-weighted sequence followed by a contrast-enhanced T1-weighted series. The early-phase and delayed-phase were performed at 2.5 mins and 7.5 mins after injection of the contrast material, respectively. All imaging was performed unilaterally over the symptomatic breast in the sagittal orientation. </w:t>
      </w:r>
      <w:r w:rsidRPr="00DD0828">
        <w:rPr>
          <w:rFonts w:ascii="Times New Roman" w:eastAsia="MS Mincho" w:hAnsi="Times New Roman" w:cs="Times New Roman"/>
          <w:color w:val="000000" w:themeColor="text1"/>
          <w:kern w:val="0"/>
          <w:szCs w:val="21"/>
        </w:rPr>
        <w:t>The contrast-enhanced series consisted of a high-resolution (≤1 mm in-plane spatial resolution), three-dimensional, fat-suppressed, T1-weighted gradient-echo sequence (repetition time msec/echo time msec, ≤20/4.5; flip angle, ≤45°; field of view, 16–18 cm; minimum matrix, 256 × 192; 64 sections; section thickness, ≤2.5 mm).</w:t>
      </w:r>
    </w:p>
    <w:p w14:paraId="53A696D1" w14:textId="77777777" w:rsidR="00DF78DC" w:rsidRPr="00DD0828" w:rsidRDefault="00DF78DC" w:rsidP="003A3B4A">
      <w:pPr>
        <w:pStyle w:val="a5"/>
        <w:spacing w:line="360" w:lineRule="auto"/>
        <w:ind w:firstLineChars="0" w:firstLine="0"/>
        <w:rPr>
          <w:rFonts w:ascii="Times New Roman" w:hAnsi="Times New Roman" w:cs="Times New Roman"/>
          <w:color w:val="000000" w:themeColor="text1"/>
          <w:szCs w:val="21"/>
        </w:rPr>
      </w:pPr>
    </w:p>
    <w:p w14:paraId="38F4C185" w14:textId="77777777" w:rsidR="00DF78DC" w:rsidRPr="00DD0828" w:rsidRDefault="00DF78DC" w:rsidP="003A3B4A">
      <w:pPr>
        <w:keepNext/>
        <w:keepLines/>
        <w:spacing w:line="360" w:lineRule="auto"/>
        <w:outlineLvl w:val="0"/>
        <w:rPr>
          <w:rFonts w:ascii="Times New Roman" w:hAnsi="Times New Roman" w:cs="Times New Roman"/>
          <w:b/>
          <w:bCs/>
          <w:color w:val="000000" w:themeColor="text1"/>
          <w:kern w:val="44"/>
          <w:szCs w:val="21"/>
        </w:rPr>
      </w:pPr>
      <w:bookmarkStart w:id="1" w:name="_Hlk149679639"/>
      <w:r w:rsidRPr="00DD0828">
        <w:rPr>
          <w:rFonts w:ascii="Times New Roman" w:eastAsia="宋体" w:hAnsi="Times New Roman" w:cs="Times New Roman"/>
          <w:b/>
          <w:bCs/>
          <w:color w:val="000000" w:themeColor="text1"/>
          <w:kern w:val="44"/>
          <w:szCs w:val="21"/>
        </w:rPr>
        <w:lastRenderedPageBreak/>
        <w:t>Image Standardization Process:</w:t>
      </w:r>
    </w:p>
    <w:bookmarkEnd w:id="1"/>
    <w:p w14:paraId="4E450053" w14:textId="796FF47A" w:rsidR="000D4422" w:rsidRPr="00DD0828" w:rsidRDefault="000D4422" w:rsidP="003A3B4A">
      <w:pPr>
        <w:spacing w:line="360" w:lineRule="auto"/>
        <w:rPr>
          <w:rFonts w:ascii="Times New Roman" w:hAnsi="Times New Roman" w:cs="Times New Roman"/>
          <w:color w:val="000000" w:themeColor="text1"/>
          <w:szCs w:val="21"/>
          <w:lang w:val="en-US"/>
        </w:rPr>
      </w:pPr>
      <w:r w:rsidRPr="00DD0828">
        <w:rPr>
          <w:rFonts w:ascii="Times New Roman" w:hAnsi="Times New Roman" w:cs="Times New Roman" w:hint="eastAsia"/>
          <w:color w:val="000000" w:themeColor="text1"/>
          <w:szCs w:val="21"/>
          <w:lang w:val="en-US"/>
        </w:rPr>
        <w:t>Due to variations in imaging acquisition parameters (e.g., matrix size and slice thickness), image standardization was performed prior to peritumoral region generation and feature extraction. First, breast segmentation across all imaging phases was performed using the nnU-Net framework. Image-level intensity normalization was subsequently applied within the segmented breast regions to reduce inter-scan signal variability [4]. Images and corresponding segmentation masks were then resampled once to a uniform isotropic voxel spacing (1</w:t>
      </w:r>
      <w:r w:rsidRPr="00DD0828">
        <w:rPr>
          <w:rFonts w:ascii="Times New Roman" w:hAnsi="Times New Roman" w:cs="Times New Roman" w:hint="eastAsia"/>
          <w:color w:val="000000" w:themeColor="text1"/>
          <w:szCs w:val="21"/>
          <w:lang w:val="en-US"/>
        </w:rPr>
        <w:t>×</w:t>
      </w:r>
      <w:r w:rsidRPr="00DD0828">
        <w:rPr>
          <w:rFonts w:ascii="Times New Roman" w:hAnsi="Times New Roman" w:cs="Times New Roman" w:hint="eastAsia"/>
          <w:color w:val="000000" w:themeColor="text1"/>
          <w:szCs w:val="21"/>
          <w:lang w:val="en-US"/>
        </w:rPr>
        <w:t>1</w:t>
      </w:r>
      <w:r w:rsidRPr="00DD0828">
        <w:rPr>
          <w:rFonts w:ascii="Times New Roman" w:hAnsi="Times New Roman" w:cs="Times New Roman" w:hint="eastAsia"/>
          <w:color w:val="000000" w:themeColor="text1"/>
          <w:szCs w:val="21"/>
          <w:lang w:val="en-US"/>
        </w:rPr>
        <w:t>×</w:t>
      </w:r>
      <w:r w:rsidRPr="00DD0828">
        <w:rPr>
          <w:rFonts w:ascii="Times New Roman" w:hAnsi="Times New Roman" w:cs="Times New Roman" w:hint="eastAsia"/>
          <w:color w:val="000000" w:themeColor="text1"/>
          <w:szCs w:val="21"/>
          <w:lang w:val="en-US"/>
        </w:rPr>
        <w:t>1 mm</w:t>
      </w:r>
      <w:r w:rsidRPr="00DD0828">
        <w:rPr>
          <w:rFonts w:ascii="Times New Roman" w:hAnsi="Times New Roman" w:cs="Times New Roman" w:hint="eastAsia"/>
          <w:color w:val="000000" w:themeColor="text1"/>
          <w:szCs w:val="21"/>
          <w:lang w:val="en-US"/>
        </w:rPr>
        <w:t>³</w:t>
      </w:r>
      <w:r w:rsidRPr="00DD0828">
        <w:rPr>
          <w:rFonts w:ascii="Times New Roman" w:hAnsi="Times New Roman" w:cs="Times New Roman" w:hint="eastAsia"/>
          <w:color w:val="000000" w:themeColor="text1"/>
          <w:szCs w:val="21"/>
          <w:lang w:val="en-US"/>
        </w:rPr>
        <w:t>) in three-dimensional space to ensure spatial consistency across patients and imaging sequences. Linear interpolation was applied to image intensities, whereas nearest-neighbor interpolation was used for segmentation masks. Gaussian filtering was subsequently applied to reduce image noise and improve smoothness prior to feature extraction [5].</w:t>
      </w:r>
    </w:p>
    <w:p w14:paraId="49A0FCB4" w14:textId="6CC3280C" w:rsidR="00DF78DC" w:rsidRPr="00DD0828" w:rsidRDefault="00DF78DC" w:rsidP="003A3B4A">
      <w:pPr>
        <w:keepNext/>
        <w:keepLines/>
        <w:spacing w:line="360" w:lineRule="auto"/>
        <w:outlineLvl w:val="0"/>
        <w:rPr>
          <w:rFonts w:ascii="Times New Roman" w:hAnsi="Times New Roman" w:cs="Times New Roman"/>
          <w:b/>
          <w:bCs/>
          <w:color w:val="000000" w:themeColor="text1"/>
          <w:szCs w:val="21"/>
        </w:rPr>
      </w:pPr>
      <w:bookmarkStart w:id="2" w:name="_Hlk149679654"/>
      <w:r w:rsidRPr="00DD0828">
        <w:rPr>
          <w:rFonts w:ascii="Times New Roman" w:eastAsia="Times New Roman" w:hAnsi="Times New Roman" w:cs="Times New Roman"/>
          <w:b/>
          <w:bCs/>
          <w:color w:val="000000" w:themeColor="text1"/>
          <w:kern w:val="44"/>
          <w:szCs w:val="21"/>
        </w:rPr>
        <w:t xml:space="preserve">Volume of interest (VOI) </w:t>
      </w:r>
      <w:r w:rsidRPr="00DD0828">
        <w:rPr>
          <w:rFonts w:ascii="Times New Roman" w:hAnsi="Times New Roman" w:cs="Times New Roman"/>
          <w:b/>
          <w:bCs/>
          <w:color w:val="000000" w:themeColor="text1"/>
          <w:szCs w:val="21"/>
        </w:rPr>
        <w:t>Segmentation</w:t>
      </w:r>
      <w:bookmarkEnd w:id="2"/>
    </w:p>
    <w:p w14:paraId="1F3804B9" w14:textId="77777777" w:rsidR="00150D44" w:rsidRPr="00DD0828" w:rsidRDefault="00DF78DC" w:rsidP="003A3B4A">
      <w:pPr>
        <w:pStyle w:val="a5"/>
        <w:numPr>
          <w:ilvl w:val="0"/>
          <w:numId w:val="7"/>
        </w:numPr>
        <w:spacing w:line="360" w:lineRule="auto"/>
        <w:ind w:left="0" w:firstLineChars="0" w:firstLine="0"/>
        <w:rPr>
          <w:rFonts w:ascii="Times New Roman" w:hAnsi="Times New Roman" w:cs="Times New Roman"/>
          <w:color w:val="000000" w:themeColor="text1"/>
          <w:szCs w:val="21"/>
        </w:rPr>
      </w:pPr>
      <w:r w:rsidRPr="00DD0828">
        <w:rPr>
          <w:rFonts w:ascii="Times New Roman" w:hAnsi="Times New Roman" w:cs="Times New Roman"/>
          <w:b/>
          <w:bCs/>
          <w:color w:val="000000" w:themeColor="text1"/>
          <w:szCs w:val="21"/>
        </w:rPr>
        <w:t>Whole-tumor region</w:t>
      </w:r>
    </w:p>
    <w:p w14:paraId="400B73AF" w14:textId="35271BB1" w:rsidR="00DF78DC" w:rsidRPr="00DD0828" w:rsidRDefault="00DF78DC" w:rsidP="003A3B4A">
      <w:pPr>
        <w:pStyle w:val="a5"/>
        <w:spacing w:line="360" w:lineRule="auto"/>
        <w:ind w:firstLineChars="0" w:firstLine="0"/>
        <w:rPr>
          <w:rFonts w:ascii="Times New Roman" w:hAnsi="Times New Roman" w:cs="Times New Roman"/>
          <w:color w:val="000000" w:themeColor="text1"/>
          <w:szCs w:val="21"/>
        </w:rPr>
      </w:pPr>
      <w:r w:rsidRPr="00DD0828">
        <w:rPr>
          <w:rFonts w:ascii="Times New Roman" w:hAnsi="Times New Roman" w:cs="Times New Roman"/>
          <w:color w:val="000000" w:themeColor="text1"/>
          <w:szCs w:val="21"/>
        </w:rPr>
        <w:t>VOIs were placed on all slices of the whole-tumor. For multiple lesions, only the largest lesion was delineated and analysed in the following process. Two radiologists</w:t>
      </w:r>
      <w:bookmarkStart w:id="3" w:name="_Hlk197104588"/>
      <w:r w:rsidRPr="00DD0828">
        <w:rPr>
          <w:rFonts w:ascii="Times New Roman" w:hAnsi="Times New Roman" w:cs="Times New Roman"/>
          <w:color w:val="000000" w:themeColor="text1"/>
          <w:szCs w:val="21"/>
        </w:rPr>
        <w:t xml:space="preserve"> (X.X and Y.Y, with 6 and 2 years of breast MRI experience)</w:t>
      </w:r>
      <w:bookmarkEnd w:id="3"/>
      <w:r w:rsidRPr="00DD0828">
        <w:rPr>
          <w:rFonts w:ascii="Times New Roman" w:hAnsi="Times New Roman" w:cs="Times New Roman"/>
          <w:color w:val="000000" w:themeColor="text1"/>
          <w:szCs w:val="21"/>
        </w:rPr>
        <w:t xml:space="preserve"> randomly delineated VOIs for 100 patients using 3D Slicer software to validate the repeatability of features. Interobserver repeatability was assessed using the intraclass correlation coefficient (ICC), as follows: poor (0.0</w:t>
      </w:r>
      <w:r w:rsidR="00C70AA4" w:rsidRPr="00DD0828">
        <w:rPr>
          <w:rFonts w:ascii="Times New Roman" w:hAnsi="Times New Roman" w:cs="Times New Roman" w:hint="eastAsia"/>
          <w:color w:val="000000" w:themeColor="text1"/>
          <w:szCs w:val="21"/>
        </w:rPr>
        <w:t>-</w:t>
      </w:r>
      <w:r w:rsidRPr="00DD0828">
        <w:rPr>
          <w:rFonts w:ascii="Times New Roman" w:hAnsi="Times New Roman" w:cs="Times New Roman"/>
          <w:color w:val="000000" w:themeColor="text1"/>
          <w:szCs w:val="21"/>
        </w:rPr>
        <w:t>0.50), moderate (0.51</w:t>
      </w:r>
      <w:r w:rsidR="00C70AA4" w:rsidRPr="00DD0828">
        <w:rPr>
          <w:rFonts w:ascii="Times New Roman" w:hAnsi="Times New Roman" w:cs="Times New Roman" w:hint="eastAsia"/>
          <w:color w:val="000000" w:themeColor="text1"/>
          <w:szCs w:val="21"/>
        </w:rPr>
        <w:t>-</w:t>
      </w:r>
      <w:r w:rsidRPr="00DD0828">
        <w:rPr>
          <w:rFonts w:ascii="Times New Roman" w:hAnsi="Times New Roman" w:cs="Times New Roman"/>
          <w:color w:val="000000" w:themeColor="text1"/>
          <w:szCs w:val="21"/>
        </w:rPr>
        <w:t>0.75), good (0.76</w:t>
      </w:r>
      <w:r w:rsidR="00C70AA4" w:rsidRPr="00DD0828">
        <w:rPr>
          <w:rFonts w:ascii="Times New Roman" w:hAnsi="Times New Roman" w:cs="Times New Roman" w:hint="eastAsia"/>
          <w:color w:val="000000" w:themeColor="text1"/>
          <w:szCs w:val="21"/>
        </w:rPr>
        <w:t>-</w:t>
      </w:r>
      <w:r w:rsidRPr="00DD0828">
        <w:rPr>
          <w:rFonts w:ascii="Times New Roman" w:hAnsi="Times New Roman" w:cs="Times New Roman"/>
          <w:color w:val="000000" w:themeColor="text1"/>
          <w:szCs w:val="21"/>
        </w:rPr>
        <w:t>0.90) and excellent (0.91</w:t>
      </w:r>
      <w:r w:rsidR="00C70AA4" w:rsidRPr="00DD0828">
        <w:rPr>
          <w:rFonts w:ascii="Times New Roman" w:hAnsi="Times New Roman" w:cs="Times New Roman" w:hint="eastAsia"/>
          <w:color w:val="000000" w:themeColor="text1"/>
          <w:szCs w:val="21"/>
        </w:rPr>
        <w:t>-</w:t>
      </w:r>
      <w:r w:rsidRPr="00DD0828">
        <w:rPr>
          <w:rFonts w:ascii="Times New Roman" w:hAnsi="Times New Roman" w:cs="Times New Roman"/>
          <w:color w:val="000000" w:themeColor="text1"/>
          <w:szCs w:val="21"/>
        </w:rPr>
        <w:t>1.0) [6].</w:t>
      </w:r>
    </w:p>
    <w:p w14:paraId="19F27B16" w14:textId="3E42F169" w:rsidR="00754BC6" w:rsidRPr="00DD0828" w:rsidRDefault="00DF78DC" w:rsidP="003A3B4A">
      <w:pPr>
        <w:spacing w:line="360" w:lineRule="auto"/>
        <w:rPr>
          <w:rFonts w:ascii="Times New Roman" w:hAnsi="Times New Roman" w:cs="Times New Roman"/>
          <w:b/>
          <w:bCs/>
          <w:color w:val="000000" w:themeColor="text1"/>
          <w:szCs w:val="21"/>
          <w:lang w:val="en-US"/>
        </w:rPr>
      </w:pPr>
      <w:r w:rsidRPr="00DD0828">
        <w:rPr>
          <w:rFonts w:ascii="Times New Roman" w:hAnsi="Times New Roman" w:cs="Times New Roman"/>
          <w:b/>
          <w:bCs/>
          <w:color w:val="000000" w:themeColor="text1"/>
          <w:szCs w:val="21"/>
        </w:rPr>
        <w:t xml:space="preserve">(2) </w:t>
      </w:r>
      <w:r w:rsidR="00754BC6" w:rsidRPr="00DD0828">
        <w:rPr>
          <w:rFonts w:ascii="Times New Roman" w:hAnsi="Times New Roman" w:cs="Times New Roman"/>
          <w:b/>
          <w:bCs/>
          <w:color w:val="000000" w:themeColor="text1"/>
          <w:szCs w:val="21"/>
          <w:lang w:val="en-US"/>
        </w:rPr>
        <w:t>Peritumoral region</w:t>
      </w:r>
    </w:p>
    <w:p w14:paraId="361B01D1" w14:textId="514C6EE6" w:rsidR="007B1027" w:rsidRPr="00DD0828" w:rsidRDefault="00754BC6"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The peritumoral region was defined as a three-dimensional ring extending 5 mm outward from the tumor boundary. To ensure geometric consistency, all images and corresponding tumor masks were resampled to isotropic voxel spacing prior to region generation. Peritumoral expansion was implemented in physical space based on the Euclidean distance between voxels, accounting for voxel spacing in all directions.</w:t>
      </w:r>
      <w:r w:rsidR="007B1027" w:rsidRPr="00DD0828">
        <w:rPr>
          <w:rFonts w:ascii="宋体" w:eastAsia="宋体" w:hAnsi="宋体" w:cs="宋体"/>
          <w:color w:val="000000" w:themeColor="text1"/>
          <w:kern w:val="0"/>
          <w:szCs w:val="21"/>
          <w:lang w:val="en-US"/>
        </w:rPr>
        <w:t xml:space="preserve"> </w:t>
      </w:r>
      <w:r w:rsidR="007B1027" w:rsidRPr="00DD0828">
        <w:rPr>
          <w:rFonts w:ascii="Times New Roman" w:hAnsi="Times New Roman" w:cs="Times New Roman"/>
          <w:color w:val="000000" w:themeColor="text1"/>
          <w:szCs w:val="21"/>
          <w:lang w:val="en-US"/>
        </w:rPr>
        <w:t>Specifically, for each voxel outside the tumor mask, its Euclidean distance to the nearest tumor voxel was computed as:</w:t>
      </w:r>
    </w:p>
    <w:p w14:paraId="6D56B65A" w14:textId="3CC7756B" w:rsidR="00CC569F" w:rsidRPr="00DD0828" w:rsidRDefault="00CC569F" w:rsidP="003A3B4A">
      <w:pPr>
        <w:spacing w:line="360" w:lineRule="auto"/>
        <w:rPr>
          <w:rFonts w:ascii="Times New Roman" w:hAnsi="Times New Roman" w:cs="Times New Roman"/>
          <w:color w:val="000000" w:themeColor="text1"/>
          <w:szCs w:val="21"/>
        </w:rPr>
      </w:pPr>
      <m:oMathPara>
        <m:oMath>
          <m:r>
            <m:rPr>
              <m:sty m:val="p"/>
            </m:rPr>
            <w:rPr>
              <w:rFonts w:ascii="Cambria Math" w:hAnsi="Cambria Math" w:cs="Times New Roman"/>
              <w:color w:val="000000" w:themeColor="text1"/>
              <w:szCs w:val="21"/>
            </w:rPr>
            <m:t>D=</m:t>
          </m:r>
          <m:rad>
            <m:radPr>
              <m:degHide m:val="1"/>
              <m:ctrlPr>
                <w:rPr>
                  <w:rFonts w:ascii="Cambria Math" w:hAnsi="Cambria Math" w:cs="Times New Roman"/>
                  <w:color w:val="000000" w:themeColor="text1"/>
                  <w:szCs w:val="21"/>
                </w:rPr>
              </m:ctrlPr>
            </m:radPr>
            <m:deg/>
            <m:e>
              <m:sSup>
                <m:sSupPr>
                  <m:ctrlPr>
                    <w:rPr>
                      <w:rFonts w:ascii="Cambria Math" w:hAnsi="Cambria Math" w:cs="Times New Roman"/>
                      <w:color w:val="000000" w:themeColor="text1"/>
                      <w:szCs w:val="21"/>
                    </w:rPr>
                  </m:ctrlPr>
                </m:sSupPr>
                <m:e>
                  <m:r>
                    <m:rPr>
                      <m:sty m:val="p"/>
                    </m:rPr>
                    <w:rPr>
                      <w:rFonts w:ascii="Cambria Math" w:hAnsi="Cambria Math" w:cs="Times New Roman"/>
                      <w:color w:val="000000" w:themeColor="text1"/>
                      <w:szCs w:val="21"/>
                    </w:rPr>
                    <m:t>[s₁(x-x₀)]</m:t>
                  </m:r>
                </m:e>
                <m:sup>
                  <m:r>
                    <m:rPr>
                      <m:sty m:val="p"/>
                    </m:rPr>
                    <w:rPr>
                      <w:rFonts w:ascii="Cambria Math" w:hAnsi="Cambria Math" w:cs="Times New Roman"/>
                      <w:color w:val="000000" w:themeColor="text1"/>
                      <w:szCs w:val="21"/>
                    </w:rPr>
                    <m:t>2</m:t>
                  </m:r>
                </m:sup>
              </m:sSup>
              <m:r>
                <m:rPr>
                  <m:sty m:val="p"/>
                </m:rPr>
                <w:rPr>
                  <w:rFonts w:ascii="Cambria Math" w:hAnsi="Cambria Math" w:cs="Times New Roman"/>
                  <w:color w:val="000000" w:themeColor="text1"/>
                  <w:szCs w:val="21"/>
                </w:rPr>
                <m:t>+</m:t>
              </m:r>
              <m:sSup>
                <m:sSupPr>
                  <m:ctrlPr>
                    <w:rPr>
                      <w:rFonts w:ascii="Cambria Math" w:hAnsi="Cambria Math" w:cs="Times New Roman"/>
                      <w:color w:val="000000" w:themeColor="text1"/>
                      <w:szCs w:val="21"/>
                    </w:rPr>
                  </m:ctrlPr>
                </m:sSupPr>
                <m:e>
                  <m:r>
                    <m:rPr>
                      <m:sty m:val="p"/>
                    </m:rPr>
                    <w:rPr>
                      <w:rFonts w:ascii="Cambria Math" w:hAnsi="Cambria Math" w:cs="Times New Roman"/>
                      <w:color w:val="000000" w:themeColor="text1"/>
                      <w:szCs w:val="21"/>
                    </w:rPr>
                    <m:t>[s₂(y-</m:t>
                  </m:r>
                  <m:r>
                    <m:rPr>
                      <m:sty m:val="p"/>
                    </m:rPr>
                    <w:rPr>
                      <w:rFonts w:ascii="Cambria Math" w:hAnsi="Cambria Math" w:cs="Times New Roman" w:hint="eastAsia"/>
                      <w:color w:val="000000" w:themeColor="text1"/>
                      <w:szCs w:val="21"/>
                    </w:rPr>
                    <m:t>y</m:t>
                  </m:r>
                  <m:r>
                    <m:rPr>
                      <m:sty m:val="p"/>
                    </m:rPr>
                    <w:rPr>
                      <w:rFonts w:ascii="Cambria Math" w:hAnsi="Cambria Math" w:cs="Times New Roman"/>
                      <w:color w:val="000000" w:themeColor="text1"/>
                      <w:szCs w:val="21"/>
                    </w:rPr>
                    <m:t>₀)]</m:t>
                  </m:r>
                </m:e>
                <m:sup>
                  <m:r>
                    <m:rPr>
                      <m:sty m:val="p"/>
                    </m:rPr>
                    <w:rPr>
                      <w:rFonts w:ascii="Cambria Math" w:hAnsi="Cambria Math" w:cs="Times New Roman"/>
                      <w:color w:val="000000" w:themeColor="text1"/>
                      <w:szCs w:val="21"/>
                    </w:rPr>
                    <m:t>2</m:t>
                  </m:r>
                </m:sup>
              </m:sSup>
              <m:r>
                <m:rPr>
                  <m:sty m:val="p"/>
                </m:rPr>
                <w:rPr>
                  <w:rFonts w:ascii="Cambria Math" w:hAnsi="Cambria Math" w:cs="Times New Roman"/>
                  <w:color w:val="000000" w:themeColor="text1"/>
                  <w:szCs w:val="21"/>
                </w:rPr>
                <m:t>+</m:t>
              </m:r>
              <m:sSup>
                <m:sSupPr>
                  <m:ctrlPr>
                    <w:rPr>
                      <w:rFonts w:ascii="Cambria Math" w:hAnsi="Cambria Math" w:cs="Times New Roman"/>
                      <w:color w:val="000000" w:themeColor="text1"/>
                      <w:szCs w:val="21"/>
                    </w:rPr>
                  </m:ctrlPr>
                </m:sSupPr>
                <m:e>
                  <m:r>
                    <m:rPr>
                      <m:sty m:val="p"/>
                    </m:rPr>
                    <w:rPr>
                      <w:rFonts w:ascii="Cambria Math" w:hAnsi="Cambria Math" w:cs="Times New Roman"/>
                      <w:color w:val="000000" w:themeColor="text1"/>
                      <w:szCs w:val="21"/>
                    </w:rPr>
                    <m:t>[s₃(z-z₀)]</m:t>
                  </m:r>
                </m:e>
                <m:sup>
                  <m:r>
                    <m:rPr>
                      <m:sty m:val="p"/>
                    </m:rPr>
                    <w:rPr>
                      <w:rFonts w:ascii="Cambria Math" w:hAnsi="Cambria Math" w:cs="Times New Roman"/>
                      <w:color w:val="000000" w:themeColor="text1"/>
                      <w:szCs w:val="21"/>
                    </w:rPr>
                    <m:t>2</m:t>
                  </m:r>
                </m:sup>
              </m:sSup>
            </m:e>
          </m:rad>
        </m:oMath>
      </m:oMathPara>
    </w:p>
    <w:p w14:paraId="0B7F5A4A" w14:textId="77777777" w:rsidR="00CC569F" w:rsidRPr="00DD0828" w:rsidRDefault="007B1027" w:rsidP="003A3B4A">
      <w:pPr>
        <w:pStyle w:val="a5"/>
        <w:spacing w:line="360" w:lineRule="auto"/>
        <w:ind w:firstLineChars="0" w:firstLine="0"/>
        <w:rPr>
          <w:rFonts w:ascii="Times New Roman" w:hAnsi="Times New Roman" w:cs="Times New Roman"/>
          <w:color w:val="000000" w:themeColor="text1"/>
          <w:szCs w:val="21"/>
        </w:rPr>
      </w:pPr>
      <w:r w:rsidRPr="00DD0828">
        <w:rPr>
          <w:rFonts w:ascii="Times New Roman" w:hAnsi="Times New Roman" w:cs="Times New Roman"/>
          <w:color w:val="000000" w:themeColor="text1"/>
          <w:szCs w:val="21"/>
        </w:rPr>
        <w:t xml:space="preserve">where (x, y, z) and (x₀, y₀, z₀) denote the spatial coordinates of a given voxel and its nearest tumor voxel, respectively, and s₁, s₂, s₃ represent voxel spacing along each axis. </w:t>
      </w:r>
    </w:p>
    <w:p w14:paraId="74416D8A" w14:textId="645E2A08" w:rsidR="007B1027" w:rsidRPr="00DD0828" w:rsidRDefault="007B1027"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rPr>
        <w:lastRenderedPageBreak/>
        <w:t>Voxels with a distance less than or equal to 5 mm were included in the peritumoral region. The original tumor mask was then subtracted to obtain the final peritumoral ring. This procedure yields a region with a uniform 5-mm thickness around the tumor boundary, independent of voxel anisotropy, and is mathematically equivalent to a standard three-dimensional distance transform.</w:t>
      </w:r>
    </w:p>
    <w:p w14:paraId="785ECA3F" w14:textId="60F13011" w:rsidR="00754BC6" w:rsidRPr="00DD0828" w:rsidRDefault="00754BC6"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To avoid inclusion of non-breast tissues, the generated peritumoral region was constrained within the breast parenchyma using the breast mask. Voxels extending beyond the breast boundary were excluded. In cases where the expanded region intersected anatomical boundaries or included implausible regions, manual consensus adjustment was performed by experienced readers. The choice of a 5-mm distance was based on our prior study [</w:t>
      </w:r>
      <w:r w:rsidR="00C70AA4" w:rsidRPr="00DD0828">
        <w:rPr>
          <w:rFonts w:ascii="Times New Roman" w:hAnsi="Times New Roman" w:cs="Times New Roman" w:hint="eastAsia"/>
          <w:color w:val="000000" w:themeColor="text1"/>
          <w:szCs w:val="21"/>
          <w:lang w:val="en-US"/>
        </w:rPr>
        <w:t>7</w:t>
      </w:r>
      <w:r w:rsidRPr="00DD0828">
        <w:rPr>
          <w:rFonts w:ascii="Times New Roman" w:hAnsi="Times New Roman" w:cs="Times New Roman"/>
          <w:color w:val="000000" w:themeColor="text1"/>
          <w:szCs w:val="21"/>
          <w:lang w:val="en-US"/>
        </w:rPr>
        <w:t>], providing a standardized definition of the peritumoral region.</w:t>
      </w:r>
    </w:p>
    <w:p w14:paraId="1BE1727D" w14:textId="77777777" w:rsidR="00150D44" w:rsidRPr="00DD0828" w:rsidRDefault="00150D44" w:rsidP="003A3B4A">
      <w:pPr>
        <w:spacing w:line="360" w:lineRule="auto"/>
        <w:rPr>
          <w:rFonts w:ascii="Times New Roman" w:hAnsi="Times New Roman" w:cs="Times New Roman"/>
          <w:b/>
          <w:bCs/>
          <w:color w:val="000000" w:themeColor="text1"/>
          <w:szCs w:val="21"/>
          <w:lang w:val="en-US"/>
        </w:rPr>
      </w:pPr>
      <w:r w:rsidRPr="00DD0828">
        <w:rPr>
          <w:rFonts w:ascii="Times New Roman" w:hAnsi="Times New Roman" w:cs="Times New Roman"/>
          <w:b/>
          <w:bCs/>
          <w:color w:val="000000" w:themeColor="text1"/>
          <w:szCs w:val="21"/>
          <w:lang w:val="en-US"/>
        </w:rPr>
        <w:t>(3) Intratumoral subregions</w:t>
      </w:r>
    </w:p>
    <w:p w14:paraId="5D92817C" w14:textId="7DA5D6ED" w:rsidR="00B41BBC" w:rsidRPr="00DD0828" w:rsidRDefault="00150D44"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 xml:space="preserve">Intratumoral subregions were defined using an unsupervised k-means clustering approach applied at the individual tumor level. </w:t>
      </w:r>
      <w:r w:rsidR="008D2F42" w:rsidRPr="00DD0828">
        <w:rPr>
          <w:rFonts w:ascii="Times New Roman" w:hAnsi="Times New Roman" w:cs="Times New Roman"/>
          <w:color w:val="000000" w:themeColor="text1"/>
          <w:szCs w:val="21"/>
          <w:lang w:val="en-US"/>
        </w:rPr>
        <w:t>For each tumor,</w:t>
      </w:r>
      <w:r w:rsidR="008D2F42" w:rsidRPr="00DD0828">
        <w:rPr>
          <w:rFonts w:ascii="Times New Roman" w:hAnsi="Times New Roman" w:cs="Times New Roman" w:hint="eastAsia"/>
          <w:color w:val="000000" w:themeColor="text1"/>
          <w:szCs w:val="21"/>
          <w:lang w:val="en-US"/>
        </w:rPr>
        <w:t xml:space="preserve"> f</w:t>
      </w:r>
      <w:r w:rsidR="008D2F42" w:rsidRPr="00DD0828">
        <w:rPr>
          <w:rFonts w:ascii="Times New Roman" w:hAnsi="Times New Roman" w:cs="Times New Roman"/>
          <w:color w:val="000000" w:themeColor="text1"/>
          <w:szCs w:val="21"/>
          <w:lang w:val="en-US"/>
        </w:rPr>
        <w:t>our voxel-wise kinetic parameters were calculated from multiphase DCE-MRI based on the time–signal intensity curve, including wash-in slope (WIS), washout slope (WOS), signal enhancement ratio (SER), and percentage enhancement (PE).</w:t>
      </w:r>
      <w:r w:rsidR="008D2F42" w:rsidRPr="00DD0828">
        <w:rPr>
          <w:rFonts w:ascii="Times New Roman" w:hAnsi="Times New Roman" w:cs="Times New Roman" w:hint="eastAsia"/>
          <w:color w:val="000000" w:themeColor="text1"/>
          <w:szCs w:val="21"/>
          <w:lang w:val="en-US"/>
        </w:rPr>
        <w:t xml:space="preserve"> </w:t>
      </w:r>
      <w:r w:rsidR="00737F6D" w:rsidRPr="00DD0828">
        <w:rPr>
          <w:rFonts w:ascii="Times New Roman" w:hAnsi="Times New Roman" w:cs="Times New Roman"/>
          <w:color w:val="000000" w:themeColor="text1"/>
          <w:szCs w:val="21"/>
        </w:rPr>
        <w:t>WIS quantifies the early enhancement rate, WOS reflects delayed signal washout, while SER and PE characterize enhancement magnitude and persistence.</w:t>
      </w:r>
      <w:r w:rsidR="00737F6D" w:rsidRPr="00DD0828">
        <w:rPr>
          <w:rFonts w:ascii="Times New Roman" w:hAnsi="Times New Roman" w:cs="Times New Roman"/>
          <w:color w:val="000000" w:themeColor="text1"/>
          <w:szCs w:val="21"/>
          <w:lang w:val="en-US"/>
        </w:rPr>
        <w:t xml:space="preserve"> </w:t>
      </w:r>
      <w:r w:rsidR="00B41BBC" w:rsidRPr="00DD0828">
        <w:rPr>
          <w:rFonts w:ascii="Times New Roman" w:hAnsi="Times New Roman" w:cs="Times New Roman"/>
          <w:color w:val="000000" w:themeColor="text1"/>
          <w:szCs w:val="21"/>
          <w:lang w:val="en-US"/>
        </w:rPr>
        <w:t>These parameters characterize different aspects of contrast enhancement behavior, which were used for intratumoral subregion clustering</w:t>
      </w:r>
      <w:r w:rsidR="00B41BBC" w:rsidRPr="00DD0828">
        <w:rPr>
          <w:rFonts w:ascii="Times New Roman" w:hAnsi="Times New Roman" w:cs="Times New Roman" w:hint="eastAsia"/>
          <w:color w:val="000000" w:themeColor="text1"/>
          <w:szCs w:val="21"/>
          <w:lang w:val="en-US"/>
        </w:rPr>
        <w:t>, following the previous studies [</w:t>
      </w:r>
      <w:r w:rsidR="00C70AA4" w:rsidRPr="00DD0828">
        <w:rPr>
          <w:rFonts w:ascii="Times New Roman" w:hAnsi="Times New Roman" w:cs="Times New Roman" w:hint="eastAsia"/>
          <w:color w:val="000000" w:themeColor="text1"/>
          <w:szCs w:val="21"/>
          <w:lang w:val="en-US"/>
        </w:rPr>
        <w:t>8</w:t>
      </w:r>
      <w:r w:rsidR="00B41BBC" w:rsidRPr="00DD0828">
        <w:rPr>
          <w:rFonts w:ascii="Times New Roman" w:hAnsi="Times New Roman" w:cs="Times New Roman" w:hint="eastAsia"/>
          <w:color w:val="000000" w:themeColor="text1"/>
          <w:szCs w:val="21"/>
          <w:lang w:val="en-US"/>
        </w:rPr>
        <w:t>-</w:t>
      </w:r>
      <w:r w:rsidR="00C70AA4" w:rsidRPr="00DD0828">
        <w:rPr>
          <w:rFonts w:ascii="Times New Roman" w:hAnsi="Times New Roman" w:cs="Times New Roman" w:hint="eastAsia"/>
          <w:color w:val="000000" w:themeColor="text1"/>
          <w:szCs w:val="21"/>
          <w:lang w:val="en-US"/>
        </w:rPr>
        <w:t>9</w:t>
      </w:r>
      <w:r w:rsidR="00B41BBC" w:rsidRPr="00DD0828">
        <w:rPr>
          <w:rFonts w:ascii="Times New Roman" w:hAnsi="Times New Roman" w:cs="Times New Roman" w:hint="eastAsia"/>
          <w:color w:val="000000" w:themeColor="text1"/>
          <w:szCs w:val="21"/>
          <w:lang w:val="en-US"/>
        </w:rPr>
        <w:t>]</w:t>
      </w:r>
      <w:r w:rsidR="00B41BBC" w:rsidRPr="00DD0828">
        <w:rPr>
          <w:rFonts w:ascii="Times New Roman" w:hAnsi="Times New Roman" w:cs="Times New Roman"/>
          <w:color w:val="000000" w:themeColor="text1"/>
          <w:szCs w:val="21"/>
          <w:lang w:val="en-US"/>
        </w:rPr>
        <w:t>.</w:t>
      </w:r>
      <w:r w:rsidR="00B41BBC" w:rsidRPr="00DD0828">
        <w:rPr>
          <w:rFonts w:ascii="Times New Roman" w:hAnsi="Times New Roman" w:cs="Times New Roman" w:hint="eastAsia"/>
          <w:color w:val="000000" w:themeColor="text1"/>
          <w:szCs w:val="21"/>
          <w:lang w:val="en-US"/>
        </w:rPr>
        <w:t xml:space="preserve"> </w:t>
      </w:r>
    </w:p>
    <w:p w14:paraId="2A8594FD" w14:textId="7EAD6898" w:rsidR="008D2F42" w:rsidRPr="00DD0828" w:rsidRDefault="008D2F42"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The kinetic parameters were defined as follows</w:t>
      </w:r>
      <w:r w:rsidRPr="00DD0828">
        <w:rPr>
          <w:rFonts w:ascii="Times New Roman" w:hAnsi="Times New Roman" w:cs="Times New Roman" w:hint="eastAsia"/>
          <w:color w:val="000000" w:themeColor="text1"/>
          <w:szCs w:val="21"/>
          <w:lang w:val="en-US"/>
        </w:rPr>
        <w:t xml:space="preserve"> </w:t>
      </w:r>
      <w:r w:rsidRPr="00DD0828">
        <w:rPr>
          <w:rFonts w:ascii="Times New Roman" w:hAnsi="Times New Roman" w:cs="Times New Roman"/>
          <w:color w:val="000000" w:themeColor="text1"/>
          <w:szCs w:val="21"/>
          <w:lang w:val="en-US"/>
        </w:rPr>
        <w:t>(Supplementary Figure E1</w:t>
      </w:r>
      <w:r w:rsidRPr="00DD0828">
        <w:rPr>
          <w:rFonts w:ascii="Times New Roman" w:hAnsi="Times New Roman" w:cs="Times New Roman" w:hint="eastAsia"/>
          <w:color w:val="000000" w:themeColor="text1"/>
          <w:szCs w:val="21"/>
          <w:lang w:val="en-US"/>
        </w:rPr>
        <w:t>a</w:t>
      </w:r>
      <w:r w:rsidRPr="00DD0828">
        <w:rPr>
          <w:rFonts w:ascii="Times New Roman" w:hAnsi="Times New Roman" w:cs="Times New Roman"/>
          <w:color w:val="000000" w:themeColor="text1"/>
          <w:szCs w:val="21"/>
          <w:lang w:val="en-US"/>
        </w:rPr>
        <w:t>):</w:t>
      </w:r>
    </w:p>
    <w:p w14:paraId="087357DF" w14:textId="43264234" w:rsidR="00465981" w:rsidRPr="00DD0828" w:rsidRDefault="00465981" w:rsidP="003A3B4A">
      <w:pPr>
        <w:pStyle w:val="a5"/>
        <w:spacing w:line="360" w:lineRule="auto"/>
        <w:rPr>
          <w:rFonts w:ascii="Times New Roman" w:hAnsi="Times New Roman" w:cs="Times New Roman"/>
          <w:color w:val="000000" w:themeColor="text1"/>
          <w:szCs w:val="21"/>
          <w:lang w:val="en-US"/>
        </w:rPr>
      </w:pPr>
      <m:oMathPara>
        <m:oMath>
          <m:r>
            <w:rPr>
              <w:rFonts w:ascii="Cambria Math" w:hAnsi="Cambria Math" w:cs="Times New Roman"/>
              <w:color w:val="000000" w:themeColor="text1"/>
              <w:szCs w:val="21"/>
              <w:lang w:val="en-US"/>
            </w:rPr>
            <m:t>WIS=</m:t>
          </m:r>
          <m:f>
            <m:fPr>
              <m:ctrlPr>
                <w:rPr>
                  <w:rFonts w:ascii="Cambria Math" w:hAnsi="Cambria Math" w:cs="Times New Roman"/>
                  <w:color w:val="000000" w:themeColor="text1"/>
                  <w:szCs w:val="21"/>
                  <w:lang w:val="en-US"/>
                </w:rPr>
              </m:ctrlPr>
            </m:fPr>
            <m:num>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early</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pre</m:t>
                  </m:r>
                </m:sub>
              </m:sSub>
            </m:num>
            <m:den>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early</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pre</m:t>
                  </m:r>
                </m:sub>
              </m:sSub>
            </m:den>
          </m:f>
        </m:oMath>
      </m:oMathPara>
    </w:p>
    <w:p w14:paraId="6A1128E1" w14:textId="77777777" w:rsidR="00465981" w:rsidRPr="00DD0828" w:rsidRDefault="00465981" w:rsidP="003A3B4A">
      <w:pPr>
        <w:spacing w:line="360" w:lineRule="auto"/>
        <w:rPr>
          <w:rFonts w:ascii="Times New Roman" w:hAnsi="Times New Roman" w:cs="Times New Roman"/>
          <w:b/>
          <w:bCs/>
          <w:color w:val="000000" w:themeColor="text1"/>
          <w:szCs w:val="21"/>
          <w:lang w:val="en-US"/>
        </w:rPr>
      </w:pPr>
      <m:oMathPara>
        <m:oMath>
          <m:r>
            <w:rPr>
              <w:rFonts w:ascii="Cambria Math" w:hAnsi="Cambria Math" w:cs="Times New Roman"/>
              <w:color w:val="000000" w:themeColor="text1"/>
              <w:szCs w:val="21"/>
              <w:lang w:val="en-US"/>
            </w:rPr>
            <m:t>WOS=</m:t>
          </m:r>
          <m:f>
            <m:fPr>
              <m:ctrlPr>
                <w:rPr>
                  <w:rFonts w:ascii="Cambria Math" w:hAnsi="Cambria Math" w:cs="Times New Roman"/>
                  <w:color w:val="000000" w:themeColor="text1"/>
                  <w:szCs w:val="21"/>
                  <w:lang w:val="en-US"/>
                </w:rPr>
              </m:ctrlPr>
            </m:fPr>
            <m:num>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early</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late</m:t>
                  </m:r>
                </m:sub>
              </m:sSub>
            </m:num>
            <m:den>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late</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early</m:t>
                  </m:r>
                </m:sub>
              </m:sSub>
            </m:den>
          </m:f>
        </m:oMath>
      </m:oMathPara>
    </w:p>
    <w:p w14:paraId="77161B66" w14:textId="6C18AF21" w:rsidR="00465981" w:rsidRPr="00DD0828" w:rsidRDefault="00465981" w:rsidP="003A3B4A">
      <w:pPr>
        <w:spacing w:line="360" w:lineRule="auto"/>
        <w:rPr>
          <w:rFonts w:ascii="Times New Roman" w:hAnsi="Times New Roman" w:cs="Times New Roman"/>
          <w:color w:val="000000" w:themeColor="text1"/>
          <w:szCs w:val="21"/>
          <w:lang w:val="en-US"/>
        </w:rPr>
      </w:pPr>
      <m:oMathPara>
        <m:oMath>
          <m:r>
            <w:rPr>
              <w:rFonts w:ascii="Cambria Math" w:hAnsi="Cambria Math" w:cs="Times New Roman"/>
              <w:color w:val="000000" w:themeColor="text1"/>
              <w:szCs w:val="21"/>
              <w:lang w:val="en-US"/>
            </w:rPr>
            <m:t>SER=</m:t>
          </m:r>
          <m:f>
            <m:fPr>
              <m:ctrlPr>
                <w:rPr>
                  <w:rFonts w:ascii="Cambria Math" w:hAnsi="Cambria Math" w:cs="Times New Roman"/>
                  <w:color w:val="000000" w:themeColor="text1"/>
                  <w:szCs w:val="21"/>
                  <w:lang w:val="en-US"/>
                </w:rPr>
              </m:ctrlPr>
            </m:fPr>
            <m:num>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early</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pre</m:t>
                  </m:r>
                </m:sub>
              </m:sSub>
            </m:num>
            <m:den>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late</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pre</m:t>
                  </m:r>
                </m:sub>
              </m:sSub>
            </m:den>
          </m:f>
        </m:oMath>
      </m:oMathPara>
    </w:p>
    <w:p w14:paraId="070276B0" w14:textId="4CBF966C" w:rsidR="008D2F42" w:rsidRPr="00DD0828" w:rsidRDefault="00B41BBC" w:rsidP="003A3B4A">
      <w:pPr>
        <w:pStyle w:val="a5"/>
        <w:spacing w:line="360" w:lineRule="auto"/>
        <w:rPr>
          <w:rFonts w:ascii="Times New Roman" w:hAnsi="Times New Roman" w:cs="Times New Roman"/>
          <w:color w:val="000000" w:themeColor="text1"/>
          <w:szCs w:val="21"/>
          <w:lang w:val="en-US"/>
        </w:rPr>
      </w:pPr>
      <m:oMathPara>
        <m:oMath>
          <m:r>
            <w:rPr>
              <w:rFonts w:ascii="Cambria Math" w:hAnsi="Cambria Math" w:cs="Times New Roman"/>
              <w:color w:val="000000" w:themeColor="text1"/>
              <w:szCs w:val="21"/>
              <w:lang w:val="en-US"/>
            </w:rPr>
            <m:t>PE=</m:t>
          </m:r>
          <m:f>
            <m:fPr>
              <m:ctrlPr>
                <w:rPr>
                  <w:rFonts w:ascii="Cambria Math" w:hAnsi="Cambria Math" w:cs="Times New Roman"/>
                  <w:color w:val="000000" w:themeColor="text1"/>
                  <w:szCs w:val="21"/>
                  <w:lang w:val="en-US"/>
                </w:rPr>
              </m:ctrlPr>
            </m:fPr>
            <m:num>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early</m:t>
                  </m:r>
                </m:sub>
              </m:sSub>
              <m:r>
                <w:rPr>
                  <w:rFonts w:ascii="Cambria Math" w:hAnsi="Cambria Math" w:cs="Times New Roman"/>
                  <w:color w:val="000000" w:themeColor="text1"/>
                  <w:szCs w:val="21"/>
                  <w:lang w:val="en-US"/>
                </w:rPr>
                <m:t>-</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pre</m:t>
                  </m:r>
                </m:sub>
              </m:sSub>
            </m:num>
            <m:den>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pre</m:t>
                  </m:r>
                </m:sub>
              </m:sSub>
            </m:den>
          </m:f>
        </m:oMath>
      </m:oMathPara>
    </w:p>
    <w:p w14:paraId="72C78A25" w14:textId="77777777" w:rsidR="00DE43D5" w:rsidRPr="00DD0828" w:rsidRDefault="008D2F42"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 xml:space="preserve">where </w:t>
      </w:r>
      <m:oMath>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pre</m:t>
            </m:r>
          </m:sub>
        </m:sSub>
      </m:oMath>
      <w:r w:rsidRPr="00DD0828">
        <w:rPr>
          <w:rFonts w:ascii="Times New Roman" w:hAnsi="Times New Roman" w:cs="Times New Roman"/>
          <w:color w:val="000000" w:themeColor="text1"/>
          <w:szCs w:val="21"/>
          <w:lang w:val="en-US"/>
        </w:rPr>
        <w:t xml:space="preserve">, </w:t>
      </w:r>
      <m:oMath>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early</m:t>
            </m:r>
          </m:sub>
        </m:sSub>
      </m:oMath>
      <w:r w:rsidRPr="00DD0828">
        <w:rPr>
          <w:rFonts w:ascii="Times New Roman" w:hAnsi="Times New Roman" w:cs="Times New Roman"/>
          <w:color w:val="000000" w:themeColor="text1"/>
          <w:szCs w:val="21"/>
          <w:lang w:val="en-US"/>
        </w:rPr>
        <w:t xml:space="preserve">, and </w:t>
      </w:r>
      <m:oMath>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t</m:t>
            </m:r>
          </m:e>
          <m:sub>
            <m:r>
              <w:rPr>
                <w:rFonts w:ascii="Cambria Math" w:hAnsi="Cambria Math" w:cs="Times New Roman"/>
                <w:color w:val="000000" w:themeColor="text1"/>
                <w:szCs w:val="21"/>
                <w:lang w:val="en-US"/>
              </w:rPr>
              <m:t>late</m:t>
            </m:r>
          </m:sub>
        </m:sSub>
      </m:oMath>
      <w:r w:rsidRPr="00DD0828">
        <w:rPr>
          <w:rFonts w:ascii="Times New Roman" w:hAnsi="Times New Roman" w:cs="Times New Roman"/>
          <w:color w:val="000000" w:themeColor="text1"/>
          <w:szCs w:val="21"/>
          <w:lang w:val="en-US"/>
        </w:rPr>
        <w:t xml:space="preserve"> represent the acquisition times of the corresponding phases.</w:t>
      </w:r>
    </w:p>
    <w:p w14:paraId="048FF457" w14:textId="2E4BFFF0" w:rsidR="008D2F42" w:rsidRPr="00DD0828" w:rsidRDefault="00000000" w:rsidP="003A3B4A">
      <w:pPr>
        <w:pStyle w:val="a5"/>
        <w:spacing w:line="360" w:lineRule="auto"/>
        <w:ind w:firstLineChars="0" w:firstLine="0"/>
        <w:rPr>
          <w:rFonts w:ascii="Times New Roman" w:hAnsi="Times New Roman" w:cs="Times New Roman"/>
          <w:color w:val="000000" w:themeColor="text1"/>
          <w:szCs w:val="21"/>
          <w:lang w:val="en-US"/>
        </w:rPr>
      </w:pPr>
      <m:oMath>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pre</m:t>
            </m:r>
          </m:sub>
        </m:sSub>
      </m:oMath>
      <w:r w:rsidR="008D2F42" w:rsidRPr="00DD0828">
        <w:rPr>
          <w:rFonts w:ascii="Times New Roman" w:hAnsi="Times New Roman" w:cs="Times New Roman"/>
          <w:color w:val="000000" w:themeColor="text1"/>
          <w:szCs w:val="21"/>
          <w:lang w:val="en-US"/>
        </w:rPr>
        <w:t xml:space="preserve">, </w:t>
      </w:r>
      <m:oMath>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early</m:t>
            </m:r>
          </m:sub>
        </m:sSub>
      </m:oMath>
      <w:r w:rsidR="008D2F42" w:rsidRPr="00DD0828">
        <w:rPr>
          <w:rFonts w:ascii="Times New Roman" w:hAnsi="Times New Roman" w:cs="Times New Roman"/>
          <w:color w:val="000000" w:themeColor="text1"/>
          <w:szCs w:val="21"/>
          <w:lang w:val="en-US"/>
        </w:rPr>
        <w:t xml:space="preserve">, and </w:t>
      </w:r>
      <m:oMath>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late</m:t>
            </m:r>
          </m:sub>
        </m:sSub>
      </m:oMath>
      <w:r w:rsidR="008D2F42" w:rsidRPr="00DD0828">
        <w:rPr>
          <w:rFonts w:ascii="Times New Roman" w:hAnsi="Times New Roman" w:cs="Times New Roman"/>
          <w:color w:val="000000" w:themeColor="text1"/>
          <w:szCs w:val="21"/>
          <w:lang w:val="en-US"/>
        </w:rPr>
        <w:t xml:space="preserve"> </w:t>
      </w:r>
      <w:r w:rsidR="00DE43D5" w:rsidRPr="00DD0828">
        <w:rPr>
          <w:rFonts w:ascii="Times New Roman" w:hAnsi="Times New Roman" w:cs="Times New Roman"/>
          <w:color w:val="000000" w:themeColor="text1"/>
          <w:szCs w:val="21"/>
          <w:lang w:val="en-US"/>
        </w:rPr>
        <w:t>represent</w:t>
      </w:r>
      <w:r w:rsidR="008D2F42" w:rsidRPr="00DD0828">
        <w:rPr>
          <w:rFonts w:ascii="Times New Roman" w:hAnsi="Times New Roman" w:cs="Times New Roman"/>
          <w:color w:val="000000" w:themeColor="text1"/>
          <w:szCs w:val="21"/>
          <w:lang w:val="en-US"/>
        </w:rPr>
        <w:t xml:space="preserve"> pre-contrast, early post-contrast, and late post-contrast phases.</w:t>
      </w:r>
    </w:p>
    <w:p w14:paraId="04F778AC" w14:textId="1BEC1C9E" w:rsidR="00150D44" w:rsidRPr="00DD0828" w:rsidRDefault="00150D44"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The number of clusters (k) was determined using data-driven methods, including the elbow method and the Calinski</w:t>
      </w:r>
      <w:r w:rsidR="00AF0CC2" w:rsidRPr="00DD0828">
        <w:rPr>
          <w:rFonts w:ascii="Times New Roman" w:hAnsi="Times New Roman" w:cs="Times New Roman" w:hint="eastAsia"/>
          <w:color w:val="000000" w:themeColor="text1"/>
          <w:szCs w:val="21"/>
          <w:lang w:val="en-US"/>
        </w:rPr>
        <w:t>-</w:t>
      </w:r>
      <w:r w:rsidRPr="00DD0828">
        <w:rPr>
          <w:rFonts w:ascii="Times New Roman" w:hAnsi="Times New Roman" w:cs="Times New Roman"/>
          <w:color w:val="000000" w:themeColor="text1"/>
          <w:szCs w:val="21"/>
          <w:lang w:val="en-US"/>
        </w:rPr>
        <w:t xml:space="preserve">Harabasz index. Across the development cohort, k = 3 was consistently identified </w:t>
      </w:r>
      <w:r w:rsidRPr="00DD0828">
        <w:rPr>
          <w:rFonts w:ascii="Times New Roman" w:hAnsi="Times New Roman" w:cs="Times New Roman"/>
          <w:color w:val="000000" w:themeColor="text1"/>
          <w:szCs w:val="21"/>
          <w:lang w:val="en-US"/>
        </w:rPr>
        <w:lastRenderedPageBreak/>
        <w:t>as the optimal or near-optimal clustering solution in majority of cases. This finding was further confirmed in the external validation cohort, where k = 3 also yielded the best clustering performance (Supplementary Figure E</w:t>
      </w:r>
      <w:r w:rsidR="000954E6" w:rsidRPr="00DD0828">
        <w:rPr>
          <w:rFonts w:ascii="Times New Roman" w:hAnsi="Times New Roman" w:cs="Times New Roman" w:hint="eastAsia"/>
          <w:color w:val="000000" w:themeColor="text1"/>
          <w:szCs w:val="21"/>
          <w:lang w:val="en-US"/>
        </w:rPr>
        <w:t>1b</w:t>
      </w:r>
      <w:r w:rsidR="00D565FE" w:rsidRPr="00DD0828">
        <w:rPr>
          <w:rFonts w:ascii="Times New Roman" w:hAnsi="Times New Roman" w:cs="Times New Roman" w:hint="eastAsia"/>
          <w:color w:val="000000" w:themeColor="text1"/>
          <w:szCs w:val="21"/>
          <w:lang w:val="en-US"/>
        </w:rPr>
        <w:t>-c, Table E1</w:t>
      </w:r>
      <w:r w:rsidRPr="00DD0828">
        <w:rPr>
          <w:rFonts w:ascii="Times New Roman" w:hAnsi="Times New Roman" w:cs="Times New Roman"/>
          <w:color w:val="000000" w:themeColor="text1"/>
          <w:szCs w:val="21"/>
          <w:lang w:val="en-US"/>
        </w:rPr>
        <w:t>).</w:t>
      </w:r>
    </w:p>
    <w:p w14:paraId="1B53769B" w14:textId="2CE874A4" w:rsidR="00DF78DC" w:rsidRPr="00DD0828" w:rsidRDefault="00B55D8C"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In line with prior DCE-MRI studies, the three clusters were interpreted as imaging-defined perfusion regions (low, intermediate, and high) based on the relative distributions of enhancement-related kinetic parameters (WIS, WOS, SER, and PE; Supplementary Figure E</w:t>
      </w:r>
      <w:r w:rsidRPr="00DD0828">
        <w:rPr>
          <w:rFonts w:ascii="Times New Roman" w:hAnsi="Times New Roman" w:cs="Times New Roman" w:hint="eastAsia"/>
          <w:color w:val="000000" w:themeColor="text1"/>
          <w:szCs w:val="21"/>
          <w:lang w:val="en-US"/>
        </w:rPr>
        <w:t>2a</w:t>
      </w:r>
      <w:r w:rsidRPr="00DD0828">
        <w:rPr>
          <w:rFonts w:ascii="Times New Roman" w:hAnsi="Times New Roman" w:cs="Times New Roman"/>
          <w:color w:val="000000" w:themeColor="text1"/>
          <w:szCs w:val="21"/>
          <w:lang w:val="en-US"/>
        </w:rPr>
        <w:t>). Specifically, the cluster exhibiting relatively lower values across these parameters was labeled as low-perfusion (visualized in red), the cluster with intermediate values as intermediate-perfusion (green), and the cluster with relatively higher values as high-perfusion (blue). These regions reflect imaging-derived enhancement differences rather than direct biological measurements and were visualized using color-coding to illustrate their spatial distribution (Supplementary Figure E</w:t>
      </w:r>
      <w:r w:rsidRPr="00DD0828">
        <w:rPr>
          <w:rFonts w:ascii="Times New Roman" w:hAnsi="Times New Roman" w:cs="Times New Roman" w:hint="eastAsia"/>
          <w:color w:val="000000" w:themeColor="text1"/>
          <w:szCs w:val="21"/>
          <w:lang w:val="en-US"/>
        </w:rPr>
        <w:t>2b</w:t>
      </w:r>
      <w:r w:rsidRPr="00DD0828">
        <w:rPr>
          <w:rFonts w:ascii="Times New Roman" w:hAnsi="Times New Roman" w:cs="Times New Roman"/>
          <w:color w:val="000000" w:themeColor="text1"/>
          <w:szCs w:val="21"/>
          <w:lang w:val="en-US"/>
        </w:rPr>
        <w:t>).</w:t>
      </w:r>
    </w:p>
    <w:p w14:paraId="6BF9CC15" w14:textId="77777777" w:rsidR="00DF78DC" w:rsidRPr="00DD0828" w:rsidRDefault="00DF78DC" w:rsidP="003A3B4A">
      <w:pPr>
        <w:keepNext/>
        <w:keepLines/>
        <w:spacing w:line="360" w:lineRule="auto"/>
        <w:outlineLvl w:val="0"/>
        <w:rPr>
          <w:rFonts w:ascii="Times New Roman" w:hAnsi="Times New Roman" w:cs="Times New Roman"/>
          <w:b/>
          <w:bCs/>
          <w:color w:val="000000" w:themeColor="text1"/>
          <w:kern w:val="44"/>
          <w:szCs w:val="21"/>
        </w:rPr>
      </w:pPr>
      <w:r w:rsidRPr="00DD0828">
        <w:rPr>
          <w:rFonts w:ascii="Times New Roman" w:eastAsia="Times New Roman" w:hAnsi="Times New Roman" w:cs="Times New Roman"/>
          <w:b/>
          <w:bCs/>
          <w:color w:val="000000" w:themeColor="text1"/>
          <w:kern w:val="44"/>
          <w:szCs w:val="21"/>
        </w:rPr>
        <w:t>Radiomics Features Extraction</w:t>
      </w:r>
    </w:p>
    <w:p w14:paraId="50C4981F" w14:textId="3862A6BE" w:rsidR="00F523F1" w:rsidRPr="00DD0828" w:rsidRDefault="00F523F1" w:rsidP="003A3B4A">
      <w:pPr>
        <w:spacing w:line="360" w:lineRule="auto"/>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All radiomic features were extracted from multiregional ROIs using the PyRadiomics package (version 3.0) in Python (version 3.6) [1</w:t>
      </w:r>
      <w:r w:rsidR="003514E1" w:rsidRPr="00DD0828">
        <w:rPr>
          <w:rFonts w:ascii="Times New Roman" w:hAnsi="Times New Roman" w:cs="Times New Roman" w:hint="eastAsia"/>
          <w:color w:val="000000" w:themeColor="text1"/>
          <w:szCs w:val="21"/>
          <w:lang w:val="en-US"/>
        </w:rPr>
        <w:t>0</w:t>
      </w:r>
      <w:r w:rsidRPr="00DD0828">
        <w:rPr>
          <w:rFonts w:ascii="Times New Roman" w:hAnsi="Times New Roman" w:cs="Times New Roman"/>
          <w:color w:val="000000" w:themeColor="text1"/>
          <w:szCs w:val="21"/>
          <w:lang w:val="en-US"/>
        </w:rPr>
        <w:t>].</w:t>
      </w:r>
    </w:p>
    <w:p w14:paraId="277C81E3" w14:textId="1C9865FE" w:rsidR="00F523F1" w:rsidRPr="00DD0828" w:rsidRDefault="00F523F1" w:rsidP="003A3B4A">
      <w:pPr>
        <w:spacing w:line="360" w:lineRule="auto"/>
        <w:rPr>
          <w:rFonts w:ascii="Times New Roman" w:hAnsi="Times New Roman" w:cs="Times New Roman"/>
          <w:b/>
          <w:bCs/>
          <w:color w:val="000000" w:themeColor="text1"/>
          <w:szCs w:val="21"/>
          <w:lang w:val="en-US"/>
        </w:rPr>
      </w:pPr>
      <w:r w:rsidRPr="00DD0828">
        <w:rPr>
          <w:rFonts w:ascii="Times New Roman" w:hAnsi="Times New Roman" w:cs="Times New Roman"/>
          <w:b/>
          <w:bCs/>
          <w:color w:val="000000" w:themeColor="text1"/>
          <w:szCs w:val="21"/>
          <w:lang w:val="en-US"/>
        </w:rPr>
        <w:t>(1) Traditional radiomic features</w:t>
      </w:r>
    </w:p>
    <w:p w14:paraId="7EE96F1B" w14:textId="4CFDBCA8" w:rsidR="00F523F1" w:rsidRPr="00DD0828" w:rsidRDefault="00F523F1" w:rsidP="003A3B4A">
      <w:pPr>
        <w:spacing w:line="360" w:lineRule="auto"/>
        <w:rPr>
          <w:rFonts w:ascii="Times New Roman" w:hAnsi="Times New Roman" w:cs="Times New Roman"/>
          <w:color w:val="000000" w:themeColor="text1"/>
          <w:szCs w:val="21"/>
          <w:lang w:val="en-US"/>
        </w:rPr>
      </w:pPr>
      <w:r w:rsidRPr="00DD0828">
        <w:rPr>
          <w:rFonts w:ascii="Times New Roman" w:hAnsi="Times New Roman" w:cs="Times New Roman" w:hint="eastAsia"/>
          <w:color w:val="000000" w:themeColor="text1"/>
          <w:szCs w:val="21"/>
          <w:lang w:val="en-US"/>
        </w:rPr>
        <w:t>A total of 851 radiomic features were extracted for each region according to the Image Biomarker Standardisation Initiative [1</w:t>
      </w:r>
      <w:r w:rsidR="004054F2">
        <w:rPr>
          <w:rFonts w:ascii="Times New Roman" w:hAnsi="Times New Roman" w:cs="Times New Roman" w:hint="eastAsia"/>
          <w:color w:val="000000" w:themeColor="text1"/>
          <w:szCs w:val="21"/>
          <w:lang w:val="en-US"/>
        </w:rPr>
        <w:t>0</w:t>
      </w:r>
      <w:r w:rsidRPr="00DD0828">
        <w:rPr>
          <w:rFonts w:ascii="Times New Roman" w:hAnsi="Times New Roman" w:cs="Times New Roman" w:hint="eastAsia"/>
          <w:color w:val="000000" w:themeColor="text1"/>
          <w:szCs w:val="21"/>
          <w:lang w:val="en-US"/>
        </w:rPr>
        <w:t>]. These comprised 14 shape features derived from the original images and corresponding segmentation masks, as well as first-order and texture features (GLCM, GLRLM, GLSZM, NGTDM, and GLDM) extracted from the original image and eight wavelet-filtered images. Wavelet decomposition was performed using a one-level three-dimensional discrete transform with the Coiflet 1 mother wavelet, generating eight sub-band images (LLL, LLH, LHL, LHH, HLL, HLH, HHL, and HHH). Detailed feature composition is provided in Tables E2</w:t>
      </w:r>
      <w:r w:rsidR="00D92FC3" w:rsidRPr="00DD0828">
        <w:rPr>
          <w:rFonts w:ascii="Times New Roman" w:hAnsi="Times New Roman" w:cs="Times New Roman" w:hint="eastAsia"/>
          <w:color w:val="000000" w:themeColor="text1"/>
          <w:szCs w:val="21"/>
          <w:lang w:val="en-US"/>
        </w:rPr>
        <w:t>-</w:t>
      </w:r>
      <w:r w:rsidRPr="00DD0828">
        <w:rPr>
          <w:rFonts w:ascii="Times New Roman" w:hAnsi="Times New Roman" w:cs="Times New Roman" w:hint="eastAsia"/>
          <w:color w:val="000000" w:themeColor="text1"/>
          <w:szCs w:val="21"/>
          <w:lang w:val="en-US"/>
        </w:rPr>
        <w:t>E</w:t>
      </w:r>
      <w:r w:rsidR="00D92FC3" w:rsidRPr="00DD0828">
        <w:rPr>
          <w:rFonts w:ascii="Times New Roman" w:hAnsi="Times New Roman" w:cs="Times New Roman" w:hint="eastAsia"/>
          <w:color w:val="000000" w:themeColor="text1"/>
          <w:szCs w:val="21"/>
          <w:lang w:val="en-US"/>
        </w:rPr>
        <w:t>4</w:t>
      </w:r>
      <w:r w:rsidRPr="00DD0828">
        <w:rPr>
          <w:rFonts w:ascii="Times New Roman" w:hAnsi="Times New Roman" w:cs="Times New Roman" w:hint="eastAsia"/>
          <w:color w:val="000000" w:themeColor="text1"/>
          <w:szCs w:val="21"/>
          <w:lang w:val="en-US"/>
        </w:rPr>
        <w:t>.</w:t>
      </w:r>
    </w:p>
    <w:p w14:paraId="412A3228" w14:textId="6710CBF6" w:rsidR="00F523F1" w:rsidRDefault="00BC1E6D" w:rsidP="003A3B4A">
      <w:pPr>
        <w:spacing w:line="360" w:lineRule="auto"/>
        <w:rPr>
          <w:rFonts w:ascii="Times New Roman" w:hAnsi="Times New Roman" w:cs="Times New Roman"/>
          <w:color w:val="000000" w:themeColor="text1"/>
          <w:szCs w:val="21"/>
        </w:rPr>
      </w:pPr>
      <w:r w:rsidRPr="00DD0828">
        <w:rPr>
          <w:rFonts w:ascii="Times New Roman" w:hAnsi="Times New Roman" w:cs="Times New Roman" w:hint="eastAsia"/>
          <w:color w:val="000000" w:themeColor="text1"/>
          <w:szCs w:val="21"/>
          <w:lang w:val="en-US"/>
        </w:rPr>
        <w:t>These t</w:t>
      </w:r>
      <w:r w:rsidR="00F523F1" w:rsidRPr="00DD0828">
        <w:rPr>
          <w:rFonts w:ascii="Times New Roman" w:hAnsi="Times New Roman" w:cs="Times New Roman" w:hint="eastAsia"/>
          <w:color w:val="000000" w:themeColor="text1"/>
          <w:szCs w:val="21"/>
          <w:lang w:val="en-US"/>
        </w:rPr>
        <w:t xml:space="preserve">raditional radiomic features were extracted from seven regions: three whole-tumor regions (pre-, early-, and late-contrast), the peritumoral region, and three intratumoral subregions (poor-, moderate-, and high-perfusion). The </w:t>
      </w:r>
      <w:r w:rsidR="005120D8" w:rsidRPr="00DD0828">
        <w:rPr>
          <w:rFonts w:ascii="Times New Roman" w:hAnsi="Times New Roman" w:cs="Times New Roman"/>
          <w:color w:val="000000" w:themeColor="text1"/>
          <w:szCs w:val="21"/>
          <w:lang w:val="en-US"/>
        </w:rPr>
        <w:t>serial number</w:t>
      </w:r>
      <w:r w:rsidR="00F523F1" w:rsidRPr="00DD0828">
        <w:rPr>
          <w:rFonts w:ascii="Times New Roman" w:hAnsi="Times New Roman" w:cs="Times New Roman" w:hint="eastAsia"/>
          <w:color w:val="000000" w:themeColor="text1"/>
          <w:szCs w:val="21"/>
          <w:lang w:val="en-US"/>
        </w:rPr>
        <w:t xml:space="preserve"> of radiomic features is provided in Table E</w:t>
      </w:r>
      <w:r w:rsidR="00D92FC3" w:rsidRPr="00DD0828">
        <w:rPr>
          <w:rFonts w:ascii="Times New Roman" w:hAnsi="Times New Roman" w:cs="Times New Roman" w:hint="eastAsia"/>
          <w:color w:val="000000" w:themeColor="text1"/>
          <w:szCs w:val="21"/>
          <w:lang w:val="en-US"/>
        </w:rPr>
        <w:t>5</w:t>
      </w:r>
      <w:r w:rsidR="00F523F1" w:rsidRPr="00DD0828">
        <w:rPr>
          <w:rFonts w:ascii="Times New Roman" w:hAnsi="Times New Roman" w:cs="Times New Roman" w:hint="eastAsia"/>
          <w:color w:val="000000" w:themeColor="text1"/>
          <w:szCs w:val="21"/>
          <w:lang w:val="en-US"/>
        </w:rPr>
        <w:t>.</w:t>
      </w:r>
      <w:r w:rsidR="00D92FC3" w:rsidRPr="00DD0828">
        <w:rPr>
          <w:rFonts w:ascii="Times New Roman" w:hAnsi="Times New Roman" w:cs="Times New Roman" w:hint="eastAsia"/>
          <w:color w:val="000000" w:themeColor="text1"/>
          <w:szCs w:val="21"/>
          <w:lang w:val="en-US"/>
        </w:rPr>
        <w:t xml:space="preserve"> </w:t>
      </w:r>
      <w:r w:rsidR="00F523F1" w:rsidRPr="00DD0828">
        <w:rPr>
          <w:rFonts w:ascii="Times New Roman" w:hAnsi="Times New Roman" w:cs="Times New Roman"/>
          <w:color w:val="000000" w:themeColor="text1"/>
          <w:szCs w:val="21"/>
        </w:rPr>
        <w:t>This multiscale feature extraction strategy was designed to comprehensively capture both global and localized textural variations across different spatial directions, thereby improving the robustness and predictive power of the models.</w:t>
      </w:r>
    </w:p>
    <w:p w14:paraId="30F40F86" w14:textId="77777777" w:rsidR="005D0EDB" w:rsidRPr="00A92F73" w:rsidRDefault="005D0EDB" w:rsidP="005D0EDB">
      <w:pPr>
        <w:spacing w:line="360" w:lineRule="auto"/>
        <w:rPr>
          <w:rFonts w:ascii="Times New Roman" w:hAnsi="Times New Roman" w:cs="Times New Roman"/>
          <w:b/>
          <w:bCs/>
          <w:color w:val="EE0000"/>
          <w:szCs w:val="21"/>
          <w:lang w:val="en-US"/>
        </w:rPr>
      </w:pPr>
      <w:r w:rsidRPr="005D0EDB">
        <w:rPr>
          <w:rFonts w:ascii="Times New Roman" w:hAnsi="Times New Roman" w:cs="Times New Roman"/>
          <w:b/>
          <w:bCs/>
          <w:color w:val="000000" w:themeColor="text1"/>
          <w:szCs w:val="21"/>
          <w:lang w:val="en-US"/>
        </w:rPr>
        <w:t>(2)</w:t>
      </w:r>
      <w:r w:rsidRPr="00A92F73">
        <w:rPr>
          <w:rFonts w:ascii="Times New Roman" w:hAnsi="Times New Roman" w:cs="Times New Roman"/>
          <w:b/>
          <w:bCs/>
          <w:color w:val="EE0000"/>
          <w:szCs w:val="21"/>
          <w:lang w:val="en-US"/>
        </w:rPr>
        <w:t xml:space="preserve"> Kinetic features</w:t>
      </w:r>
    </w:p>
    <w:p w14:paraId="1E046185" w14:textId="77777777" w:rsidR="005D0EDB" w:rsidRPr="00A92F73" w:rsidRDefault="005D0EDB" w:rsidP="005D0EDB">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lastRenderedPageBreak/>
        <w:t>Kinetic features were calculated to characterize temporal enhancement patterns across three DCE-MRI phases: precontrast, early postcontrast, and late postcontrast. The workflow was adapted from our previously described kinetic radiomics strategy and comprised two steps [7]:</w:t>
      </w:r>
    </w:p>
    <w:p w14:paraId="291DFCFD" w14:textId="77777777" w:rsidR="005D0EDB" w:rsidRPr="00A92F73" w:rsidRDefault="005D0EDB" w:rsidP="005D0EDB">
      <w:pPr>
        <w:numPr>
          <w:ilvl w:val="0"/>
          <w:numId w:val="19"/>
        </w:num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 xml:space="preserve">Extraction of conventional radiomic features from the whole-tumor volume of interest in each DCE phase. </w:t>
      </w:r>
    </w:p>
    <w:p w14:paraId="7E7F4F4C" w14:textId="77777777" w:rsidR="005D0EDB" w:rsidRPr="00A92F73" w:rsidRDefault="005D0EDB" w:rsidP="005D0EDB">
      <w:pPr>
        <w:numPr>
          <w:ilvl w:val="0"/>
          <w:numId w:val="19"/>
        </w:num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 xml:space="preserve">Calculation of the mean and variance across the three phases for each radiomic feature. </w:t>
      </w:r>
    </w:p>
    <w:p w14:paraId="73A55721" w14:textId="0F509758" w:rsidR="00413D48" w:rsidRPr="00A92F73" w:rsidRDefault="005D0EDB"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 xml:space="preserve">Shape features were excluded from the kinetic analysis because they were derived from an identical tumor segmentation across phases and therefore did not represent phase-dependent enhancement information. Consequently, 837 non-shape first-order and texture features were included. </w:t>
      </w:r>
      <w:r w:rsidR="002D62A9" w:rsidRPr="002D62A9">
        <w:rPr>
          <w:rFonts w:ascii="Times New Roman" w:hAnsi="Times New Roman" w:cs="Times New Roman"/>
          <w:color w:val="EE0000"/>
          <w:szCs w:val="21"/>
        </w:rPr>
        <w:t xml:space="preserve">For a given radiomic feature with phase-specific values </w:t>
      </w:r>
      <m:oMath>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1</m:t>
            </m:r>
          </m:sub>
        </m:sSub>
        <m:r>
          <w:rPr>
            <w:rFonts w:ascii="Cambria Math" w:hAnsi="Cambria Math" w:cs="Times New Roman"/>
            <w:color w:val="EE0000"/>
            <w:szCs w:val="21"/>
            <w:lang w:val="en-US"/>
          </w:rPr>
          <m:t>,</m:t>
        </m:r>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2</m:t>
            </m:r>
          </m:sub>
        </m:sSub>
        <m:r>
          <w:rPr>
            <w:rFonts w:ascii="Cambria Math" w:hAnsi="Cambria Math" w:cs="Times New Roman"/>
            <w:color w:val="EE0000"/>
            <w:szCs w:val="21"/>
            <w:lang w:val="en-US"/>
          </w:rPr>
          <m:t>,</m:t>
        </m:r>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3</m:t>
            </m:r>
          </m:sub>
        </m:sSub>
      </m:oMath>
      <w:r w:rsidR="002D62A9">
        <w:rPr>
          <w:rFonts w:ascii="Times New Roman" w:hAnsi="Times New Roman" w:cs="Times New Roman" w:hint="eastAsia"/>
          <w:color w:val="EE0000"/>
          <w:szCs w:val="21"/>
          <w:lang w:val="en-US"/>
        </w:rPr>
        <w:t>,</w:t>
      </w:r>
      <w:r w:rsidR="002D62A9" w:rsidRPr="002D62A9">
        <w:rPr>
          <w:rFonts w:ascii="Times New Roman" w:hAnsi="Times New Roman" w:cs="Times New Roman"/>
          <w:color w:val="EE0000"/>
          <w:szCs w:val="21"/>
        </w:rPr>
        <w:t xml:space="preserve"> the following temporal summary measures were calculated:</w:t>
      </w:r>
    </w:p>
    <w:tbl>
      <w:tblPr>
        <w:tblW w:w="8244" w:type="dxa"/>
        <w:tblCellMar>
          <w:top w:w="15" w:type="dxa"/>
          <w:left w:w="15" w:type="dxa"/>
          <w:bottom w:w="15" w:type="dxa"/>
          <w:right w:w="15" w:type="dxa"/>
        </w:tblCellMar>
        <w:tblLook w:val="04A0" w:firstRow="1" w:lastRow="0" w:firstColumn="1" w:lastColumn="0" w:noHBand="0" w:noVBand="1"/>
      </w:tblPr>
      <w:tblGrid>
        <w:gridCol w:w="1132"/>
        <w:gridCol w:w="3588"/>
        <w:gridCol w:w="3524"/>
      </w:tblGrid>
      <w:tr w:rsidR="00413D48" w:rsidRPr="00A92F73" w14:paraId="19D56014" w14:textId="77777777" w:rsidTr="00273AE1">
        <w:trPr>
          <w:trHeight w:val="20"/>
          <w:tblHeader/>
        </w:trPr>
        <w:tc>
          <w:tcPr>
            <w:tcW w:w="0" w:type="auto"/>
            <w:tcBorders>
              <w:top w:val="nil"/>
            </w:tcBorders>
            <w:tcMar>
              <w:top w:w="150" w:type="dxa"/>
              <w:left w:w="0" w:type="dxa"/>
              <w:bottom w:w="150" w:type="dxa"/>
              <w:right w:w="240" w:type="dxa"/>
            </w:tcMar>
            <w:vAlign w:val="center"/>
            <w:hideMark/>
          </w:tcPr>
          <w:p w14:paraId="290C9356" w14:textId="77777777"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Statistic</w:t>
            </w:r>
          </w:p>
        </w:tc>
        <w:tc>
          <w:tcPr>
            <w:tcW w:w="0" w:type="auto"/>
            <w:tcBorders>
              <w:top w:val="nil"/>
            </w:tcBorders>
            <w:tcMar>
              <w:top w:w="150" w:type="dxa"/>
              <w:left w:w="240" w:type="dxa"/>
              <w:bottom w:w="150" w:type="dxa"/>
              <w:right w:w="240" w:type="dxa"/>
            </w:tcMar>
            <w:vAlign w:val="center"/>
            <w:hideMark/>
          </w:tcPr>
          <w:p w14:paraId="627D17F1" w14:textId="4636A1D1"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Formula (for values</w:t>
            </w:r>
            <w:r w:rsidR="00273AE1" w:rsidRPr="00A92F73">
              <w:rPr>
                <w:rFonts w:ascii="Times New Roman" w:hAnsi="Times New Roman" w:cs="Times New Roman" w:hint="eastAsia"/>
                <w:color w:val="EE0000"/>
                <w:szCs w:val="21"/>
                <w:lang w:val="en-US"/>
              </w:rPr>
              <w:t xml:space="preserve"> </w:t>
            </w:r>
            <m:oMath>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1</m:t>
                  </m:r>
                </m:sub>
              </m:sSub>
              <m:r>
                <w:rPr>
                  <w:rFonts w:ascii="Cambria Math" w:hAnsi="Cambria Math" w:cs="Times New Roman"/>
                  <w:color w:val="EE0000"/>
                  <w:szCs w:val="21"/>
                  <w:lang w:val="en-US"/>
                </w:rPr>
                <m:t>,</m:t>
              </m:r>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2</m:t>
                  </m:r>
                </m:sub>
              </m:sSub>
              <m:r>
                <w:rPr>
                  <w:rFonts w:ascii="Cambria Math" w:hAnsi="Cambria Math" w:cs="Times New Roman"/>
                  <w:color w:val="EE0000"/>
                  <w:szCs w:val="21"/>
                  <w:lang w:val="en-US"/>
                </w:rPr>
                <m:t>,</m:t>
              </m:r>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3</m:t>
                  </m:r>
                </m:sub>
              </m:sSub>
            </m:oMath>
            <w:r w:rsidRPr="00A92F73">
              <w:rPr>
                <w:rFonts w:ascii="Times New Roman" w:hAnsi="Times New Roman" w:cs="Times New Roman"/>
                <w:color w:val="EE0000"/>
                <w:szCs w:val="21"/>
                <w:lang w:val="en-US"/>
              </w:rPr>
              <w:t>)</w:t>
            </w:r>
          </w:p>
        </w:tc>
        <w:tc>
          <w:tcPr>
            <w:tcW w:w="0" w:type="auto"/>
            <w:tcBorders>
              <w:top w:val="nil"/>
            </w:tcBorders>
            <w:tcMar>
              <w:top w:w="150" w:type="dxa"/>
              <w:left w:w="240" w:type="dxa"/>
              <w:bottom w:w="150" w:type="dxa"/>
              <w:right w:w="240" w:type="dxa"/>
            </w:tcMar>
            <w:vAlign w:val="center"/>
            <w:hideMark/>
          </w:tcPr>
          <w:p w14:paraId="740C6040" w14:textId="77777777"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Interpretation</w:t>
            </w:r>
          </w:p>
        </w:tc>
      </w:tr>
      <w:tr w:rsidR="00413D48" w:rsidRPr="00A92F73" w14:paraId="1270557B" w14:textId="77777777" w:rsidTr="007B69BE">
        <w:trPr>
          <w:trHeight w:val="522"/>
        </w:trPr>
        <w:tc>
          <w:tcPr>
            <w:tcW w:w="0" w:type="auto"/>
            <w:tcMar>
              <w:top w:w="150" w:type="dxa"/>
              <w:left w:w="0" w:type="dxa"/>
              <w:bottom w:w="150" w:type="dxa"/>
              <w:right w:w="240" w:type="dxa"/>
            </w:tcMar>
            <w:vAlign w:val="center"/>
            <w:hideMark/>
          </w:tcPr>
          <w:p w14:paraId="29D3973D" w14:textId="77777777"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Mean</w:t>
            </w:r>
          </w:p>
        </w:tc>
        <w:tc>
          <w:tcPr>
            <w:tcW w:w="0" w:type="auto"/>
            <w:tcMar>
              <w:top w:w="150" w:type="dxa"/>
              <w:left w:w="240" w:type="dxa"/>
              <w:bottom w:w="150" w:type="dxa"/>
              <w:right w:w="240" w:type="dxa"/>
            </w:tcMar>
            <w:vAlign w:val="center"/>
            <w:hideMark/>
          </w:tcPr>
          <w:p w14:paraId="355DCCF0" w14:textId="77777777" w:rsidR="00413D48" w:rsidRPr="00A92F73" w:rsidRDefault="00000000" w:rsidP="003A3B4A">
            <w:pPr>
              <w:spacing w:line="360" w:lineRule="auto"/>
              <w:rPr>
                <w:rFonts w:ascii="Times New Roman" w:hAnsi="Times New Roman" w:cs="Times New Roman"/>
                <w:color w:val="EE0000"/>
                <w:szCs w:val="21"/>
                <w:lang w:val="en-US"/>
              </w:rPr>
            </w:pPr>
            <m:oMathPara>
              <m:oMath>
                <m:acc>
                  <m:accPr>
                    <m:chr m:val="ˉ"/>
                    <m:ctrlPr>
                      <w:rPr>
                        <w:rFonts w:ascii="Cambria Math" w:hAnsi="Cambria Math" w:cs="Times New Roman"/>
                        <w:color w:val="EE0000"/>
                        <w:szCs w:val="21"/>
                        <w:lang w:val="en-US"/>
                      </w:rPr>
                    </m:ctrlPr>
                  </m:accPr>
                  <m:e>
                    <m:r>
                      <w:rPr>
                        <w:rFonts w:ascii="Cambria Math" w:hAnsi="Cambria Math" w:cs="Times New Roman"/>
                        <w:color w:val="EE0000"/>
                        <w:szCs w:val="21"/>
                        <w:lang w:val="en-US"/>
                      </w:rPr>
                      <m:t>x</m:t>
                    </m:r>
                  </m:e>
                </m:acc>
                <m:r>
                  <w:rPr>
                    <w:rFonts w:ascii="Cambria Math" w:hAnsi="Cambria Math" w:cs="Times New Roman"/>
                    <w:color w:val="EE0000"/>
                    <w:szCs w:val="21"/>
                    <w:lang w:val="en-US"/>
                  </w:rPr>
                  <m:t>=</m:t>
                </m:r>
                <m:f>
                  <m:fPr>
                    <m:ctrlPr>
                      <w:rPr>
                        <w:rFonts w:ascii="Cambria Math" w:hAnsi="Cambria Math" w:cs="Times New Roman"/>
                        <w:color w:val="EE0000"/>
                        <w:szCs w:val="21"/>
                        <w:lang w:val="en-US"/>
                      </w:rPr>
                    </m:ctrlPr>
                  </m:fPr>
                  <m:num>
                    <m:r>
                      <w:rPr>
                        <w:rFonts w:ascii="Cambria Math" w:hAnsi="Cambria Math" w:cs="Times New Roman"/>
                        <w:color w:val="EE0000"/>
                        <w:szCs w:val="21"/>
                        <w:lang w:val="en-US"/>
                      </w:rPr>
                      <m:t>1</m:t>
                    </m:r>
                  </m:num>
                  <m:den>
                    <m:r>
                      <w:rPr>
                        <w:rFonts w:ascii="Cambria Math" w:hAnsi="Cambria Math" w:cs="Times New Roman"/>
                        <w:color w:val="EE0000"/>
                        <w:szCs w:val="21"/>
                        <w:lang w:val="en-US"/>
                      </w:rPr>
                      <m:t>3</m:t>
                    </m:r>
                  </m:den>
                </m:f>
                <m:r>
                  <w:rPr>
                    <w:rFonts w:ascii="Cambria Math" w:hAnsi="Cambria Math" w:cs="Times New Roman"/>
                    <w:color w:val="EE0000"/>
                    <w:szCs w:val="21"/>
                    <w:lang w:val="en-US"/>
                  </w:rPr>
                  <m:t>∑</m:t>
                </m:r>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i</m:t>
                    </m:r>
                  </m:sub>
                </m:sSub>
              </m:oMath>
            </m:oMathPara>
          </w:p>
        </w:tc>
        <w:tc>
          <w:tcPr>
            <w:tcW w:w="0" w:type="auto"/>
            <w:tcMar>
              <w:top w:w="150" w:type="dxa"/>
              <w:left w:w="240" w:type="dxa"/>
              <w:bottom w:w="150" w:type="dxa"/>
              <w:right w:w="0" w:type="dxa"/>
            </w:tcMar>
            <w:vAlign w:val="center"/>
            <w:hideMark/>
          </w:tcPr>
          <w:p w14:paraId="6A8BDB7E" w14:textId="77777777"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Average enhancement magnitude</w:t>
            </w:r>
          </w:p>
        </w:tc>
      </w:tr>
      <w:tr w:rsidR="00413D48" w:rsidRPr="00A92F73" w14:paraId="7746201E" w14:textId="77777777" w:rsidTr="00273AE1">
        <w:trPr>
          <w:trHeight w:val="20"/>
        </w:trPr>
        <w:tc>
          <w:tcPr>
            <w:tcW w:w="0" w:type="auto"/>
            <w:tcMar>
              <w:top w:w="150" w:type="dxa"/>
              <w:left w:w="0" w:type="dxa"/>
              <w:bottom w:w="150" w:type="dxa"/>
              <w:right w:w="240" w:type="dxa"/>
            </w:tcMar>
            <w:vAlign w:val="center"/>
            <w:hideMark/>
          </w:tcPr>
          <w:p w14:paraId="7A8C07F4" w14:textId="77777777"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Variance</w:t>
            </w:r>
          </w:p>
        </w:tc>
        <w:tc>
          <w:tcPr>
            <w:tcW w:w="0" w:type="auto"/>
            <w:tcMar>
              <w:top w:w="150" w:type="dxa"/>
              <w:left w:w="240" w:type="dxa"/>
              <w:bottom w:w="150" w:type="dxa"/>
              <w:right w:w="240" w:type="dxa"/>
            </w:tcMar>
            <w:vAlign w:val="center"/>
            <w:hideMark/>
          </w:tcPr>
          <w:p w14:paraId="691A054A" w14:textId="77777777" w:rsidR="00413D48" w:rsidRPr="00A92F73" w:rsidRDefault="00000000" w:rsidP="003A3B4A">
            <w:pPr>
              <w:spacing w:line="360" w:lineRule="auto"/>
              <w:rPr>
                <w:rFonts w:ascii="Times New Roman" w:hAnsi="Times New Roman" w:cs="Times New Roman"/>
                <w:color w:val="EE0000"/>
                <w:szCs w:val="21"/>
                <w:lang w:val="en-US"/>
              </w:rPr>
            </w:pPr>
            <m:oMathPara>
              <m:oMath>
                <m:f>
                  <m:fPr>
                    <m:ctrlPr>
                      <w:rPr>
                        <w:rFonts w:ascii="Cambria Math" w:hAnsi="Cambria Math" w:cs="Times New Roman"/>
                        <w:color w:val="EE0000"/>
                        <w:szCs w:val="21"/>
                        <w:lang w:val="en-US"/>
                      </w:rPr>
                    </m:ctrlPr>
                  </m:fPr>
                  <m:num>
                    <m:r>
                      <w:rPr>
                        <w:rFonts w:ascii="Cambria Math" w:hAnsi="Cambria Math" w:cs="Times New Roman"/>
                        <w:color w:val="EE0000"/>
                        <w:szCs w:val="21"/>
                        <w:lang w:val="en-US"/>
                      </w:rPr>
                      <m:t>1</m:t>
                    </m:r>
                  </m:num>
                  <m:den>
                    <m:r>
                      <w:rPr>
                        <w:rFonts w:ascii="Cambria Math" w:hAnsi="Cambria Math" w:cs="Times New Roman"/>
                        <w:color w:val="EE0000"/>
                        <w:szCs w:val="21"/>
                        <w:lang w:val="en-US"/>
                      </w:rPr>
                      <m:t>3</m:t>
                    </m:r>
                  </m:den>
                </m:f>
                <m:r>
                  <w:rPr>
                    <w:rFonts w:ascii="Cambria Math" w:hAnsi="Cambria Math" w:cs="Times New Roman"/>
                    <w:color w:val="EE0000"/>
                    <w:szCs w:val="21"/>
                    <w:lang w:val="en-US"/>
                  </w:rPr>
                  <m:t>∑(</m:t>
                </m:r>
                <m:sSub>
                  <m:sSubPr>
                    <m:ctrlPr>
                      <w:rPr>
                        <w:rFonts w:ascii="Cambria Math" w:hAnsi="Cambria Math" w:cs="Times New Roman"/>
                        <w:color w:val="EE0000"/>
                        <w:szCs w:val="21"/>
                        <w:lang w:val="en-US"/>
                      </w:rPr>
                    </m:ctrlPr>
                  </m:sSubPr>
                  <m:e>
                    <m:r>
                      <w:rPr>
                        <w:rFonts w:ascii="Cambria Math" w:hAnsi="Cambria Math" w:cs="Times New Roman"/>
                        <w:color w:val="EE0000"/>
                        <w:szCs w:val="21"/>
                        <w:lang w:val="en-US"/>
                      </w:rPr>
                      <m:t>x</m:t>
                    </m:r>
                  </m:e>
                  <m:sub>
                    <m:r>
                      <w:rPr>
                        <w:rFonts w:ascii="Cambria Math" w:hAnsi="Cambria Math" w:cs="Times New Roman"/>
                        <w:color w:val="EE0000"/>
                        <w:szCs w:val="21"/>
                        <w:lang w:val="en-US"/>
                      </w:rPr>
                      <m:t>i</m:t>
                    </m:r>
                  </m:sub>
                </m:sSub>
                <m:r>
                  <w:rPr>
                    <w:rFonts w:ascii="Cambria Math" w:hAnsi="Cambria Math" w:cs="Times New Roman"/>
                    <w:color w:val="EE0000"/>
                    <w:szCs w:val="21"/>
                    <w:lang w:val="en-US"/>
                  </w:rPr>
                  <m:t>-</m:t>
                </m:r>
                <m:acc>
                  <m:accPr>
                    <m:chr m:val="ˉ"/>
                    <m:ctrlPr>
                      <w:rPr>
                        <w:rFonts w:ascii="Cambria Math" w:hAnsi="Cambria Math" w:cs="Times New Roman"/>
                        <w:color w:val="EE0000"/>
                        <w:szCs w:val="21"/>
                        <w:lang w:val="en-US"/>
                      </w:rPr>
                    </m:ctrlPr>
                  </m:accPr>
                  <m:e>
                    <m:r>
                      <w:rPr>
                        <w:rFonts w:ascii="Cambria Math" w:hAnsi="Cambria Math" w:cs="Times New Roman"/>
                        <w:color w:val="EE0000"/>
                        <w:szCs w:val="21"/>
                        <w:lang w:val="en-US"/>
                      </w:rPr>
                      <m:t>x</m:t>
                    </m:r>
                  </m:e>
                </m:acc>
                <m:sSup>
                  <m:sSupPr>
                    <m:ctrlPr>
                      <w:rPr>
                        <w:rFonts w:ascii="Cambria Math" w:hAnsi="Cambria Math" w:cs="Times New Roman"/>
                        <w:color w:val="EE0000"/>
                        <w:szCs w:val="21"/>
                        <w:lang w:val="en-US"/>
                      </w:rPr>
                    </m:ctrlPr>
                  </m:sSupPr>
                  <m:e>
                    <m:r>
                      <w:rPr>
                        <w:rFonts w:ascii="Cambria Math" w:hAnsi="Cambria Math" w:cs="Times New Roman"/>
                        <w:color w:val="EE0000"/>
                        <w:szCs w:val="21"/>
                        <w:lang w:val="en-US"/>
                      </w:rPr>
                      <m:t>)</m:t>
                    </m:r>
                  </m:e>
                  <m:sup>
                    <m:r>
                      <w:rPr>
                        <w:rFonts w:ascii="Cambria Math" w:hAnsi="Cambria Math" w:cs="Times New Roman"/>
                        <w:color w:val="EE0000"/>
                        <w:szCs w:val="21"/>
                        <w:lang w:val="en-US"/>
                      </w:rPr>
                      <m:t>2</m:t>
                    </m:r>
                  </m:sup>
                </m:sSup>
              </m:oMath>
            </m:oMathPara>
          </w:p>
        </w:tc>
        <w:tc>
          <w:tcPr>
            <w:tcW w:w="0" w:type="auto"/>
            <w:tcMar>
              <w:top w:w="150" w:type="dxa"/>
              <w:left w:w="240" w:type="dxa"/>
              <w:bottom w:w="150" w:type="dxa"/>
              <w:right w:w="0" w:type="dxa"/>
            </w:tcMar>
            <w:vAlign w:val="center"/>
            <w:hideMark/>
          </w:tcPr>
          <w:p w14:paraId="2649C638" w14:textId="77777777" w:rsidR="00413D48" w:rsidRPr="00A92F73" w:rsidRDefault="00413D48" w:rsidP="003A3B4A">
            <w:pPr>
              <w:spacing w:line="360" w:lineRule="auto"/>
              <w:rPr>
                <w:rFonts w:ascii="Times New Roman" w:hAnsi="Times New Roman" w:cs="Times New Roman"/>
                <w:color w:val="EE0000"/>
                <w:szCs w:val="21"/>
                <w:lang w:val="en-US"/>
              </w:rPr>
            </w:pPr>
            <w:r w:rsidRPr="00A92F73">
              <w:rPr>
                <w:rFonts w:ascii="Times New Roman" w:hAnsi="Times New Roman" w:cs="Times New Roman"/>
                <w:color w:val="EE0000"/>
                <w:szCs w:val="21"/>
                <w:lang w:val="en-US"/>
              </w:rPr>
              <w:t>Variability across phases</w:t>
            </w:r>
          </w:p>
        </w:tc>
      </w:tr>
    </w:tbl>
    <w:p w14:paraId="51A5DFFE" w14:textId="77777777" w:rsidR="005D0EDB" w:rsidRDefault="005D0EDB" w:rsidP="003A3B4A">
      <w:pPr>
        <w:spacing w:line="360" w:lineRule="auto"/>
        <w:rPr>
          <w:rFonts w:ascii="Times New Roman" w:hAnsi="Times New Roman" w:cs="Times New Roman"/>
          <w:color w:val="000000" w:themeColor="text1"/>
          <w:szCs w:val="21"/>
          <w:lang w:val="en-US"/>
        </w:rPr>
      </w:pPr>
    </w:p>
    <w:p w14:paraId="52C8A96A" w14:textId="2CA50462" w:rsidR="00165EFB" w:rsidRPr="00DD0828" w:rsidRDefault="00BF0F64" w:rsidP="003A3B4A">
      <w:pPr>
        <w:spacing w:line="360" w:lineRule="auto"/>
        <w:rPr>
          <w:rFonts w:ascii="Times New Roman" w:hAnsi="Times New Roman" w:cs="Times New Roman"/>
          <w:color w:val="000000" w:themeColor="text1"/>
          <w:szCs w:val="21"/>
        </w:rPr>
      </w:pPr>
      <w:r w:rsidRPr="00DD0828">
        <w:rPr>
          <w:rFonts w:ascii="Times New Roman" w:hAnsi="Times New Roman" w:cs="Times New Roman"/>
          <w:b/>
          <w:bCs/>
          <w:color w:val="000000" w:themeColor="text1"/>
          <w:szCs w:val="21"/>
          <w:lang w:val="en-US"/>
        </w:rPr>
        <w:t>(</w:t>
      </w:r>
      <w:r w:rsidRPr="00DD0828">
        <w:rPr>
          <w:rFonts w:ascii="Times New Roman" w:hAnsi="Times New Roman" w:cs="Times New Roman" w:hint="eastAsia"/>
          <w:b/>
          <w:bCs/>
          <w:color w:val="000000" w:themeColor="text1"/>
          <w:szCs w:val="21"/>
          <w:lang w:val="en-US"/>
        </w:rPr>
        <w:t>3</w:t>
      </w:r>
      <w:r w:rsidRPr="00DD0828">
        <w:rPr>
          <w:rFonts w:ascii="Times New Roman" w:hAnsi="Times New Roman" w:cs="Times New Roman"/>
          <w:b/>
          <w:bCs/>
          <w:color w:val="000000" w:themeColor="text1"/>
          <w:szCs w:val="21"/>
          <w:lang w:val="en-US"/>
        </w:rPr>
        <w:t xml:space="preserve">) </w:t>
      </w:r>
      <w:r w:rsidR="00165EFB" w:rsidRPr="00DD0828">
        <w:rPr>
          <w:rFonts w:ascii="Times New Roman" w:hAnsi="Times New Roman" w:cs="Times New Roman" w:hint="eastAsia"/>
          <w:b/>
          <w:bCs/>
          <w:color w:val="000000" w:themeColor="text1"/>
          <w:szCs w:val="21"/>
        </w:rPr>
        <w:t>Multiregional spatial interaction (MSI) features</w:t>
      </w:r>
    </w:p>
    <w:p w14:paraId="77182CCF" w14:textId="78B7A141" w:rsidR="00165EFB" w:rsidRPr="00DD0828" w:rsidRDefault="002D62A9" w:rsidP="003A3B4A">
      <w:pPr>
        <w:spacing w:line="360" w:lineRule="auto"/>
        <w:rPr>
          <w:rFonts w:ascii="Times New Roman" w:hAnsi="Times New Roman" w:cs="Times New Roman"/>
          <w:color w:val="000000" w:themeColor="text1"/>
          <w:szCs w:val="21"/>
        </w:rPr>
      </w:pPr>
      <w:r w:rsidRPr="002D62A9">
        <w:rPr>
          <w:rFonts w:ascii="Times New Roman" w:hAnsi="Times New Roman" w:cs="Times New Roman"/>
          <w:color w:val="000000" w:themeColor="text1"/>
          <w:szCs w:val="21"/>
        </w:rPr>
        <w:t>A multiregional spatial interaction (MSI) matrix was constructed to quantify spatial heterogeneity and interactions among the intratumoral subregions and the peritumoral region</w:t>
      </w:r>
      <w:r w:rsidR="00165EFB" w:rsidRPr="00DD0828">
        <w:rPr>
          <w:rFonts w:ascii="Times New Roman" w:hAnsi="Times New Roman" w:cs="Times New Roman" w:hint="eastAsia"/>
          <w:color w:val="000000" w:themeColor="text1"/>
          <w:szCs w:val="21"/>
        </w:rPr>
        <w:t>, following previously reported approaches</w:t>
      </w:r>
      <w:r w:rsidR="00D41241" w:rsidRPr="00DD0828">
        <w:rPr>
          <w:rFonts w:ascii="Times New Roman" w:hAnsi="Times New Roman" w:cs="Times New Roman" w:hint="eastAsia"/>
          <w:color w:val="000000" w:themeColor="text1"/>
          <w:szCs w:val="21"/>
        </w:rPr>
        <w:t xml:space="preserve"> (Figure E3)</w:t>
      </w:r>
      <w:r w:rsidR="00165EFB" w:rsidRPr="00DD0828">
        <w:rPr>
          <w:rFonts w:ascii="Times New Roman" w:hAnsi="Times New Roman" w:cs="Times New Roman" w:hint="eastAsia"/>
          <w:color w:val="000000" w:themeColor="text1"/>
          <w:szCs w:val="21"/>
        </w:rPr>
        <w:t xml:space="preserve"> [</w:t>
      </w:r>
      <w:r w:rsidR="004054F2">
        <w:rPr>
          <w:rFonts w:ascii="Times New Roman" w:hAnsi="Times New Roman" w:cs="Times New Roman" w:hint="eastAsia"/>
          <w:color w:val="000000" w:themeColor="text1"/>
          <w:szCs w:val="21"/>
        </w:rPr>
        <w:t>9</w:t>
      </w:r>
      <w:r w:rsidR="00165EFB" w:rsidRPr="00DD0828">
        <w:rPr>
          <w:rFonts w:ascii="Times New Roman" w:hAnsi="Times New Roman" w:cs="Times New Roman" w:hint="eastAsia"/>
          <w:color w:val="000000" w:themeColor="text1"/>
          <w:szCs w:val="21"/>
        </w:rPr>
        <w:t>]. Each tumor was partitioned into three intratumoral subregions (</w:t>
      </w:r>
      <w:r w:rsidR="00A71C80" w:rsidRPr="00DD0828">
        <w:rPr>
          <w:rFonts w:ascii="Times New Roman" w:hAnsi="Times New Roman" w:cs="Times New Roman" w:hint="eastAsia"/>
          <w:color w:val="000000" w:themeColor="text1"/>
          <w:szCs w:val="21"/>
        </w:rPr>
        <w:t>poor</w:t>
      </w:r>
      <w:r w:rsidR="00165EFB" w:rsidRPr="00DD0828">
        <w:rPr>
          <w:rFonts w:ascii="Times New Roman" w:hAnsi="Times New Roman" w:cs="Times New Roman" w:hint="eastAsia"/>
          <w:color w:val="000000" w:themeColor="text1"/>
          <w:szCs w:val="21"/>
        </w:rPr>
        <w:t xml:space="preserve">-, </w:t>
      </w:r>
      <w:r w:rsidR="00A71C80" w:rsidRPr="00DD0828">
        <w:rPr>
          <w:rFonts w:ascii="Times New Roman" w:hAnsi="Times New Roman" w:cs="Times New Roman" w:hint="eastAsia"/>
          <w:color w:val="000000" w:themeColor="text1"/>
          <w:szCs w:val="21"/>
        </w:rPr>
        <w:t>moderate</w:t>
      </w:r>
      <w:r w:rsidR="00165EFB" w:rsidRPr="00DD0828">
        <w:rPr>
          <w:rFonts w:ascii="Times New Roman" w:hAnsi="Times New Roman" w:cs="Times New Roman" w:hint="eastAsia"/>
          <w:color w:val="000000" w:themeColor="text1"/>
          <w:szCs w:val="21"/>
        </w:rPr>
        <w:t>-, and high-perfusion) together with the surrounding peritumoral region. To construct the MSI matrix, a 3D neighborhood was defined using 26-connectivity (i.e., each voxel was considered adjacent to its surrounding voxels in all directions). For each voxel, all adjacent voxels were identified, and each neighboring voxel pair was assigned to a region pair based on their labels. To avoid double counting, each unordered voxel pair was considered only once, and interactions between region pairs were accumulated into a symmetric 4</w:t>
      </w:r>
      <w:r w:rsidR="00165EFB" w:rsidRPr="00DD0828">
        <w:rPr>
          <w:rFonts w:ascii="Times New Roman" w:hAnsi="Times New Roman" w:cs="Times New Roman" w:hint="eastAsia"/>
          <w:color w:val="000000" w:themeColor="text1"/>
          <w:szCs w:val="21"/>
        </w:rPr>
        <w:t>×</w:t>
      </w:r>
      <w:r w:rsidR="00165EFB" w:rsidRPr="00DD0828">
        <w:rPr>
          <w:rFonts w:ascii="Times New Roman" w:hAnsi="Times New Roman" w:cs="Times New Roman" w:hint="eastAsia"/>
          <w:color w:val="000000" w:themeColor="text1"/>
          <w:szCs w:val="21"/>
        </w:rPr>
        <w:t xml:space="preserve">4 matrix. In this matrix, diagonal elements represent the connected size of each region, whereas off-diagonal elements represent the extent of spatial interfaces between different regions. The raw MSI matrix was further </w:t>
      </w:r>
      <w:r w:rsidR="00165EFB" w:rsidRPr="00DD0828">
        <w:rPr>
          <w:rFonts w:ascii="Times New Roman" w:hAnsi="Times New Roman" w:cs="Times New Roman" w:hint="eastAsia"/>
          <w:color w:val="000000" w:themeColor="text1"/>
          <w:szCs w:val="21"/>
        </w:rPr>
        <w:lastRenderedPageBreak/>
        <w:t>normalized by dividing each element by the total number of neighboring voxel pairs, yielding relative interaction measures.</w:t>
      </w:r>
    </w:p>
    <w:p w14:paraId="128C3BC6" w14:textId="55C87F12" w:rsidR="003514E1" w:rsidRPr="00DD0828" w:rsidRDefault="00165EFB" w:rsidP="003A3B4A">
      <w:pPr>
        <w:spacing w:line="360" w:lineRule="auto"/>
        <w:rPr>
          <w:rFonts w:ascii="Times New Roman" w:hAnsi="Times New Roman" w:cs="Times New Roman"/>
          <w:color w:val="000000" w:themeColor="text1"/>
          <w:szCs w:val="21"/>
        </w:rPr>
      </w:pPr>
      <w:r w:rsidRPr="00DD0828">
        <w:rPr>
          <w:rFonts w:ascii="Times New Roman" w:hAnsi="Times New Roman" w:cs="Times New Roman" w:hint="eastAsia"/>
          <w:color w:val="000000" w:themeColor="text1"/>
          <w:szCs w:val="21"/>
        </w:rPr>
        <w:t>Based on the MSI matrix, a total of 22 features were extracted. Absolute-count features were computed directly from the raw matrix, reflecting the size of individual regions and their interfaces. Normalized features were derived from the normalized matrix, representing the relative proportions of spatial interactions. In addition, second-order statistical descriptors (e.g., contrast, homogeneity, and energy) were calculated to summarize overall spatial heterogeneity patterns.</w:t>
      </w:r>
    </w:p>
    <w:p w14:paraId="790B6317" w14:textId="1AEB664E" w:rsidR="00DD0828" w:rsidRPr="00B83919" w:rsidRDefault="003514E1" w:rsidP="003A3B4A">
      <w:pPr>
        <w:spacing w:line="360" w:lineRule="auto"/>
        <w:rPr>
          <w:rFonts w:ascii="Times New Roman" w:hAnsi="Times New Roman" w:cs="Times New Roman"/>
          <w:b/>
          <w:bCs/>
          <w:color w:val="EE0000"/>
          <w:szCs w:val="21"/>
          <w:lang w:val="en-US"/>
        </w:rPr>
      </w:pPr>
      <w:r w:rsidRPr="00B83919">
        <w:rPr>
          <w:rFonts w:ascii="Times New Roman" w:hAnsi="Times New Roman" w:cs="Times New Roman"/>
          <w:b/>
          <w:bCs/>
          <w:color w:val="EE0000"/>
          <w:szCs w:val="21"/>
          <w:lang w:val="en-US"/>
        </w:rPr>
        <w:t>Intraclass correlation coefficient (ICC)</w:t>
      </w:r>
    </w:p>
    <w:p w14:paraId="03B8FBB3" w14:textId="77777777" w:rsidR="002266B8" w:rsidRPr="00B83919" w:rsidRDefault="002266B8" w:rsidP="002266B8">
      <w:pPr>
        <w:pStyle w:val="a5"/>
        <w:spacing w:line="360" w:lineRule="auto"/>
        <w:ind w:firstLineChars="0" w:firstLine="0"/>
        <w:rPr>
          <w:rFonts w:ascii="Times New Roman" w:hAnsi="Times New Roman" w:cs="Times New Roman"/>
          <w:color w:val="EE0000"/>
          <w:szCs w:val="21"/>
          <w:lang w:val="en-US"/>
        </w:rPr>
      </w:pPr>
      <w:r w:rsidRPr="00B83919">
        <w:rPr>
          <w:rFonts w:ascii="Times New Roman" w:hAnsi="Times New Roman" w:cs="Times New Roman"/>
          <w:color w:val="EE0000"/>
          <w:szCs w:val="21"/>
          <w:lang w:val="en-US"/>
        </w:rPr>
        <w:t>Interobserver reproducibility was assessed for each eligible radiomic feature after exclusion of the skewness- and kurtosis-derived kinetic features. The intraclass correlation coefficient (ICC) was calculated using a two-way random-effects model with absolute agreement for single measurements. For each repeated 70/30 split of Cohort 1, the patients assigned to the training subset were intersected with the prespecified 100-patient double-segmentation subset. ICCs were calculated exclusively from the paired feature measurements available within this training-set reproducibility sample. Patients assigned to the corresponding internal test subset were excluded from both the ICC calculation and the resulting feature-retention decision. Features with an ICC ≥0.75 were retained for subsequent analysis in that iteration.</w:t>
      </w:r>
    </w:p>
    <w:p w14:paraId="5D26253A" w14:textId="4EE68A42" w:rsidR="002266B8" w:rsidRPr="00B83919" w:rsidRDefault="002266B8" w:rsidP="002266B8">
      <w:pPr>
        <w:pStyle w:val="a5"/>
        <w:spacing w:line="360" w:lineRule="auto"/>
        <w:ind w:firstLineChars="0" w:firstLine="0"/>
        <w:rPr>
          <w:rFonts w:ascii="Times New Roman" w:hAnsi="Times New Roman" w:cs="Times New Roman"/>
          <w:color w:val="EE0000"/>
          <w:szCs w:val="21"/>
          <w:lang w:val="en-US"/>
        </w:rPr>
      </w:pPr>
      <w:r w:rsidRPr="00B83919">
        <w:rPr>
          <w:rFonts w:ascii="Times New Roman" w:hAnsi="Times New Roman" w:cs="Times New Roman"/>
          <w:color w:val="EE0000"/>
          <w:szCs w:val="21"/>
          <w:lang w:val="en-US"/>
        </w:rPr>
        <w:t>No additional segmentations were performed during repeated splitting. Instead, the previously obtained paired segmentations and their corresponding feature measurements were used according to the patient assignments in each iteration.</w:t>
      </w:r>
    </w:p>
    <w:p w14:paraId="5EF83A19" w14:textId="77777777" w:rsidR="003514E1" w:rsidRPr="00DD0828" w:rsidRDefault="003514E1" w:rsidP="002266B8">
      <w:pPr>
        <w:spacing w:line="360" w:lineRule="auto"/>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The ICC can be expressed as:</w:t>
      </w:r>
    </w:p>
    <w:p w14:paraId="73D9C7C4" w14:textId="77777777" w:rsidR="003514E1" w:rsidRPr="00DD0828" w:rsidRDefault="003514E1" w:rsidP="003A3B4A">
      <w:pPr>
        <w:spacing w:line="360" w:lineRule="auto"/>
        <w:jc w:val="center"/>
        <w:rPr>
          <w:rFonts w:ascii="Times New Roman" w:hAnsi="Times New Roman" w:cs="Times New Roman"/>
          <w:color w:val="000000" w:themeColor="text1"/>
          <w:szCs w:val="21"/>
          <w:lang w:val="en-US"/>
        </w:rPr>
      </w:pPr>
      <m:oMathPara>
        <m:oMath>
          <m:r>
            <w:rPr>
              <w:rFonts w:ascii="Cambria Math" w:hAnsi="Cambria Math" w:cs="Times New Roman"/>
              <w:color w:val="000000" w:themeColor="text1"/>
              <w:szCs w:val="21"/>
              <w:lang w:val="en-US"/>
            </w:rPr>
            <m:t>ICC(2,1)=</m:t>
          </m:r>
          <m:f>
            <m:fPr>
              <m:ctrlPr>
                <w:rPr>
                  <w:rFonts w:ascii="Cambria Math" w:hAnsi="Cambria Math" w:cs="Times New Roman"/>
                  <w:color w:val="000000" w:themeColor="text1"/>
                  <w:szCs w:val="21"/>
                  <w:lang w:val="en-US"/>
                </w:rPr>
              </m:ctrlPr>
            </m:fPr>
            <m:num>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R</m:t>
                  </m:r>
                </m:sub>
              </m:sSub>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m:t>
                  </m:r>
                </m:sub>
              </m:sSub>
            </m:num>
            <m:den>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R</m:t>
                  </m:r>
                </m:sub>
              </m:sSub>
              <m:r>
                <w:rPr>
                  <w:rFonts w:ascii="Cambria Math" w:hAnsi="Cambria Math" w:cs="Times New Roman"/>
                  <w:color w:val="000000" w:themeColor="text1"/>
                  <w:szCs w:val="21"/>
                  <w:lang w:val="en-US"/>
                </w:rPr>
                <m:t>+(k-1)M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m:t>
                  </m:r>
                </m:sub>
              </m:sSub>
              <m:r>
                <w:rPr>
                  <w:rFonts w:ascii="Cambria Math" w:hAnsi="Cambria Math" w:cs="Times New Roman"/>
                  <w:color w:val="000000" w:themeColor="text1"/>
                  <w:szCs w:val="21"/>
                  <w:lang w:val="en-US"/>
                </w:rPr>
                <m:t>+</m:t>
              </m:r>
              <m:f>
                <m:fPr>
                  <m:ctrlPr>
                    <w:rPr>
                      <w:rFonts w:ascii="Cambria Math" w:hAnsi="Cambria Math" w:cs="Times New Roman"/>
                      <w:color w:val="000000" w:themeColor="text1"/>
                      <w:szCs w:val="21"/>
                      <w:lang w:val="en-US"/>
                    </w:rPr>
                  </m:ctrlPr>
                </m:fPr>
                <m:num>
                  <m:r>
                    <w:rPr>
                      <w:rFonts w:ascii="Cambria Math" w:hAnsi="Cambria Math" w:cs="Times New Roman"/>
                      <w:color w:val="000000" w:themeColor="text1"/>
                      <w:szCs w:val="21"/>
                      <w:lang w:val="en-US"/>
                    </w:rPr>
                    <m:t>k(M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C</m:t>
                      </m:r>
                    </m:sub>
                  </m:sSub>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m:t>
                      </m:r>
                    </m:sub>
                  </m:sSub>
                  <m:r>
                    <w:rPr>
                      <w:rFonts w:ascii="Cambria Math" w:hAnsi="Cambria Math" w:cs="Times New Roman"/>
                      <w:color w:val="000000" w:themeColor="text1"/>
                      <w:szCs w:val="21"/>
                      <w:lang w:val="en-US"/>
                    </w:rPr>
                    <m:t>)</m:t>
                  </m:r>
                </m:num>
                <m:den>
                  <m:r>
                    <w:rPr>
                      <w:rFonts w:ascii="Cambria Math" w:hAnsi="Cambria Math" w:cs="Times New Roman"/>
                      <w:color w:val="000000" w:themeColor="text1"/>
                      <w:szCs w:val="21"/>
                      <w:lang w:val="en-US"/>
                    </w:rPr>
                    <m:t>n</m:t>
                  </m:r>
                </m:den>
              </m:f>
            </m:den>
          </m:f>
        </m:oMath>
      </m:oMathPara>
    </w:p>
    <w:p w14:paraId="04D19F9F" w14:textId="77777777" w:rsidR="003514E1" w:rsidRPr="00DD0828" w:rsidRDefault="003514E1"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 xml:space="preserve">where </w:t>
      </w:r>
      <m:oMath>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R</m:t>
            </m:r>
          </m:sub>
        </m:sSub>
      </m:oMath>
      <w:r w:rsidRPr="00DD0828">
        <w:rPr>
          <w:rFonts w:ascii="Times New Roman" w:hAnsi="Times New Roman" w:cs="Times New Roman"/>
          <w:color w:val="000000" w:themeColor="text1"/>
          <w:szCs w:val="21"/>
          <w:lang w:val="en-US"/>
        </w:rPr>
        <w:t xml:space="preserve"> is the mean square for rows (subjects), </w:t>
      </w:r>
      <m:oMath>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C</m:t>
            </m:r>
          </m:sub>
        </m:sSub>
      </m:oMath>
      <w:r w:rsidRPr="00DD0828">
        <w:rPr>
          <w:rFonts w:ascii="Times New Roman" w:hAnsi="Times New Roman" w:cs="Times New Roman"/>
          <w:color w:val="000000" w:themeColor="text1"/>
          <w:szCs w:val="21"/>
          <w:lang w:val="en-US"/>
        </w:rPr>
        <w:t xml:space="preserve"> is the mean square for columns (raters), </w:t>
      </w:r>
      <m:oMath>
        <m:r>
          <w:rPr>
            <w:rFonts w:ascii="Cambria Math" w:hAnsi="Cambria Math" w:cs="Times New Roman"/>
            <w:color w:val="000000" w:themeColor="text1"/>
            <w:szCs w:val="21"/>
            <w:lang w:val="en-US"/>
          </w:rPr>
          <m:t>M</m:t>
        </m:r>
        <m:sSub>
          <m:sSubPr>
            <m:ctrlPr>
              <w:rPr>
                <w:rFonts w:ascii="Cambria Math" w:hAnsi="Cambria Math" w:cs="Times New Roman"/>
                <w:color w:val="000000" w:themeColor="text1"/>
                <w:szCs w:val="21"/>
                <w:lang w:val="en-US"/>
              </w:rPr>
            </m:ctrlPr>
          </m:sSubPr>
          <m:e>
            <m:r>
              <w:rPr>
                <w:rFonts w:ascii="Cambria Math" w:hAnsi="Cambria Math" w:cs="Times New Roman"/>
                <w:color w:val="000000" w:themeColor="text1"/>
                <w:szCs w:val="21"/>
                <w:lang w:val="en-US"/>
              </w:rPr>
              <m:t>S</m:t>
            </m:r>
          </m:e>
          <m:sub>
            <m:r>
              <w:rPr>
                <w:rFonts w:ascii="Cambria Math" w:hAnsi="Cambria Math" w:cs="Times New Roman"/>
                <w:color w:val="000000" w:themeColor="text1"/>
                <w:szCs w:val="21"/>
                <w:lang w:val="en-US"/>
              </w:rPr>
              <m:t>E</m:t>
            </m:r>
          </m:sub>
        </m:sSub>
      </m:oMath>
      <w:r w:rsidRPr="00DD0828">
        <w:rPr>
          <w:rFonts w:ascii="Times New Roman" w:hAnsi="Times New Roman" w:cs="Times New Roman"/>
          <w:color w:val="000000" w:themeColor="text1"/>
          <w:szCs w:val="21"/>
          <w:lang w:val="en-US"/>
        </w:rPr>
        <w:t xml:space="preserve"> is the residual mean square, </w:t>
      </w:r>
      <m:oMath>
        <m:r>
          <w:rPr>
            <w:rFonts w:ascii="Cambria Math" w:hAnsi="Cambria Math" w:cs="Times New Roman"/>
            <w:color w:val="000000" w:themeColor="text1"/>
            <w:szCs w:val="21"/>
            <w:lang w:val="en-US"/>
          </w:rPr>
          <m:t>k</m:t>
        </m:r>
      </m:oMath>
      <w:r w:rsidRPr="00DD0828">
        <w:rPr>
          <w:rFonts w:ascii="Times New Roman" w:hAnsi="Times New Roman" w:cs="Times New Roman"/>
          <w:color w:val="000000" w:themeColor="text1"/>
          <w:szCs w:val="21"/>
          <w:lang w:val="en-US"/>
        </w:rPr>
        <w:t xml:space="preserve"> is the number of raters, and n is the number of subjects.</w:t>
      </w:r>
    </w:p>
    <w:p w14:paraId="78E53C26" w14:textId="183013E4" w:rsidR="003514E1" w:rsidRPr="00DD0828" w:rsidRDefault="003514E1" w:rsidP="003A3B4A">
      <w:pPr>
        <w:pStyle w:val="a5"/>
        <w:spacing w:line="360" w:lineRule="auto"/>
        <w:ind w:firstLineChars="0" w:firstLine="0"/>
        <w:rPr>
          <w:rFonts w:ascii="Times New Roman" w:hAnsi="Times New Roman" w:cs="Times New Roman"/>
          <w:color w:val="000000" w:themeColor="text1"/>
          <w:szCs w:val="21"/>
          <w:lang w:val="en-US"/>
        </w:rPr>
      </w:pPr>
      <w:r w:rsidRPr="00DD0828">
        <w:rPr>
          <w:rFonts w:ascii="Times New Roman" w:hAnsi="Times New Roman" w:cs="Times New Roman"/>
          <w:color w:val="000000" w:themeColor="text1"/>
          <w:szCs w:val="21"/>
          <w:lang w:val="en-US"/>
        </w:rPr>
        <w:t>This formulation corresponds to the ICC</w:t>
      </w:r>
      <w:r w:rsidRPr="00DD0828">
        <w:rPr>
          <w:rFonts w:ascii="Times New Roman" w:hAnsi="Times New Roman" w:cs="Times New Roman" w:hint="eastAsia"/>
          <w:color w:val="000000" w:themeColor="text1"/>
          <w:szCs w:val="21"/>
          <w:lang w:val="en-US"/>
        </w:rPr>
        <w:t xml:space="preserve"> </w:t>
      </w:r>
      <w:r w:rsidRPr="00DD0828">
        <w:rPr>
          <w:rFonts w:ascii="Times New Roman" w:hAnsi="Times New Roman" w:cs="Times New Roman"/>
          <w:color w:val="000000" w:themeColor="text1"/>
          <w:szCs w:val="21"/>
          <w:lang w:val="en-US"/>
        </w:rPr>
        <w:t>(2,1) model described by Shrout and Fleiss, reflecting absolute agreement between measurements obtained by different raters.</w:t>
      </w:r>
    </w:p>
    <w:p w14:paraId="0CF6E73B" w14:textId="77777777" w:rsidR="00B4299E" w:rsidRPr="00B4299E" w:rsidRDefault="00B4299E" w:rsidP="00B4299E">
      <w:pPr>
        <w:spacing w:line="360" w:lineRule="auto"/>
        <w:rPr>
          <w:rFonts w:ascii="Times New Roman" w:hAnsi="Times New Roman" w:cs="Times New Roman"/>
          <w:b/>
          <w:bCs/>
          <w:color w:val="000000" w:themeColor="text1"/>
          <w:kern w:val="44"/>
          <w:szCs w:val="21"/>
          <w:lang w:val="en-US"/>
        </w:rPr>
      </w:pPr>
      <w:r w:rsidRPr="00B4299E">
        <w:rPr>
          <w:rFonts w:ascii="Times New Roman" w:hAnsi="Times New Roman" w:cs="Times New Roman"/>
          <w:b/>
          <w:bCs/>
          <w:color w:val="000000" w:themeColor="text1"/>
          <w:kern w:val="44"/>
          <w:szCs w:val="21"/>
          <w:lang w:val="en-US"/>
        </w:rPr>
        <w:t>Bioinformatic Analysis</w:t>
      </w:r>
    </w:p>
    <w:p w14:paraId="77116978" w14:textId="77777777" w:rsidR="00B4299E" w:rsidRPr="00B4299E" w:rsidRDefault="00B4299E" w:rsidP="00B4299E">
      <w:pPr>
        <w:spacing w:line="360" w:lineRule="auto"/>
        <w:rPr>
          <w:rFonts w:ascii="Times New Roman" w:hAnsi="Times New Roman" w:cs="Times New Roman"/>
          <w:color w:val="000000" w:themeColor="text1"/>
          <w:kern w:val="44"/>
          <w:szCs w:val="21"/>
          <w:lang w:val="en-US"/>
        </w:rPr>
      </w:pPr>
      <w:r w:rsidRPr="00B4299E">
        <w:rPr>
          <w:rFonts w:ascii="Times New Roman" w:hAnsi="Times New Roman" w:cs="Times New Roman"/>
          <w:color w:val="000000" w:themeColor="text1"/>
          <w:kern w:val="44"/>
          <w:szCs w:val="21"/>
          <w:lang w:val="en-US"/>
        </w:rPr>
        <w:t xml:space="preserve">The biological relevance of the MRI-based model was investigated in Cohort 3, which comprised </w:t>
      </w:r>
      <w:r w:rsidRPr="00B4299E">
        <w:rPr>
          <w:rFonts w:ascii="Times New Roman" w:hAnsi="Times New Roman" w:cs="Times New Roman"/>
          <w:color w:val="000000" w:themeColor="text1"/>
          <w:kern w:val="44"/>
          <w:szCs w:val="21"/>
          <w:lang w:val="en-US"/>
        </w:rPr>
        <w:lastRenderedPageBreak/>
        <w:t xml:space="preserve">49 I-SPY1 patients from Cohort 2 with matched pretreatment MRI and transcriptomic data. Differential expression analysis between MRI-predicted responders and non-responders was performed using the limma package (version 3.58.1) in R software (version 4.3.0). Differentially expressed genes were identified using moderated </w:t>
      </w:r>
      <w:r w:rsidRPr="00B4299E">
        <w:rPr>
          <w:rFonts w:ascii="Times New Roman" w:hAnsi="Times New Roman" w:cs="Times New Roman"/>
          <w:i/>
          <w:iCs/>
          <w:color w:val="000000" w:themeColor="text1"/>
          <w:kern w:val="44"/>
          <w:szCs w:val="21"/>
          <w:lang w:val="en-US"/>
        </w:rPr>
        <w:t>t</w:t>
      </w:r>
      <w:r w:rsidRPr="00B4299E">
        <w:rPr>
          <w:rFonts w:ascii="Times New Roman" w:hAnsi="Times New Roman" w:cs="Times New Roman"/>
          <w:color w:val="000000" w:themeColor="text1"/>
          <w:kern w:val="44"/>
          <w:szCs w:val="21"/>
          <w:lang w:val="en-US"/>
        </w:rPr>
        <w:t xml:space="preserve"> tests with Benjamini–Hochberg false-discovery rate correction, with |log2 fold change| ≥2 and an FDR-adjusted </w:t>
      </w:r>
      <w:r w:rsidRPr="00B4299E">
        <w:rPr>
          <w:rFonts w:ascii="Times New Roman" w:hAnsi="Times New Roman" w:cs="Times New Roman"/>
          <w:i/>
          <w:iCs/>
          <w:color w:val="000000" w:themeColor="text1"/>
          <w:kern w:val="44"/>
          <w:szCs w:val="21"/>
          <w:lang w:val="en-US"/>
        </w:rPr>
        <w:t>P</w:t>
      </w:r>
      <w:r w:rsidRPr="00B4299E">
        <w:rPr>
          <w:rFonts w:ascii="Times New Roman" w:hAnsi="Times New Roman" w:cs="Times New Roman"/>
          <w:color w:val="000000" w:themeColor="text1"/>
          <w:kern w:val="44"/>
          <w:szCs w:val="21"/>
          <w:lang w:val="en-US"/>
        </w:rPr>
        <w:t>&lt;.05 as the significance criteria.</w:t>
      </w:r>
    </w:p>
    <w:p w14:paraId="720812C8" w14:textId="77777777" w:rsidR="00B4299E" w:rsidRPr="00B4299E" w:rsidRDefault="00B4299E" w:rsidP="00B4299E">
      <w:pPr>
        <w:spacing w:line="360" w:lineRule="auto"/>
        <w:rPr>
          <w:rFonts w:ascii="Times New Roman" w:hAnsi="Times New Roman" w:cs="Times New Roman"/>
          <w:color w:val="000000" w:themeColor="text1"/>
          <w:kern w:val="44"/>
          <w:szCs w:val="21"/>
          <w:lang w:val="en-US"/>
        </w:rPr>
      </w:pPr>
      <w:r w:rsidRPr="00B4299E">
        <w:rPr>
          <w:rFonts w:ascii="Times New Roman" w:hAnsi="Times New Roman" w:cs="Times New Roman"/>
          <w:color w:val="000000" w:themeColor="text1"/>
          <w:kern w:val="44"/>
          <w:szCs w:val="21"/>
          <w:lang w:val="en-US"/>
        </w:rPr>
        <w:t>Pathway-enrichment analysis was performed using the BioEnricher package (version 0.1.0) to identify biological processes associated with MRI-predicted response. Immune-cell infiltration was evaluated using single-sample gene set enrichment analysis implemented in the GSVA package (version 1.48.3), and enrichment scores were compared between the predicted response groups. Protein–protein interaction network analysis of the differentially expressed genes was performed using Cytoscape software (version 3.10.1), and core genes were selected according to network connectivity and biological relevance. The identified core genes were used to construct a gene-based classifier, which was independently evaluated in Cohort 4, comprising 257 patients from GSE25066.</w:t>
      </w:r>
    </w:p>
    <w:p w14:paraId="57D5E672" w14:textId="1CB95C30" w:rsidR="00DF78DC" w:rsidRPr="00DD0828" w:rsidRDefault="00DF78DC" w:rsidP="003A3B4A">
      <w:pPr>
        <w:keepNext/>
        <w:keepLines/>
        <w:spacing w:line="360" w:lineRule="auto"/>
        <w:outlineLvl w:val="0"/>
        <w:rPr>
          <w:rFonts w:ascii="Times New Roman" w:hAnsi="Times New Roman" w:cs="Times New Roman"/>
          <w:b/>
          <w:bCs/>
          <w:color w:val="000000" w:themeColor="text1"/>
          <w:kern w:val="44"/>
          <w:szCs w:val="21"/>
        </w:rPr>
      </w:pPr>
      <w:r w:rsidRPr="00DD0828">
        <w:rPr>
          <w:rFonts w:ascii="Times New Roman" w:hAnsi="Times New Roman" w:cs="Times New Roman"/>
          <w:b/>
          <w:bCs/>
          <w:color w:val="000000" w:themeColor="text1"/>
          <w:kern w:val="44"/>
          <w:szCs w:val="21"/>
        </w:rPr>
        <w:t xml:space="preserve">Identification of SNF Subtypes in </w:t>
      </w:r>
      <w:r w:rsidR="001A7D5B" w:rsidRPr="00DD0828">
        <w:rPr>
          <w:rFonts w:ascii="Times New Roman" w:hAnsi="Times New Roman" w:cs="Times New Roman"/>
          <w:b/>
          <w:bCs/>
          <w:color w:val="000000" w:themeColor="text1"/>
          <w:szCs w:val="21"/>
        </w:rPr>
        <w:t>HR+HER2−</w:t>
      </w:r>
      <w:r w:rsidR="001A7D5B" w:rsidRPr="00DD0828">
        <w:rPr>
          <w:rFonts w:ascii="Times New Roman" w:hAnsi="Times New Roman" w:cs="Times New Roman" w:hint="eastAsia"/>
          <w:b/>
          <w:bCs/>
          <w:color w:val="000000" w:themeColor="text1"/>
          <w:szCs w:val="21"/>
        </w:rPr>
        <w:t xml:space="preserve"> </w:t>
      </w:r>
      <w:r w:rsidRPr="00DD0828">
        <w:rPr>
          <w:rFonts w:ascii="Times New Roman" w:hAnsi="Times New Roman" w:cs="Times New Roman"/>
          <w:b/>
          <w:bCs/>
          <w:color w:val="000000" w:themeColor="text1"/>
          <w:kern w:val="44"/>
          <w:szCs w:val="21"/>
        </w:rPr>
        <w:t>Breast Cancer</w:t>
      </w:r>
    </w:p>
    <w:p w14:paraId="7E8B4742" w14:textId="758C7B75" w:rsidR="0039095E" w:rsidRPr="00DD0828" w:rsidRDefault="0039095E" w:rsidP="003A3B4A">
      <w:pPr>
        <w:pStyle w:val="a5"/>
        <w:numPr>
          <w:ilvl w:val="0"/>
          <w:numId w:val="11"/>
        </w:numPr>
        <w:spacing w:line="360" w:lineRule="auto"/>
        <w:ind w:firstLineChars="0"/>
        <w:rPr>
          <w:rFonts w:ascii="Times New Roman" w:hAnsi="Times New Roman" w:cs="Times New Roman"/>
          <w:b/>
          <w:bCs/>
          <w:color w:val="000000" w:themeColor="text1"/>
          <w:szCs w:val="21"/>
        </w:rPr>
      </w:pPr>
      <w:r w:rsidRPr="00DD0828">
        <w:rPr>
          <w:rFonts w:ascii="Times New Roman" w:hAnsi="Times New Roman" w:cs="Times New Roman"/>
          <w:b/>
          <w:bCs/>
          <w:color w:val="000000" w:themeColor="text1"/>
          <w:szCs w:val="21"/>
        </w:rPr>
        <w:t>Histological and Immunohistochemical Staining Procedures</w:t>
      </w:r>
    </w:p>
    <w:p w14:paraId="4DB5190D" w14:textId="67C97ED2" w:rsidR="0039095E" w:rsidRPr="00DD0828" w:rsidRDefault="0039095E" w:rsidP="003A3B4A">
      <w:pPr>
        <w:spacing w:line="360" w:lineRule="auto"/>
        <w:rPr>
          <w:rFonts w:ascii="Times New Roman" w:hAnsi="Times New Roman" w:cs="Times New Roman"/>
          <w:color w:val="000000" w:themeColor="text1"/>
          <w:szCs w:val="21"/>
        </w:rPr>
      </w:pPr>
      <w:r w:rsidRPr="00DD0828">
        <w:rPr>
          <w:rFonts w:ascii="Times New Roman" w:hAnsi="Times New Roman" w:cs="Times New Roman"/>
          <w:color w:val="000000" w:themeColor="text1"/>
          <w:szCs w:val="21"/>
        </w:rPr>
        <w:t>Paraffin-embedded tissue sections were deparaffinized at 60°C for 20 minutes, cleared in xylene, and rehydrated through graded alcohols. For H&amp;E staining, Mayer's hematoxylin (Sigma-Aldrich) and 0.1% sodium bicarbonate were used, followed by eosin Y (Sigma-Aldrich). IHC involved antigen retrieval in saline-citrate buffer at 95-100°C. After cooling, slides were blocked with a solution of 2% goat serum, 2% BSA, and 0.05% Tween in PBS at room temperature, then incubated with primary antibodies at 4°C. Endogenous peroxidase activity was quenched with 0.3% H₂O₂. Slides were then treated with HRP-conjugated secondary antibodies (Genetech) at room temperature and developed using 3,3′-diaminobenzidine (Genetech). Hematoxylin was used for counterstaining, and slides were dehydrated through graded alcohols. Positive staining density was quantified using a Leica DFC420 camera connected to a DM IRE2 microscope (Leica Microsystems Imaging Solutions) [1</w:t>
      </w:r>
      <w:r w:rsidR="000B3F13">
        <w:rPr>
          <w:rFonts w:ascii="Times New Roman" w:hAnsi="Times New Roman" w:cs="Times New Roman" w:hint="eastAsia"/>
          <w:color w:val="000000" w:themeColor="text1"/>
          <w:szCs w:val="21"/>
        </w:rPr>
        <w:t>1</w:t>
      </w:r>
      <w:r w:rsidRPr="00DD0828">
        <w:rPr>
          <w:rFonts w:ascii="Times New Roman" w:hAnsi="Times New Roman" w:cs="Times New Roman"/>
          <w:color w:val="000000" w:themeColor="text1"/>
          <w:szCs w:val="21"/>
        </w:rPr>
        <w:t>].</w:t>
      </w:r>
    </w:p>
    <w:p w14:paraId="74B6644E" w14:textId="34AC99A5" w:rsidR="0039095E" w:rsidRPr="00DD0828" w:rsidRDefault="0039095E" w:rsidP="003A3B4A">
      <w:pPr>
        <w:pStyle w:val="a5"/>
        <w:numPr>
          <w:ilvl w:val="0"/>
          <w:numId w:val="11"/>
        </w:numPr>
        <w:spacing w:line="360" w:lineRule="auto"/>
        <w:ind w:firstLineChars="0"/>
        <w:rPr>
          <w:rFonts w:ascii="Times New Roman" w:hAnsi="Times New Roman" w:cs="Times New Roman"/>
          <w:b/>
          <w:bCs/>
          <w:color w:val="000000" w:themeColor="text1"/>
          <w:szCs w:val="21"/>
        </w:rPr>
      </w:pPr>
      <w:r w:rsidRPr="00DD0828">
        <w:rPr>
          <w:rFonts w:ascii="Times New Roman" w:hAnsi="Times New Roman" w:cs="Times New Roman"/>
          <w:b/>
          <w:bCs/>
          <w:color w:val="000000" w:themeColor="text1"/>
          <w:szCs w:val="21"/>
        </w:rPr>
        <w:t>Whole‑slide image (WSI) processing and deep learning‑based SNF subtype classification</w:t>
      </w:r>
    </w:p>
    <w:p w14:paraId="72A8C677" w14:textId="1D19F28B" w:rsidR="0039095E" w:rsidRPr="00DD0828" w:rsidRDefault="0039095E" w:rsidP="003A3B4A">
      <w:pPr>
        <w:spacing w:line="360" w:lineRule="auto"/>
        <w:rPr>
          <w:rFonts w:ascii="Times New Roman" w:hAnsi="Times New Roman" w:cs="Times New Roman"/>
          <w:color w:val="000000" w:themeColor="text1"/>
          <w:szCs w:val="21"/>
        </w:rPr>
      </w:pPr>
      <w:r w:rsidRPr="00DD0828">
        <w:rPr>
          <w:rFonts w:ascii="Times New Roman" w:hAnsi="Times New Roman" w:cs="Times New Roman"/>
          <w:color w:val="000000" w:themeColor="text1"/>
          <w:szCs w:val="21"/>
        </w:rPr>
        <w:t xml:space="preserve">Hematoxylin and eosin (H&amp;E)‑stained slides were scanned at </w:t>
      </w:r>
      <w:r w:rsidRPr="00DD0828">
        <w:rPr>
          <w:rFonts w:ascii="Times New Roman" w:eastAsia="等线" w:hAnsi="Times New Roman" w:cs="Times New Roman" w:hint="eastAsia"/>
          <w:color w:val="000000" w:themeColor="text1"/>
          <w:szCs w:val="21"/>
        </w:rPr>
        <w:t>×</w:t>
      </w:r>
      <w:r w:rsidRPr="00DD0828">
        <w:rPr>
          <w:rFonts w:ascii="Times New Roman" w:hAnsi="Times New Roman" w:cs="Times New Roman"/>
          <w:color w:val="000000" w:themeColor="text1"/>
          <w:szCs w:val="21"/>
        </w:rPr>
        <w:t xml:space="preserve">40 magnification using a NanoZoomer S210 digital pathology scanner to generate WSIs. On each WSI, one or two ROIs </w:t>
      </w:r>
      <w:r w:rsidRPr="00DD0828">
        <w:rPr>
          <w:rFonts w:ascii="Times New Roman" w:hAnsi="Times New Roman" w:cs="Times New Roman"/>
          <w:color w:val="000000" w:themeColor="text1"/>
          <w:szCs w:val="21"/>
        </w:rPr>
        <w:lastRenderedPageBreak/>
        <w:t>containing the majority of invasive carcinoma were manually annotated using ImageScope software (v12.4.0.5043), excluding background and non‑informative tissue areas. Within each ROI, images were tiled into non‑overlapping 256 </w:t>
      </w:r>
      <w:r w:rsidRPr="00DD0828">
        <w:rPr>
          <w:rFonts w:ascii="Times New Roman" w:eastAsia="等线" w:hAnsi="Times New Roman" w:cs="Times New Roman" w:hint="eastAsia"/>
          <w:color w:val="000000" w:themeColor="text1"/>
          <w:szCs w:val="21"/>
        </w:rPr>
        <w:t>×</w:t>
      </w:r>
      <w:r w:rsidRPr="00DD0828">
        <w:rPr>
          <w:rFonts w:ascii="Times New Roman" w:hAnsi="Times New Roman" w:cs="Times New Roman"/>
          <w:color w:val="000000" w:themeColor="text1"/>
          <w:szCs w:val="21"/>
        </w:rPr>
        <w:t> 256 pixel patches using MATLAB (v2021a) and the OpenSlide library. Blurred and non‑informative background patches were discarded. A previously established tissue‑type classifier was then applied to classify each patch into five categories: tumor, stroma, immune infiltrate, normal breast gland, or necrosis/hemorrhage. For SNF subtype prediction, a one‑versus‑rest strategy with patient‑level three‑fold cross‑validation was adopted. The distribution of the four SNF subtypes was kept balanced across the three folds. For each subtype model, 500 patches were randomly sampled from each patient’s WSI, and all patches inherited the corresponding patient’s label. Class balance in the training set was achieved by downsampling. A ResNet‑18 model pretrained on ImageNet was fine‑tuned using PyTorch (v1.10.0) in Python (v3.6). Training was performed for 100 epochs with cross‑entropy loss, batch size 256, learning rate 0.001, and the Adam optimizer. Patient‑level prediction scores were calculated by averaging the patch‑level probabilities of all sampled patches from that patient. The best model for each subtype was selected based on the highest area under the AUC</w:t>
      </w:r>
      <w:r w:rsidR="00A71C80" w:rsidRPr="00DD0828">
        <w:rPr>
          <w:rFonts w:ascii="Times New Roman" w:hAnsi="Times New Roman" w:cs="Times New Roman" w:hint="eastAsia"/>
          <w:color w:val="000000" w:themeColor="text1"/>
          <w:szCs w:val="21"/>
        </w:rPr>
        <w:t xml:space="preserve"> </w:t>
      </w:r>
      <w:r w:rsidRPr="00DD0828">
        <w:rPr>
          <w:rFonts w:ascii="Times New Roman" w:hAnsi="Times New Roman" w:cs="Times New Roman"/>
          <w:color w:val="000000" w:themeColor="text1"/>
          <w:szCs w:val="21"/>
        </w:rPr>
        <w:t>in the validation fold. For an unlabeled WSI, the four subtype‑specific models were applied; if only one model returned a positive prediction, the case was assigned that SNF subtype; if multiple models were positive, the result from the model with the highest overall cross‑validation accuracy was used.</w:t>
      </w:r>
      <w:r w:rsidRPr="00DD0828">
        <w:rPr>
          <w:color w:val="000000" w:themeColor="text1"/>
          <w:szCs w:val="21"/>
        </w:rPr>
        <w:t xml:space="preserve"> </w:t>
      </w:r>
      <w:r w:rsidRPr="00DD0828">
        <w:rPr>
          <w:rFonts w:ascii="Times New Roman" w:hAnsi="Times New Roman" w:cs="Times New Roman"/>
          <w:color w:val="000000" w:themeColor="text1"/>
          <w:szCs w:val="21"/>
        </w:rPr>
        <w:t>Additional technical details are available in the original study [1].</w:t>
      </w:r>
    </w:p>
    <w:p w14:paraId="11F891EF" w14:textId="77777777" w:rsidR="0039095E" w:rsidRPr="00DD0828" w:rsidRDefault="0039095E" w:rsidP="003A3B4A">
      <w:pPr>
        <w:pStyle w:val="a5"/>
        <w:numPr>
          <w:ilvl w:val="0"/>
          <w:numId w:val="11"/>
        </w:numPr>
        <w:spacing w:line="360" w:lineRule="auto"/>
        <w:ind w:firstLineChars="0"/>
        <w:rPr>
          <w:rFonts w:ascii="Times New Roman" w:hAnsi="Times New Roman" w:cs="Times New Roman"/>
          <w:b/>
          <w:bCs/>
          <w:color w:val="000000" w:themeColor="text1"/>
          <w:szCs w:val="21"/>
        </w:rPr>
      </w:pPr>
      <w:r w:rsidRPr="00DD0828">
        <w:rPr>
          <w:rFonts w:ascii="Times New Roman" w:hAnsi="Times New Roman" w:cs="Times New Roman"/>
          <w:b/>
          <w:bCs/>
          <w:color w:val="000000" w:themeColor="text1"/>
          <w:szCs w:val="21"/>
        </w:rPr>
        <w:t>Pathological Features of the Four SNF Subtypes</w:t>
      </w:r>
    </w:p>
    <w:p w14:paraId="270B8E01" w14:textId="0C9F860F" w:rsidR="0039095E" w:rsidRPr="00DD0828" w:rsidRDefault="0039095E" w:rsidP="003A3B4A">
      <w:pPr>
        <w:spacing w:line="360" w:lineRule="auto"/>
        <w:rPr>
          <w:rFonts w:ascii="Times New Roman" w:hAnsi="Times New Roman" w:cs="Times New Roman"/>
          <w:color w:val="000000" w:themeColor="text1"/>
          <w:szCs w:val="21"/>
        </w:rPr>
      </w:pPr>
      <w:r w:rsidRPr="00DD0828">
        <w:rPr>
          <w:rFonts w:ascii="Times New Roman" w:hAnsi="Times New Roman" w:cs="Times New Roman"/>
          <w:color w:val="000000" w:themeColor="text1"/>
          <w:szCs w:val="21"/>
        </w:rPr>
        <w:t>SNF1 is characterized by partial preservation of normal breast morphology. SNF2 shows high immune cell infiltration. SNF3 is marked by a high abundance of atypical tumor cells. SNF4 features clusters of tumor cells enriched with surrounding fibroblasts [1</w:t>
      </w:r>
      <w:r w:rsidR="000B3F13">
        <w:rPr>
          <w:rFonts w:ascii="Times New Roman" w:hAnsi="Times New Roman" w:cs="Times New Roman" w:hint="eastAsia"/>
          <w:color w:val="000000" w:themeColor="text1"/>
          <w:szCs w:val="21"/>
        </w:rPr>
        <w:t>1</w:t>
      </w:r>
      <w:r w:rsidRPr="00DD0828">
        <w:rPr>
          <w:rFonts w:ascii="Times New Roman" w:hAnsi="Times New Roman" w:cs="Times New Roman"/>
          <w:color w:val="000000" w:themeColor="text1"/>
          <w:szCs w:val="21"/>
        </w:rPr>
        <w:t>].</w:t>
      </w:r>
    </w:p>
    <w:p w14:paraId="0EF09E64" w14:textId="70AB5F83" w:rsidR="008F3BBC" w:rsidRPr="00DD0828" w:rsidRDefault="008F3BB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br w:type="page"/>
      </w:r>
    </w:p>
    <w:p w14:paraId="3FF90D6A" w14:textId="77777777" w:rsidR="00DF78DC" w:rsidRPr="00DD0828" w:rsidRDefault="00DF78DC" w:rsidP="003A3B4A">
      <w:pPr>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lastRenderedPageBreak/>
        <w:t>Figures</w:t>
      </w:r>
    </w:p>
    <w:p w14:paraId="4E27DA97" w14:textId="6A3B0BA8" w:rsidR="000230F0" w:rsidRPr="00DD0828" w:rsidRDefault="005502E8" w:rsidP="003A3B4A">
      <w:pPr>
        <w:jc w:val="center"/>
        <w:rPr>
          <w:rFonts w:ascii="Times New Roman" w:hAnsi="Times New Roman" w:cs="Times New Roman"/>
          <w:b/>
          <w:bCs/>
          <w:color w:val="000000" w:themeColor="text1"/>
          <w:sz w:val="15"/>
          <w:szCs w:val="15"/>
        </w:rPr>
      </w:pPr>
      <w:r w:rsidRPr="00DD0828">
        <w:rPr>
          <w:rFonts w:ascii="Times New Roman" w:hAnsi="Times New Roman" w:cs="Times New Roman"/>
          <w:b/>
          <w:bCs/>
          <w:noProof/>
          <w:color w:val="000000" w:themeColor="text1"/>
          <w:sz w:val="15"/>
          <w:szCs w:val="15"/>
        </w:rPr>
        <w:drawing>
          <wp:inline distT="0" distB="0" distL="0" distR="0" wp14:anchorId="2BD88592" wp14:editId="7D763D56">
            <wp:extent cx="3850056" cy="3605429"/>
            <wp:effectExtent l="0" t="0" r="0" b="0"/>
            <wp:docPr id="2366584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9970" cy="3614713"/>
                    </a:xfrm>
                    <a:prstGeom prst="rect">
                      <a:avLst/>
                    </a:prstGeom>
                    <a:noFill/>
                  </pic:spPr>
                </pic:pic>
              </a:graphicData>
            </a:graphic>
          </wp:inline>
        </w:drawing>
      </w:r>
    </w:p>
    <w:p w14:paraId="19041D36" w14:textId="358C8C34" w:rsidR="00FA3381" w:rsidRPr="00DD0828" w:rsidRDefault="000230F0" w:rsidP="003A3B4A">
      <w:pPr>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t>Figure E1</w:t>
      </w:r>
      <w:r w:rsidR="00FA3381" w:rsidRPr="00DD0828">
        <w:rPr>
          <w:rFonts w:ascii="Times New Roman" w:hAnsi="Times New Roman" w:cs="Times New Roman" w:hint="eastAsia"/>
          <w:b/>
          <w:bCs/>
          <w:color w:val="000000" w:themeColor="text1"/>
          <w:sz w:val="15"/>
          <w:szCs w:val="15"/>
        </w:rPr>
        <w:t>. Definition of kinetic parameters and determination of the optimal number of clusters for intratumoral subregion analysis.</w:t>
      </w:r>
    </w:p>
    <w:p w14:paraId="5A4F7846" w14:textId="530B13A1" w:rsidR="00FA3381" w:rsidRPr="00DD0828" w:rsidRDefault="00FA3381" w:rsidP="003A3B4A">
      <w:pPr>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(a) Schematic illustration of the time</w:t>
      </w:r>
      <w:r w:rsidR="00454BB7" w:rsidRPr="00DD0828">
        <w:rPr>
          <w:rFonts w:ascii="Times New Roman" w:hAnsi="Times New Roman" w:cs="Times New Roman" w:hint="eastAsia"/>
          <w:color w:val="000000" w:themeColor="text1"/>
          <w:sz w:val="15"/>
          <w:szCs w:val="15"/>
        </w:rPr>
        <w:t>-</w:t>
      </w:r>
      <w:r w:rsidRPr="00DD0828">
        <w:rPr>
          <w:rFonts w:ascii="Times New Roman" w:hAnsi="Times New Roman" w:cs="Times New Roman" w:hint="eastAsia"/>
          <w:color w:val="000000" w:themeColor="text1"/>
          <w:sz w:val="15"/>
          <w:szCs w:val="15"/>
        </w:rPr>
        <w:t>signal intensity curve (TIC) derived from multiphase DCE-MRI, showing the calculation of enhancement-related kinetic parameters, including uptake slope (WIS), washout slope (WOS), signal enhancement ratio (SER), and percentage enhancement (PE). This schematic is adapted from a previously published study [</w:t>
      </w:r>
      <w:r w:rsidR="004054F2">
        <w:rPr>
          <w:rFonts w:ascii="Times New Roman" w:hAnsi="Times New Roman" w:cs="Times New Roman" w:hint="eastAsia"/>
          <w:color w:val="000000" w:themeColor="text1"/>
          <w:sz w:val="15"/>
          <w:szCs w:val="15"/>
        </w:rPr>
        <w:t>9</w:t>
      </w:r>
      <w:r w:rsidRPr="00DD0828">
        <w:rPr>
          <w:rFonts w:ascii="Times New Roman" w:hAnsi="Times New Roman" w:cs="Times New Roman" w:hint="eastAsia"/>
          <w:color w:val="000000" w:themeColor="text1"/>
          <w:sz w:val="15"/>
          <w:szCs w:val="15"/>
        </w:rPr>
        <w:t>].</w:t>
      </w:r>
    </w:p>
    <w:p w14:paraId="7DBA8B4C" w14:textId="07F33DB5" w:rsidR="0060653F" w:rsidRPr="00DD0828" w:rsidRDefault="0060653F" w:rsidP="003A3B4A">
      <w:pPr>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(b)</w:t>
      </w:r>
      <w:r w:rsidR="009C7985" w:rsidRPr="00DD0828">
        <w:rPr>
          <w:rFonts w:ascii="Times New Roman" w:hAnsi="Times New Roman" w:cs="Times New Roman" w:hint="eastAsia"/>
          <w:color w:val="000000" w:themeColor="text1"/>
          <w:sz w:val="15"/>
          <w:szCs w:val="15"/>
        </w:rPr>
        <w:t xml:space="preserve"> </w:t>
      </w:r>
      <w:r w:rsidRPr="00DD0828">
        <w:rPr>
          <w:rFonts w:ascii="Times New Roman" w:hAnsi="Times New Roman" w:cs="Times New Roman" w:hint="eastAsia"/>
          <w:color w:val="000000" w:themeColor="text1"/>
          <w:sz w:val="15"/>
          <w:szCs w:val="15"/>
        </w:rPr>
        <w:t>Elbow method for determining the optimal number of clusters (k) in the development cohort. The curve represents the average within-cluster sum of squares (SSE) across all patients.</w:t>
      </w:r>
    </w:p>
    <w:p w14:paraId="3FB64F64" w14:textId="79D8860D" w:rsidR="000230F0" w:rsidRPr="00DD0828" w:rsidRDefault="0060653F" w:rsidP="003A3B4A">
      <w:pPr>
        <w:rPr>
          <w:rFonts w:ascii="Times New Roman" w:hAnsi="Times New Roman" w:cs="Times New Roman"/>
          <w:b/>
          <w:bCs/>
          <w:color w:val="000000" w:themeColor="text1"/>
          <w:sz w:val="15"/>
          <w:szCs w:val="15"/>
        </w:rPr>
      </w:pPr>
      <w:r w:rsidRPr="00DD0828">
        <w:rPr>
          <w:rFonts w:ascii="Times New Roman" w:hAnsi="Times New Roman" w:cs="Times New Roman" w:hint="eastAsia"/>
          <w:color w:val="000000" w:themeColor="text1"/>
          <w:sz w:val="15"/>
          <w:szCs w:val="15"/>
        </w:rPr>
        <w:t>(c) Elbow method for determining the optimal number of clusters (k) in the external validation cohort, showing a consistent inflection point at k = 3.</w:t>
      </w:r>
    </w:p>
    <w:p w14:paraId="109C933B" w14:textId="6855C867" w:rsidR="000230F0" w:rsidRPr="00DD0828" w:rsidRDefault="00454BB7" w:rsidP="003A3B4A">
      <w:pPr>
        <w:rPr>
          <w:rFonts w:ascii="Times New Roman" w:hAnsi="Times New Roman" w:cs="Times New Roman"/>
          <w:b/>
          <w:bCs/>
          <w:color w:val="000000" w:themeColor="text1"/>
          <w:sz w:val="15"/>
          <w:szCs w:val="15"/>
        </w:rPr>
      </w:pPr>
      <w:r w:rsidRPr="00DD0828">
        <w:rPr>
          <w:rFonts w:ascii="Times New Roman" w:hAnsi="Times New Roman" w:cs="Times New Roman"/>
          <w:b/>
          <w:bCs/>
          <w:noProof/>
          <w:color w:val="000000" w:themeColor="text1"/>
          <w:sz w:val="15"/>
          <w:szCs w:val="15"/>
        </w:rPr>
        <w:lastRenderedPageBreak/>
        <w:drawing>
          <wp:inline distT="0" distB="0" distL="0" distR="0" wp14:anchorId="3DF5F7B4" wp14:editId="2605E01B">
            <wp:extent cx="5274310" cy="3477260"/>
            <wp:effectExtent l="0" t="0" r="2540" b="8890"/>
            <wp:docPr id="11283476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47634" name="图片 11283476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477260"/>
                    </a:xfrm>
                    <a:prstGeom prst="rect">
                      <a:avLst/>
                    </a:prstGeom>
                  </pic:spPr>
                </pic:pic>
              </a:graphicData>
            </a:graphic>
          </wp:inline>
        </w:drawing>
      </w:r>
    </w:p>
    <w:p w14:paraId="214B2940" w14:textId="77503D73" w:rsidR="000920CB" w:rsidRPr="00DD0828" w:rsidRDefault="000230F0" w:rsidP="003A3B4A">
      <w:pPr>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t>Figure E</w:t>
      </w:r>
      <w:r w:rsidRPr="00DD0828">
        <w:rPr>
          <w:rFonts w:ascii="Times New Roman" w:hAnsi="Times New Roman" w:cs="Times New Roman" w:hint="eastAsia"/>
          <w:b/>
          <w:bCs/>
          <w:color w:val="000000" w:themeColor="text1"/>
          <w:sz w:val="15"/>
          <w:szCs w:val="15"/>
        </w:rPr>
        <w:t>2</w:t>
      </w:r>
      <w:r w:rsidR="000920CB" w:rsidRPr="00DD0828">
        <w:rPr>
          <w:rFonts w:ascii="Times New Roman" w:hAnsi="Times New Roman" w:cs="Times New Roman" w:hint="eastAsia"/>
          <w:b/>
          <w:bCs/>
          <w:color w:val="000000" w:themeColor="text1"/>
          <w:sz w:val="15"/>
          <w:szCs w:val="15"/>
        </w:rPr>
        <w:t xml:space="preserve">. </w:t>
      </w:r>
      <w:r w:rsidR="000920CB" w:rsidRPr="00DD0828">
        <w:rPr>
          <w:rFonts w:ascii="Times New Roman" w:hAnsi="Times New Roman" w:cs="Times New Roman"/>
          <w:b/>
          <w:bCs/>
          <w:color w:val="000000" w:themeColor="text1"/>
          <w:sz w:val="15"/>
          <w:szCs w:val="15"/>
          <w:lang w:val="en-US"/>
        </w:rPr>
        <w:t>Imaging-defined intratumoral subregions based on multiphase DCE-MRI kinetic parameters.</w:t>
      </w:r>
    </w:p>
    <w:p w14:paraId="5B7A3784" w14:textId="0D03D8D7" w:rsidR="000920CB" w:rsidRPr="00DD0828" w:rsidRDefault="000920CB" w:rsidP="003A3B4A">
      <w:pPr>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(a) Distribution of wash-in slope (WIS), washout slope (WOS), percentage enhancement (PE), and signal enhancement ratio (SER) across the three intratumoral subregions identified by k-means clustering. *</w:t>
      </w:r>
      <w:r w:rsidRPr="00DD0828">
        <w:rPr>
          <w:rFonts w:ascii="Times New Roman" w:hAnsi="Times New Roman" w:cs="Times New Roman"/>
          <w:i/>
          <w:iCs/>
          <w:color w:val="000000" w:themeColor="text1"/>
          <w:sz w:val="15"/>
          <w:szCs w:val="15"/>
          <w:lang w:val="en-US"/>
        </w:rPr>
        <w:t>P</w:t>
      </w:r>
      <w:r w:rsidRPr="00DD0828">
        <w:rPr>
          <w:rFonts w:ascii="Times New Roman" w:hAnsi="Times New Roman" w:cs="Times New Roman"/>
          <w:color w:val="000000" w:themeColor="text1"/>
          <w:sz w:val="15"/>
          <w:szCs w:val="15"/>
          <w:lang w:val="en-US"/>
        </w:rPr>
        <w:t xml:space="preserve"> &lt; 0.</w:t>
      </w:r>
      <w:r w:rsidR="00B40560" w:rsidRPr="00DD0828">
        <w:rPr>
          <w:rFonts w:ascii="Times New Roman" w:hAnsi="Times New Roman" w:cs="Times New Roman" w:hint="eastAsia"/>
          <w:color w:val="000000" w:themeColor="text1"/>
          <w:sz w:val="15"/>
          <w:szCs w:val="15"/>
          <w:lang w:val="en-US"/>
        </w:rPr>
        <w:t>0</w:t>
      </w:r>
      <w:r w:rsidRPr="00DD0828">
        <w:rPr>
          <w:rFonts w:ascii="Times New Roman" w:hAnsi="Times New Roman" w:cs="Times New Roman"/>
          <w:color w:val="000000" w:themeColor="text1"/>
          <w:sz w:val="15"/>
          <w:szCs w:val="15"/>
          <w:lang w:val="en-US"/>
        </w:rPr>
        <w:t>01.</w:t>
      </w:r>
    </w:p>
    <w:p w14:paraId="2DC4D794" w14:textId="014D5B5E" w:rsidR="00454BB7" w:rsidRPr="00DD0828" w:rsidRDefault="000920CB" w:rsidP="003A3B4A">
      <w:pPr>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(b) Representative example of color-coded intratumoral subregions on DCE-MRI, including low-perfusion (red), intermediate-perfusion (green), and high-perfusion (blue) regions.</w:t>
      </w:r>
    </w:p>
    <w:p w14:paraId="1CD6C48E" w14:textId="77777777" w:rsidR="00DF78DC" w:rsidRPr="00DD0828" w:rsidRDefault="00DF78DC" w:rsidP="003A3B4A">
      <w:pPr>
        <w:widowControl/>
        <w:jc w:val="left"/>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br w:type="page"/>
      </w:r>
    </w:p>
    <w:p w14:paraId="2525F369" w14:textId="6396BA66" w:rsidR="00263C73" w:rsidRPr="00DD0828" w:rsidRDefault="0004541E" w:rsidP="003A3B4A">
      <w:pPr>
        <w:jc w:val="center"/>
        <w:rPr>
          <w:rFonts w:ascii="Times New Roman" w:hAnsi="Times New Roman" w:cs="Times New Roman"/>
          <w:b/>
          <w:bCs/>
          <w:color w:val="000000" w:themeColor="text1"/>
          <w:sz w:val="15"/>
          <w:szCs w:val="15"/>
        </w:rPr>
      </w:pPr>
      <w:r w:rsidRPr="00DD0828">
        <w:rPr>
          <w:rFonts w:ascii="Times New Roman" w:hAnsi="Times New Roman" w:cs="Times New Roman"/>
          <w:b/>
          <w:bCs/>
          <w:noProof/>
          <w:color w:val="000000" w:themeColor="text1"/>
          <w:sz w:val="15"/>
          <w:szCs w:val="15"/>
        </w:rPr>
        <w:lastRenderedPageBreak/>
        <w:drawing>
          <wp:inline distT="0" distB="0" distL="0" distR="0" wp14:anchorId="2879C72E" wp14:editId="30E1DB30">
            <wp:extent cx="5274310" cy="2244090"/>
            <wp:effectExtent l="0" t="0" r="2540" b="3810"/>
            <wp:docPr id="16386703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70307" name="图片 16386703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244090"/>
                    </a:xfrm>
                    <a:prstGeom prst="rect">
                      <a:avLst/>
                    </a:prstGeom>
                  </pic:spPr>
                </pic:pic>
              </a:graphicData>
            </a:graphic>
          </wp:inline>
        </w:drawing>
      </w:r>
    </w:p>
    <w:p w14:paraId="6BA8D089" w14:textId="77777777" w:rsidR="00165EFB" w:rsidRPr="00DD0828" w:rsidRDefault="00165EFB" w:rsidP="003A3B4A">
      <w:pPr>
        <w:rPr>
          <w:rFonts w:ascii="Times New Roman" w:hAnsi="Times New Roman" w:cs="Times New Roman"/>
          <w:b/>
          <w:bCs/>
          <w:color w:val="000000" w:themeColor="text1"/>
          <w:sz w:val="15"/>
          <w:szCs w:val="15"/>
          <w:lang w:val="en-US"/>
        </w:rPr>
      </w:pPr>
      <w:r w:rsidRPr="00DD0828">
        <w:rPr>
          <w:rFonts w:ascii="Times New Roman" w:hAnsi="Times New Roman" w:cs="Times New Roman"/>
          <w:b/>
          <w:bCs/>
          <w:color w:val="000000" w:themeColor="text1"/>
          <w:sz w:val="15"/>
          <w:szCs w:val="15"/>
          <w:lang w:val="en-US"/>
        </w:rPr>
        <w:t>Figure E3. Schematic illustration of multiregional spatial interaction (MSI) feature extraction.</w:t>
      </w:r>
    </w:p>
    <w:p w14:paraId="4654FE32" w14:textId="77777777" w:rsidR="00165EFB" w:rsidRPr="00DD0828" w:rsidRDefault="00165EFB" w:rsidP="003A3B4A">
      <w:pPr>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(a) Each voxel within the tumor and peritumoral region is assigned to one of four regions, including three intratumoral subregions and the peritumoral region. Spatial adjacency between regions is quantified by examining neighboring voxel pairs in three dimensions.</w:t>
      </w:r>
    </w:p>
    <w:p w14:paraId="45A8A9B1" w14:textId="307E61E7" w:rsidR="00165EFB" w:rsidRPr="00DD0828" w:rsidRDefault="00165EFB" w:rsidP="003A3B4A">
      <w:pPr>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 xml:space="preserve">(b) The frequency of adjacent voxel pairs for each region combination is accumulated to construct a 4×4 MSI matrix, which summarizes both the connected size of individual regions (diagonal elements) and the spatial interfaces between different regions (off-diagonal elements). A total of 22 MSI-derived features </w:t>
      </w:r>
      <w:r w:rsidR="00FC7BB6" w:rsidRPr="00DD0828">
        <w:rPr>
          <w:rFonts w:ascii="Times New Roman" w:hAnsi="Times New Roman" w:cs="Times New Roman" w:hint="eastAsia"/>
          <w:color w:val="000000" w:themeColor="text1"/>
          <w:sz w:val="15"/>
          <w:szCs w:val="15"/>
          <w:lang w:val="en-US"/>
        </w:rPr>
        <w:t>were</w:t>
      </w:r>
      <w:r w:rsidRPr="00DD0828">
        <w:rPr>
          <w:rFonts w:ascii="Times New Roman" w:hAnsi="Times New Roman" w:cs="Times New Roman"/>
          <w:color w:val="000000" w:themeColor="text1"/>
          <w:sz w:val="15"/>
          <w:szCs w:val="15"/>
          <w:lang w:val="en-US"/>
        </w:rPr>
        <w:t xml:space="preserve"> subsequently extracted from the MSI matrix to characterize spatial heterogeneity.</w:t>
      </w:r>
    </w:p>
    <w:p w14:paraId="0C25CD71" w14:textId="1A6A7398" w:rsidR="00165EFB" w:rsidRPr="00DD0828" w:rsidRDefault="00165EFB" w:rsidP="003A3B4A">
      <w:pPr>
        <w:rPr>
          <w:rFonts w:ascii="Times New Roman" w:hAnsi="Times New Roman" w:cs="Times New Roman"/>
          <w:color w:val="000000" w:themeColor="text1"/>
          <w:sz w:val="15"/>
          <w:szCs w:val="15"/>
          <w:lang w:val="en-US"/>
        </w:rPr>
      </w:pPr>
    </w:p>
    <w:p w14:paraId="541BC9E3" w14:textId="616382D2" w:rsidR="00857059" w:rsidRPr="00DD0828" w:rsidRDefault="00857059" w:rsidP="00857059">
      <w:pPr>
        <w:jc w:val="center"/>
        <w:rPr>
          <w:rFonts w:ascii="Times New Roman" w:hAnsi="Times New Roman" w:cs="Times New Roman"/>
          <w:color w:val="000000" w:themeColor="text1"/>
          <w:sz w:val="15"/>
          <w:szCs w:val="15"/>
        </w:rPr>
      </w:pPr>
      <w:r w:rsidRPr="00DD0828">
        <w:rPr>
          <w:rFonts w:ascii="Times New Roman" w:hAnsi="Times New Roman" w:cs="Times New Roman"/>
          <w:noProof/>
          <w:color w:val="000000" w:themeColor="text1"/>
          <w:sz w:val="15"/>
          <w:szCs w:val="15"/>
        </w:rPr>
        <w:drawing>
          <wp:inline distT="0" distB="0" distL="0" distR="0" wp14:anchorId="68C7CB9E" wp14:editId="6566CA75">
            <wp:extent cx="4049685" cy="3896586"/>
            <wp:effectExtent l="0" t="0" r="8255" b="8890"/>
            <wp:docPr id="1427463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2026" cy="3908460"/>
                    </a:xfrm>
                    <a:prstGeom prst="rect">
                      <a:avLst/>
                    </a:prstGeom>
                    <a:noFill/>
                  </pic:spPr>
                </pic:pic>
              </a:graphicData>
            </a:graphic>
          </wp:inline>
        </w:drawing>
      </w:r>
    </w:p>
    <w:p w14:paraId="45264FFA" w14:textId="166CF0AE" w:rsidR="00A930A5" w:rsidRPr="00DD0828" w:rsidRDefault="00A930A5" w:rsidP="00A930A5">
      <w:pPr>
        <w:rPr>
          <w:rFonts w:ascii="Times New Roman" w:hAnsi="Times New Roman" w:cs="Times New Roman"/>
          <w:b/>
          <w:bCs/>
          <w:color w:val="000000" w:themeColor="text1"/>
          <w:sz w:val="15"/>
          <w:szCs w:val="15"/>
        </w:rPr>
      </w:pPr>
      <w:r w:rsidRPr="00DD0828">
        <w:rPr>
          <w:rFonts w:ascii="Times New Roman" w:hAnsi="Times New Roman" w:cs="Times New Roman" w:hint="eastAsia"/>
          <w:b/>
          <w:bCs/>
          <w:color w:val="000000" w:themeColor="text1"/>
          <w:sz w:val="15"/>
          <w:szCs w:val="15"/>
        </w:rPr>
        <w:t>Figure E</w:t>
      </w:r>
      <w:r w:rsidR="00596AC4">
        <w:rPr>
          <w:rFonts w:ascii="Times New Roman" w:hAnsi="Times New Roman" w:cs="Times New Roman" w:hint="eastAsia"/>
          <w:b/>
          <w:bCs/>
          <w:color w:val="000000" w:themeColor="text1"/>
          <w:sz w:val="15"/>
          <w:szCs w:val="15"/>
        </w:rPr>
        <w:t>4</w:t>
      </w:r>
      <w:r w:rsidRPr="00DD0828">
        <w:rPr>
          <w:rFonts w:ascii="Times New Roman" w:hAnsi="Times New Roman" w:cs="Times New Roman" w:hint="eastAsia"/>
          <w:b/>
          <w:bCs/>
          <w:color w:val="000000" w:themeColor="text1"/>
          <w:sz w:val="15"/>
          <w:szCs w:val="15"/>
        </w:rPr>
        <w:t>. Stability Analysis of the Stable Feature</w:t>
      </w:r>
      <w:r w:rsidRPr="00DD0828">
        <w:rPr>
          <w:rFonts w:ascii="Times New Roman" w:hAnsi="Times New Roman" w:cs="Times New Roman" w:hint="eastAsia"/>
          <w:b/>
          <w:bCs/>
          <w:color w:val="000000" w:themeColor="text1"/>
          <w:sz w:val="15"/>
          <w:szCs w:val="15"/>
        </w:rPr>
        <w:t>–</w:t>
      </w:r>
      <w:r w:rsidRPr="00DD0828">
        <w:rPr>
          <w:rFonts w:ascii="Times New Roman" w:hAnsi="Times New Roman" w:cs="Times New Roman" w:hint="eastAsia"/>
          <w:b/>
          <w:bCs/>
          <w:color w:val="000000" w:themeColor="text1"/>
          <w:sz w:val="15"/>
          <w:szCs w:val="15"/>
        </w:rPr>
        <w:t>XGBoost Model in the Training and Testing Sets</w:t>
      </w:r>
    </w:p>
    <w:p w14:paraId="72751DF0" w14:textId="5C9241A1" w:rsidR="00857059" w:rsidRPr="00DD0828" w:rsidRDefault="00A930A5" w:rsidP="00A930A5">
      <w:pPr>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Scatter plots illustrating the predictive stability of the stable feature</w:t>
      </w:r>
      <w:r w:rsidRPr="00DD0828">
        <w:rPr>
          <w:rFonts w:ascii="Times New Roman" w:hAnsi="Times New Roman" w:cs="Times New Roman" w:hint="eastAsia"/>
          <w:color w:val="000000" w:themeColor="text1"/>
          <w:sz w:val="15"/>
          <w:szCs w:val="15"/>
        </w:rPr>
        <w:t>–</w:t>
      </w:r>
      <w:r w:rsidRPr="00DD0828">
        <w:rPr>
          <w:rFonts w:ascii="Times New Roman" w:hAnsi="Times New Roman" w:cs="Times New Roman" w:hint="eastAsia"/>
          <w:color w:val="000000" w:themeColor="text1"/>
          <w:sz w:val="15"/>
          <w:szCs w:val="15"/>
        </w:rPr>
        <w:t xml:space="preserve">XGBoost model across 50 repeated runs in the training set (top) and testing set (bottom). Each point represents the area under the receiver operating characteristic curve (AUC) obtained from </w:t>
      </w:r>
      <w:r w:rsidR="00BC3460" w:rsidRPr="00BC3460">
        <w:rPr>
          <w:rFonts w:ascii="Times New Roman" w:hAnsi="Times New Roman" w:cs="Times New Roman"/>
          <w:color w:val="000000" w:themeColor="text1"/>
          <w:sz w:val="15"/>
          <w:szCs w:val="15"/>
        </w:rPr>
        <w:t>one repeated random split</w:t>
      </w:r>
      <w:r w:rsidRPr="00DD0828">
        <w:rPr>
          <w:rFonts w:ascii="Times New Roman" w:hAnsi="Times New Roman" w:cs="Times New Roman" w:hint="eastAsia"/>
          <w:color w:val="000000" w:themeColor="text1"/>
          <w:sz w:val="15"/>
          <w:szCs w:val="15"/>
        </w:rPr>
        <w:t>. The model demonstrated consistently high predictive performance with limited variability across repeated experiments, indicating good robustness and reproducibility of the stability-driven feature selection strategy.</w:t>
      </w:r>
    </w:p>
    <w:p w14:paraId="6E1F123E" w14:textId="77777777" w:rsidR="00BD6D7A" w:rsidRPr="00DD0828" w:rsidRDefault="00BD6D7A" w:rsidP="003A3B4A">
      <w:pPr>
        <w:rPr>
          <w:rFonts w:ascii="Times New Roman" w:hAnsi="Times New Roman" w:cs="Times New Roman"/>
          <w:color w:val="000000" w:themeColor="text1"/>
          <w:sz w:val="15"/>
          <w:szCs w:val="15"/>
        </w:rPr>
      </w:pPr>
    </w:p>
    <w:p w14:paraId="2791C6BE" w14:textId="69407DCE" w:rsidR="00DF78DC" w:rsidRDefault="00DF78DC" w:rsidP="00D23249">
      <w:pPr>
        <w:rPr>
          <w:rFonts w:ascii="Times New Roman" w:hAnsi="Times New Roman" w:cs="Times New Roman"/>
          <w:b/>
          <w:bCs/>
          <w:color w:val="000000" w:themeColor="text1"/>
          <w:sz w:val="15"/>
          <w:szCs w:val="15"/>
        </w:rPr>
      </w:pPr>
      <w:r w:rsidRPr="00DD0828">
        <w:rPr>
          <w:rFonts w:ascii="Times New Roman" w:hAnsi="Times New Roman" w:cs="Times New Roman"/>
          <w:b/>
          <w:bCs/>
          <w:noProof/>
          <w:color w:val="000000" w:themeColor="text1"/>
          <w:sz w:val="15"/>
          <w:szCs w:val="15"/>
        </w:rPr>
        <w:drawing>
          <wp:anchor distT="0" distB="0" distL="114300" distR="114300" simplePos="0" relativeHeight="251663360" behindDoc="0" locked="0" layoutInCell="1" allowOverlap="1" wp14:anchorId="65C6403D" wp14:editId="0AFF413B">
            <wp:simplePos x="0" y="0"/>
            <wp:positionH relativeFrom="margin">
              <wp:posOffset>-41275</wp:posOffset>
            </wp:positionH>
            <wp:positionV relativeFrom="paragraph">
              <wp:posOffset>97790</wp:posOffset>
            </wp:positionV>
            <wp:extent cx="5015230" cy="3485515"/>
            <wp:effectExtent l="0" t="0" r="0" b="635"/>
            <wp:wrapTopAndBottom/>
            <wp:docPr id="16973481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48148"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15230" cy="3485515"/>
                    </a:xfrm>
                    <a:prstGeom prst="rect">
                      <a:avLst/>
                    </a:prstGeom>
                    <a:noFill/>
                  </pic:spPr>
                </pic:pic>
              </a:graphicData>
            </a:graphic>
            <wp14:sizeRelH relativeFrom="margin">
              <wp14:pctWidth>0</wp14:pctWidth>
            </wp14:sizeRelH>
            <wp14:sizeRelV relativeFrom="margin">
              <wp14:pctHeight>0</wp14:pctHeight>
            </wp14:sizeRelV>
          </wp:anchor>
        </w:drawing>
      </w:r>
      <w:r w:rsidRPr="00DD0828">
        <w:rPr>
          <w:rFonts w:ascii="Times New Roman" w:hAnsi="Times New Roman" w:cs="Times New Roman"/>
          <w:b/>
          <w:bCs/>
          <w:color w:val="000000" w:themeColor="text1"/>
          <w:sz w:val="15"/>
          <w:szCs w:val="15"/>
        </w:rPr>
        <w:t>Figure E</w:t>
      </w:r>
      <w:r w:rsidR="00596AC4">
        <w:rPr>
          <w:rFonts w:ascii="Times New Roman" w:hAnsi="Times New Roman" w:cs="Times New Roman" w:hint="eastAsia"/>
          <w:b/>
          <w:bCs/>
          <w:color w:val="000000" w:themeColor="text1"/>
          <w:sz w:val="15"/>
          <w:szCs w:val="15"/>
        </w:rPr>
        <w:t>5</w:t>
      </w:r>
      <w:r w:rsidR="00491DB2">
        <w:rPr>
          <w:rFonts w:ascii="Times New Roman" w:hAnsi="Times New Roman" w:cs="Times New Roman" w:hint="eastAsia"/>
          <w:b/>
          <w:bCs/>
          <w:color w:val="000000" w:themeColor="text1"/>
          <w:sz w:val="15"/>
          <w:szCs w:val="15"/>
        </w:rPr>
        <w:t>.</w:t>
      </w:r>
      <w:r w:rsidRPr="00DD0828">
        <w:rPr>
          <w:rFonts w:ascii="Times New Roman" w:hAnsi="Times New Roman" w:cs="Times New Roman"/>
          <w:b/>
          <w:bCs/>
          <w:color w:val="000000" w:themeColor="text1"/>
          <w:sz w:val="15"/>
          <w:szCs w:val="15"/>
        </w:rPr>
        <w:t xml:space="preserve"> Illustrations for the PI3K-AKT, RAS, TGF-β, and JAK-STAT signaling pathways</w:t>
      </w:r>
    </w:p>
    <w:p w14:paraId="7EA1B775" w14:textId="77777777" w:rsidR="00596AC4" w:rsidRPr="00596AC4" w:rsidRDefault="00596AC4" w:rsidP="00D23249">
      <w:pPr>
        <w:rPr>
          <w:rFonts w:ascii="Times New Roman" w:hAnsi="Times New Roman" w:cs="Times New Roman"/>
          <w:b/>
          <w:bCs/>
          <w:color w:val="000000" w:themeColor="text1"/>
          <w:sz w:val="15"/>
          <w:szCs w:val="15"/>
        </w:rPr>
      </w:pPr>
    </w:p>
    <w:p w14:paraId="1E823746" w14:textId="371092F9" w:rsidR="00DF78DC" w:rsidRPr="00DD0828" w:rsidRDefault="001A425C" w:rsidP="003A3B4A">
      <w:pPr>
        <w:rPr>
          <w:rFonts w:ascii="Times New Roman" w:hAnsi="Times New Roman" w:cs="Times New Roman"/>
          <w:color w:val="000000" w:themeColor="text1"/>
          <w:sz w:val="15"/>
          <w:szCs w:val="15"/>
        </w:rPr>
      </w:pPr>
      <w:r w:rsidRPr="00DD0828">
        <w:rPr>
          <w:rFonts w:ascii="Times New Roman" w:hAnsi="Times New Roman" w:cs="Times New Roman"/>
          <w:noProof/>
          <w:color w:val="000000" w:themeColor="text1"/>
          <w:sz w:val="15"/>
          <w:szCs w:val="15"/>
        </w:rPr>
        <w:drawing>
          <wp:inline distT="0" distB="0" distL="0" distR="0" wp14:anchorId="51AC5C07" wp14:editId="24F61C2F">
            <wp:extent cx="5246202" cy="1705519"/>
            <wp:effectExtent l="0" t="0" r="0" b="9525"/>
            <wp:docPr id="4852685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3759" cy="1711227"/>
                    </a:xfrm>
                    <a:prstGeom prst="rect">
                      <a:avLst/>
                    </a:prstGeom>
                    <a:noFill/>
                  </pic:spPr>
                </pic:pic>
              </a:graphicData>
            </a:graphic>
          </wp:inline>
        </w:drawing>
      </w:r>
    </w:p>
    <w:p w14:paraId="048F4084" w14:textId="2B77C396" w:rsidR="00DF78DC" w:rsidRPr="00DD0828" w:rsidRDefault="00DF78DC" w:rsidP="003A3B4A">
      <w:pPr>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t>Figure E</w:t>
      </w:r>
      <w:r w:rsidR="00596AC4">
        <w:rPr>
          <w:rFonts w:ascii="Times New Roman" w:hAnsi="Times New Roman" w:cs="Times New Roman" w:hint="eastAsia"/>
          <w:b/>
          <w:bCs/>
          <w:color w:val="000000" w:themeColor="text1"/>
          <w:sz w:val="15"/>
          <w:szCs w:val="15"/>
        </w:rPr>
        <w:t>6</w:t>
      </w:r>
      <w:r w:rsidR="00491DB2">
        <w:rPr>
          <w:rFonts w:ascii="Times New Roman" w:hAnsi="Times New Roman" w:cs="Times New Roman" w:hint="eastAsia"/>
          <w:b/>
          <w:bCs/>
          <w:color w:val="000000" w:themeColor="text1"/>
          <w:sz w:val="15"/>
          <w:szCs w:val="15"/>
        </w:rPr>
        <w:t>.</w:t>
      </w:r>
      <w:r w:rsidRPr="00DD0828">
        <w:rPr>
          <w:rFonts w:ascii="Times New Roman" w:hAnsi="Times New Roman" w:cs="Times New Roman"/>
          <w:b/>
          <w:bCs/>
          <w:color w:val="000000" w:themeColor="text1"/>
          <w:sz w:val="15"/>
          <w:szCs w:val="15"/>
        </w:rPr>
        <w:t xml:space="preserve"> Exploration of the Immune Microenvironment in NAC Response and Non-Response Groups</w:t>
      </w:r>
    </w:p>
    <w:p w14:paraId="06AAB164" w14:textId="41DFB661"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(a) Stromal score and immune score. (</w:t>
      </w:r>
      <w:r w:rsidR="001A425C" w:rsidRPr="00DD0828">
        <w:rPr>
          <w:rFonts w:ascii="Times New Roman" w:hAnsi="Times New Roman" w:cs="Times New Roman" w:hint="eastAsia"/>
          <w:color w:val="000000" w:themeColor="text1"/>
          <w:sz w:val="15"/>
          <w:szCs w:val="15"/>
        </w:rPr>
        <w:t>b</w:t>
      </w:r>
      <w:r w:rsidRPr="00DD0828">
        <w:rPr>
          <w:rFonts w:ascii="Times New Roman" w:hAnsi="Times New Roman" w:cs="Times New Roman"/>
          <w:color w:val="000000" w:themeColor="text1"/>
          <w:sz w:val="15"/>
          <w:szCs w:val="15"/>
        </w:rPr>
        <w:t>) CellMarker enrichment analysis confirming the activation of multiple T-cell immune-related pathways in the NAC-responsive group. (</w:t>
      </w:r>
      <w:r w:rsidR="001A425C" w:rsidRPr="00DD0828">
        <w:rPr>
          <w:rFonts w:ascii="Times New Roman" w:hAnsi="Times New Roman" w:cs="Times New Roman" w:hint="eastAsia"/>
          <w:color w:val="000000" w:themeColor="text1"/>
          <w:sz w:val="15"/>
          <w:szCs w:val="15"/>
        </w:rPr>
        <w:t>c</w:t>
      </w:r>
      <w:r w:rsidRPr="00DD0828">
        <w:rPr>
          <w:rFonts w:ascii="Times New Roman" w:hAnsi="Times New Roman" w:cs="Times New Roman"/>
          <w:color w:val="000000" w:themeColor="text1"/>
          <w:sz w:val="15"/>
          <w:szCs w:val="15"/>
        </w:rPr>
        <w:t>) Relationship between core genes and immune checkpoint inhibitors.</w:t>
      </w:r>
    </w:p>
    <w:p w14:paraId="5D640DF6" w14:textId="77777777" w:rsidR="00DF78DC" w:rsidRPr="00DD0828" w:rsidRDefault="00DF78DC" w:rsidP="003A3B4A">
      <w:pPr>
        <w:rPr>
          <w:rFonts w:ascii="Times New Roman" w:hAnsi="Times New Roman" w:cs="Times New Roman"/>
          <w:color w:val="000000" w:themeColor="text1"/>
          <w:sz w:val="15"/>
          <w:szCs w:val="15"/>
        </w:rPr>
      </w:pPr>
    </w:p>
    <w:p w14:paraId="62787EE4" w14:textId="77777777" w:rsidR="00DF78DC" w:rsidRPr="00DD0828" w:rsidRDefault="00DF78DC" w:rsidP="003A3B4A">
      <w:pPr>
        <w:keepNext/>
        <w:keepLines/>
        <w:outlineLvl w:val="0"/>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t>References</w:t>
      </w:r>
    </w:p>
    <w:p w14:paraId="43A8D994" w14:textId="77777777" w:rsidR="00DF78DC" w:rsidRPr="00DD0828" w:rsidRDefault="00DF78DC" w:rsidP="003A3B4A">
      <w:pPr>
        <w:rPr>
          <w:rStyle w:val="a3"/>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 xml:space="preserve">[1] Saha, A., Harowicz, M. R., Grimm, L. J., Weng, J., Cain, E. H., Kim, C. E., Ghate, S. V., Walsh, R., &amp; Mazurowski, M. A. (2021). Dynamic contrast-enhanced magnetic resonance images of breast cancer patients with tumor locations [Data set]. The Cancer Imaging Archive. </w:t>
      </w:r>
      <w:bookmarkStart w:id="4" w:name="_Hlk150248002"/>
      <w:r w:rsidRPr="00DD0828">
        <w:fldChar w:fldCharType="begin"/>
      </w:r>
      <w:r w:rsidRPr="00DD0828">
        <w:rPr>
          <w:rFonts w:ascii="Times New Roman" w:hAnsi="Times New Roman" w:cs="Times New Roman"/>
          <w:color w:val="000000" w:themeColor="text1"/>
          <w:sz w:val="15"/>
          <w:szCs w:val="15"/>
        </w:rPr>
        <w:instrText>HYPERLINK "https://doi.org/10.7937/TCIA.e3sv-re93"</w:instrText>
      </w:r>
      <w:r w:rsidRPr="00DD0828">
        <w:fldChar w:fldCharType="separate"/>
      </w:r>
      <w:r w:rsidRPr="00DD0828">
        <w:rPr>
          <w:rStyle w:val="a3"/>
          <w:rFonts w:ascii="Times New Roman" w:hAnsi="Times New Roman" w:cs="Times New Roman"/>
          <w:color w:val="000000" w:themeColor="text1"/>
          <w:sz w:val="15"/>
          <w:szCs w:val="15"/>
        </w:rPr>
        <w:t>https://doi.org/10.7937/TCIA.e3sv-re93</w:t>
      </w:r>
      <w:r w:rsidRPr="00DD0828">
        <w:rPr>
          <w:rStyle w:val="a3"/>
          <w:rFonts w:ascii="Times New Roman" w:hAnsi="Times New Roman" w:cs="Times New Roman"/>
          <w:color w:val="000000" w:themeColor="text1"/>
          <w:sz w:val="15"/>
          <w:szCs w:val="15"/>
        </w:rPr>
        <w:fldChar w:fldCharType="end"/>
      </w:r>
      <w:bookmarkEnd w:id="4"/>
    </w:p>
    <w:p w14:paraId="3FAFDA0F" w14:textId="77777777"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 xml:space="preserve">[2] David Newitt, Nola Hylton, on behalf of the I-SPY 1 Network and ACRIN 6657 Trial Team. (2016). Multi-center breast DCE-MRI data and segmentations from patients in the I-SPY 1/ACRIN 6657 trials. The Cancer Imaging Archive. </w:t>
      </w:r>
      <w:hyperlink r:id="rId14" w:history="1">
        <w:r w:rsidRPr="00DD0828">
          <w:rPr>
            <w:rStyle w:val="a3"/>
            <w:rFonts w:ascii="Times New Roman" w:hAnsi="Times New Roman" w:cs="Times New Roman"/>
            <w:color w:val="000000" w:themeColor="text1"/>
            <w:sz w:val="15"/>
            <w:szCs w:val="15"/>
          </w:rPr>
          <w:t>https://doi.org/10.7937/K9/TCIA.2016.HdHpgJLK</w:t>
        </w:r>
      </w:hyperlink>
    </w:p>
    <w:p w14:paraId="584D3C60" w14:textId="77777777"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 xml:space="preserve">[3] Clark K, Vendt B, Smith K, Freymann J, Kirby J, Koppel P, Moore S, Phillips S, Maffitt D, Pringle M, Tarbox L, Prior F. The Cancer Imaging Archive (TCIA): Maintaining and Operating a Public Information Repository, Journal of Digital Imaging, Volume 26, Number 6, December, 2013, pp 1045-1057. </w:t>
      </w:r>
      <w:bookmarkStart w:id="5" w:name="_Hlk150247850"/>
      <w:r w:rsidRPr="00DD0828">
        <w:fldChar w:fldCharType="begin"/>
      </w:r>
      <w:r w:rsidRPr="00DD0828">
        <w:rPr>
          <w:rFonts w:ascii="Times New Roman" w:hAnsi="Times New Roman" w:cs="Times New Roman"/>
          <w:color w:val="000000" w:themeColor="text1"/>
          <w:sz w:val="15"/>
          <w:szCs w:val="15"/>
        </w:rPr>
        <w:instrText>HYPERLINK "https://doi.org/10.1007/s10278-013-9622-7"</w:instrText>
      </w:r>
      <w:r w:rsidRPr="00DD0828">
        <w:fldChar w:fldCharType="separate"/>
      </w:r>
      <w:r w:rsidRPr="00DD0828">
        <w:rPr>
          <w:rStyle w:val="a3"/>
          <w:rFonts w:ascii="Times New Roman" w:hAnsi="Times New Roman" w:cs="Times New Roman"/>
          <w:color w:val="000000" w:themeColor="text1"/>
          <w:sz w:val="15"/>
          <w:szCs w:val="15"/>
        </w:rPr>
        <w:t>https://doi.org/10.1007/s10278-013-9622-7</w:t>
      </w:r>
      <w:r w:rsidRPr="00DD0828">
        <w:rPr>
          <w:rStyle w:val="a3"/>
          <w:rFonts w:ascii="Times New Roman" w:hAnsi="Times New Roman" w:cs="Times New Roman"/>
          <w:color w:val="000000" w:themeColor="text1"/>
          <w:sz w:val="15"/>
          <w:szCs w:val="15"/>
        </w:rPr>
        <w:fldChar w:fldCharType="end"/>
      </w:r>
      <w:bookmarkEnd w:id="5"/>
    </w:p>
    <w:p w14:paraId="2612214B" w14:textId="77777777"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lastRenderedPageBreak/>
        <w:t>[4] Isensee F, Jaeger P F, Kohl S, et al. nnU-Net: a self-configuring method for deep learning-based biomedical image segmentation [J]. Nature Methods, 2021, 18(2): 203-211.</w:t>
      </w:r>
    </w:p>
    <w:p w14:paraId="2093FBBC" w14:textId="77777777"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[5] Al Shalabi L., Shaaban Z., Kasasbeh B. Data mining: A preprocessing engine[J]. Journal of Computer Science, 2006, 2(9): 735-739.</w:t>
      </w:r>
    </w:p>
    <w:p w14:paraId="682D2BB1" w14:textId="77777777"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[6] Koo TK, Li MY. A Guideline of Selecting and Reporting Intraclass Correlation Coefficients for Reliability Research. J Chiropr Med. 2016 Jun;15(2):155-63.</w:t>
      </w:r>
    </w:p>
    <w:p w14:paraId="31CD7B5B" w14:textId="4166694E" w:rsidR="00382AB6" w:rsidRPr="00DD0828" w:rsidRDefault="00382AB6" w:rsidP="003A3B4A">
      <w:pPr>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 xml:space="preserve">[7] </w:t>
      </w:r>
      <w:r w:rsidRPr="00DD0828">
        <w:rPr>
          <w:rFonts w:ascii="Times New Roman" w:hAnsi="Times New Roman" w:cs="Times New Roman"/>
          <w:color w:val="000000" w:themeColor="text1"/>
          <w:sz w:val="15"/>
          <w:szCs w:val="15"/>
        </w:rPr>
        <w:t>Jiang L, You C, Xiao Y</w:t>
      </w:r>
      <w:r w:rsidRPr="00DD0828">
        <w:rPr>
          <w:rFonts w:ascii="Times New Roman" w:hAnsi="Times New Roman" w:cs="Times New Roman" w:hint="eastAsia"/>
          <w:color w:val="000000" w:themeColor="text1"/>
          <w:sz w:val="15"/>
          <w:szCs w:val="15"/>
        </w:rPr>
        <w:t xml:space="preserve"> et al</w:t>
      </w:r>
      <w:r w:rsidRPr="00DD0828">
        <w:rPr>
          <w:rFonts w:ascii="Times New Roman" w:hAnsi="Times New Roman" w:cs="Times New Roman"/>
          <w:color w:val="000000" w:themeColor="text1"/>
          <w:sz w:val="15"/>
          <w:szCs w:val="15"/>
        </w:rPr>
        <w:t>. Radiogenomic analysis reveals tumor heterogeneity of triple-negative breast cancer. Cell Rep Med. 2022 Jul 19;3(7):100694. </w:t>
      </w:r>
    </w:p>
    <w:p w14:paraId="00DC23BD" w14:textId="346A44A3"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w:t>
      </w:r>
      <w:r w:rsidR="00382AB6" w:rsidRPr="00DD0828">
        <w:rPr>
          <w:rFonts w:ascii="Times New Roman" w:hAnsi="Times New Roman" w:cs="Times New Roman" w:hint="eastAsia"/>
          <w:color w:val="000000" w:themeColor="text1"/>
          <w:sz w:val="15"/>
          <w:szCs w:val="15"/>
        </w:rPr>
        <w:t>8</w:t>
      </w:r>
      <w:r w:rsidRPr="00DD0828">
        <w:rPr>
          <w:rFonts w:ascii="Times New Roman" w:hAnsi="Times New Roman" w:cs="Times New Roman"/>
          <w:color w:val="000000" w:themeColor="text1"/>
          <w:sz w:val="15"/>
          <w:szCs w:val="15"/>
        </w:rPr>
        <w:t>] Wu J, Gong G, Cui Y, et al. Intratumor partitioning and texture analysis of dynamic contrast-enhanced (DCE)-MRI identifies relevant tumor subregions to predict pathological response of breast cancer to neoadjuvant chemotherapy. J Magn Reson Imaging. 2016 Nov;44(5):1107-111</w:t>
      </w:r>
      <w:r w:rsidR="007C2CB3">
        <w:rPr>
          <w:rFonts w:ascii="Times New Roman" w:hAnsi="Times New Roman" w:cs="Times New Roman" w:hint="eastAsia"/>
          <w:color w:val="000000" w:themeColor="text1"/>
          <w:sz w:val="15"/>
          <w:szCs w:val="15"/>
        </w:rPr>
        <w:t>1</w:t>
      </w:r>
      <w:r w:rsidRPr="00DD0828">
        <w:rPr>
          <w:rFonts w:ascii="Times New Roman" w:hAnsi="Times New Roman" w:cs="Times New Roman"/>
          <w:color w:val="000000" w:themeColor="text1"/>
          <w:sz w:val="15"/>
          <w:szCs w:val="15"/>
        </w:rPr>
        <w:t>.</w:t>
      </w:r>
    </w:p>
    <w:p w14:paraId="1853C4C8" w14:textId="17B9E05A"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w:t>
      </w:r>
      <w:r w:rsidR="00382AB6" w:rsidRPr="00DD0828">
        <w:rPr>
          <w:rFonts w:ascii="Times New Roman" w:hAnsi="Times New Roman" w:cs="Times New Roman" w:hint="eastAsia"/>
          <w:color w:val="000000" w:themeColor="text1"/>
          <w:sz w:val="15"/>
          <w:szCs w:val="15"/>
        </w:rPr>
        <w:t>9</w:t>
      </w:r>
      <w:r w:rsidRPr="00DD0828">
        <w:rPr>
          <w:rFonts w:ascii="Times New Roman" w:hAnsi="Times New Roman" w:cs="Times New Roman"/>
          <w:color w:val="000000" w:themeColor="text1"/>
          <w:sz w:val="15"/>
          <w:szCs w:val="15"/>
        </w:rPr>
        <w:t>] Wu J, Cao G, Sun X, et al. Intratumoral Spatial Heterogeneity at Perfusion MR Imaging Predicts Recurrence-free Survival in Locally Advanced Breast Cancer Treated with Neoadjuvant Chemotherapy. Radiology. 2018 Jul;288(1):26-35.</w:t>
      </w:r>
    </w:p>
    <w:p w14:paraId="60B0EC32" w14:textId="7127F3F4"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[1</w:t>
      </w:r>
      <w:r w:rsidR="003514E1" w:rsidRPr="00DD0828">
        <w:rPr>
          <w:rFonts w:ascii="Times New Roman" w:hAnsi="Times New Roman" w:cs="Times New Roman" w:hint="eastAsia"/>
          <w:color w:val="000000" w:themeColor="text1"/>
          <w:sz w:val="15"/>
          <w:szCs w:val="15"/>
        </w:rPr>
        <w:t>0</w:t>
      </w:r>
      <w:r w:rsidRPr="00DD0828">
        <w:rPr>
          <w:rFonts w:ascii="Times New Roman" w:hAnsi="Times New Roman" w:cs="Times New Roman"/>
          <w:color w:val="000000" w:themeColor="text1"/>
          <w:sz w:val="15"/>
          <w:szCs w:val="15"/>
        </w:rPr>
        <w:t>] Zwanenburg A, Vallières M, Abdalah MA, et al. The Image Biomarker Standardization Initiative: Standardized Quantitative Radiomics for High-Throughput Image-based Phenotyping. Radiology. 2020 May;295(2):328-338.</w:t>
      </w:r>
    </w:p>
    <w:p w14:paraId="158D7628" w14:textId="6FBFD569" w:rsidR="00DF78DC" w:rsidRPr="00DD0828" w:rsidRDefault="00DF78DC"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[1</w:t>
      </w:r>
      <w:r w:rsidR="003514E1" w:rsidRPr="00DD0828">
        <w:rPr>
          <w:rFonts w:ascii="Times New Roman" w:hAnsi="Times New Roman" w:cs="Times New Roman" w:hint="eastAsia"/>
          <w:color w:val="000000" w:themeColor="text1"/>
          <w:sz w:val="15"/>
          <w:szCs w:val="15"/>
        </w:rPr>
        <w:t>1</w:t>
      </w:r>
      <w:r w:rsidRPr="00DD0828">
        <w:rPr>
          <w:rFonts w:ascii="Times New Roman" w:hAnsi="Times New Roman" w:cs="Times New Roman"/>
          <w:color w:val="000000" w:themeColor="text1"/>
          <w:sz w:val="15"/>
          <w:szCs w:val="15"/>
        </w:rPr>
        <w:t>] Jin X, Zhou YF, Ma D, et al. Molecular classification of hormone receptor-positive HER2-negative breast cancer. Nat Genet. 2023 Oct;55(10):1696-1708.</w:t>
      </w:r>
    </w:p>
    <w:p w14:paraId="6EFA8B36" w14:textId="77777777" w:rsidR="00DF78DC" w:rsidRPr="00DD0828" w:rsidRDefault="00DF78DC" w:rsidP="003A3B4A">
      <w:pPr>
        <w:widowControl/>
        <w:jc w:val="left"/>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br w:type="page"/>
      </w:r>
    </w:p>
    <w:p w14:paraId="1CBB76AE" w14:textId="77777777" w:rsidR="00DF78DC" w:rsidRPr="00DD0828" w:rsidRDefault="00DF78DC" w:rsidP="003A3B4A">
      <w:pPr>
        <w:jc w:val="center"/>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lastRenderedPageBreak/>
        <w:t>Supplemental Tables</w:t>
      </w:r>
    </w:p>
    <w:p w14:paraId="5EC49F97" w14:textId="083AACE2" w:rsidR="00DF78DC" w:rsidRPr="00DD0828" w:rsidRDefault="00986EF2" w:rsidP="003A3B4A">
      <w:pPr>
        <w:rPr>
          <w:rFonts w:ascii="Times New Roman" w:hAnsi="Times New Roman" w:cs="Times New Roman"/>
          <w:b/>
          <w:bCs/>
          <w:color w:val="000000" w:themeColor="text1"/>
          <w:sz w:val="15"/>
          <w:szCs w:val="15"/>
        </w:rPr>
      </w:pPr>
      <w:r w:rsidRPr="00DD0828">
        <w:rPr>
          <w:rFonts w:ascii="Times New Roman" w:hAnsi="Times New Roman" w:cs="Times New Roman"/>
          <w:b/>
          <w:bCs/>
          <w:color w:val="000000" w:themeColor="text1"/>
          <w:sz w:val="15"/>
          <w:szCs w:val="15"/>
        </w:rPr>
        <w:t>Table E1. Calinsk</w:t>
      </w:r>
      <w:r w:rsidR="00BC3460">
        <w:rPr>
          <w:rFonts w:ascii="Times New Roman" w:hAnsi="Times New Roman" w:cs="Times New Roman" w:hint="eastAsia"/>
          <w:b/>
          <w:bCs/>
          <w:color w:val="000000" w:themeColor="text1"/>
          <w:sz w:val="15"/>
          <w:szCs w:val="15"/>
        </w:rPr>
        <w:t>i</w:t>
      </w:r>
      <w:r w:rsidRPr="00DD0828">
        <w:rPr>
          <w:rFonts w:ascii="Times New Roman" w:hAnsi="Times New Roman" w:cs="Times New Roman" w:hint="eastAsia"/>
          <w:b/>
          <w:bCs/>
          <w:color w:val="000000" w:themeColor="text1"/>
          <w:sz w:val="15"/>
          <w:szCs w:val="15"/>
        </w:rPr>
        <w:t>-</w:t>
      </w:r>
      <w:r w:rsidRPr="00DD0828">
        <w:rPr>
          <w:rFonts w:ascii="Times New Roman" w:hAnsi="Times New Roman" w:cs="Times New Roman"/>
          <w:b/>
          <w:bCs/>
          <w:color w:val="000000" w:themeColor="text1"/>
          <w:sz w:val="15"/>
          <w:szCs w:val="15"/>
        </w:rPr>
        <w:t>Harabasz index for different numbers of clusters (k) in the development and external validation cohorts.</w:t>
      </w:r>
    </w:p>
    <w:tbl>
      <w:tblPr>
        <w:tblStyle w:val="11"/>
        <w:tblW w:w="6928" w:type="dxa"/>
        <w:tblLook w:val="04A0" w:firstRow="1" w:lastRow="0" w:firstColumn="1" w:lastColumn="0" w:noHBand="0" w:noVBand="1"/>
      </w:tblPr>
      <w:tblGrid>
        <w:gridCol w:w="683"/>
        <w:gridCol w:w="3445"/>
        <w:gridCol w:w="2800"/>
      </w:tblGrid>
      <w:tr w:rsidR="00C52D15" w:rsidRPr="00DD0828" w14:paraId="60A44AE7" w14:textId="77777777" w:rsidTr="00154353">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0" w:type="auto"/>
            <w:hideMark/>
          </w:tcPr>
          <w:p w14:paraId="34AF1062" w14:textId="77777777" w:rsidR="00C52D15" w:rsidRPr="00DD0828" w:rsidRDefault="00C52D15" w:rsidP="003A3B4A">
            <w:pPr>
              <w:widowControl/>
              <w:jc w:val="left"/>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k</w:t>
            </w:r>
          </w:p>
        </w:tc>
        <w:tc>
          <w:tcPr>
            <w:tcW w:w="0" w:type="auto"/>
            <w:hideMark/>
          </w:tcPr>
          <w:p w14:paraId="3B144EF4" w14:textId="77777777" w:rsidR="00C52D15" w:rsidRPr="00DD0828" w:rsidRDefault="00C52D15" w:rsidP="003A3B4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Development cohort</w:t>
            </w:r>
          </w:p>
        </w:tc>
        <w:tc>
          <w:tcPr>
            <w:tcW w:w="0" w:type="auto"/>
            <w:hideMark/>
          </w:tcPr>
          <w:p w14:paraId="1525A7D5" w14:textId="77777777" w:rsidR="00C52D15" w:rsidRPr="00DD0828" w:rsidRDefault="00C52D15" w:rsidP="003A3B4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External cohort</w:t>
            </w:r>
          </w:p>
        </w:tc>
      </w:tr>
      <w:tr w:rsidR="00C52D15" w:rsidRPr="00DD0828" w14:paraId="2DD77EA8" w14:textId="77777777" w:rsidTr="00154353">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0" w:type="auto"/>
            <w:hideMark/>
          </w:tcPr>
          <w:p w14:paraId="19DA666C" w14:textId="77777777" w:rsidR="00C52D15" w:rsidRPr="00DD0828" w:rsidRDefault="00C52D15" w:rsidP="003A3B4A">
            <w:pPr>
              <w:widowControl/>
              <w:jc w:val="left"/>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w:t>
            </w:r>
          </w:p>
        </w:tc>
        <w:tc>
          <w:tcPr>
            <w:tcW w:w="0" w:type="auto"/>
            <w:hideMark/>
          </w:tcPr>
          <w:p w14:paraId="6A98034A"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36,482.51</w:t>
            </w:r>
          </w:p>
        </w:tc>
        <w:tc>
          <w:tcPr>
            <w:tcW w:w="0" w:type="auto"/>
            <w:hideMark/>
          </w:tcPr>
          <w:p w14:paraId="64C327B7"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24,816.37</w:t>
            </w:r>
          </w:p>
        </w:tc>
      </w:tr>
      <w:tr w:rsidR="00C52D15" w:rsidRPr="00DD0828" w14:paraId="5AE59053" w14:textId="77777777" w:rsidTr="00154353">
        <w:trPr>
          <w:trHeight w:val="343"/>
        </w:trPr>
        <w:tc>
          <w:tcPr>
            <w:cnfStyle w:val="001000000000" w:firstRow="0" w:lastRow="0" w:firstColumn="1" w:lastColumn="0" w:oddVBand="0" w:evenVBand="0" w:oddHBand="0" w:evenHBand="0" w:firstRowFirstColumn="0" w:firstRowLastColumn="0" w:lastRowFirstColumn="0" w:lastRowLastColumn="0"/>
            <w:tcW w:w="0" w:type="auto"/>
            <w:hideMark/>
          </w:tcPr>
          <w:p w14:paraId="3F22D171" w14:textId="77777777" w:rsidR="00C52D15" w:rsidRPr="005D0EDB" w:rsidRDefault="00C52D15" w:rsidP="003A3B4A">
            <w:pPr>
              <w:widowControl/>
              <w:jc w:val="left"/>
              <w:rPr>
                <w:rFonts w:ascii="Times New Roman" w:hAnsi="Times New Roman" w:cs="Times New Roman"/>
                <w:b w:val="0"/>
                <w:bCs w:val="0"/>
                <w:color w:val="000000" w:themeColor="text1"/>
                <w:sz w:val="15"/>
                <w:szCs w:val="15"/>
                <w:lang w:val="en-US"/>
              </w:rPr>
            </w:pPr>
            <w:r w:rsidRPr="005D0EDB">
              <w:rPr>
                <w:rFonts w:ascii="Times New Roman" w:hAnsi="Times New Roman" w:cs="Times New Roman"/>
                <w:b w:val="0"/>
                <w:bCs w:val="0"/>
                <w:color w:val="000000" w:themeColor="text1"/>
                <w:sz w:val="15"/>
                <w:szCs w:val="15"/>
                <w:lang w:val="en-US"/>
              </w:rPr>
              <w:t>3</w:t>
            </w:r>
          </w:p>
        </w:tc>
        <w:tc>
          <w:tcPr>
            <w:tcW w:w="0" w:type="auto"/>
            <w:hideMark/>
          </w:tcPr>
          <w:p w14:paraId="35C9B0CC" w14:textId="0FF0C665" w:rsidR="00C52D15" w:rsidRPr="005D0EDB" w:rsidRDefault="00C52D15"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5D0EDB">
              <w:rPr>
                <w:rFonts w:ascii="Times New Roman" w:hAnsi="Times New Roman" w:cs="Times New Roman"/>
                <w:color w:val="000000" w:themeColor="text1"/>
                <w:sz w:val="15"/>
                <w:szCs w:val="15"/>
                <w:lang w:val="en-US"/>
              </w:rPr>
              <w:t>42,965.84</w:t>
            </w:r>
          </w:p>
        </w:tc>
        <w:tc>
          <w:tcPr>
            <w:tcW w:w="0" w:type="auto"/>
            <w:hideMark/>
          </w:tcPr>
          <w:p w14:paraId="1590464C" w14:textId="22F7C30C" w:rsidR="00C52D15" w:rsidRPr="005D0EDB" w:rsidRDefault="00C52D15"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5D0EDB">
              <w:rPr>
                <w:rFonts w:ascii="Times New Roman" w:hAnsi="Times New Roman" w:cs="Times New Roman"/>
                <w:color w:val="000000" w:themeColor="text1"/>
                <w:sz w:val="15"/>
                <w:szCs w:val="15"/>
                <w:lang w:val="en-US"/>
              </w:rPr>
              <w:t>29,473.62</w:t>
            </w:r>
          </w:p>
        </w:tc>
      </w:tr>
      <w:tr w:rsidR="00C52D15" w:rsidRPr="00DD0828" w14:paraId="4E400128" w14:textId="77777777" w:rsidTr="00154353">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0" w:type="auto"/>
            <w:hideMark/>
          </w:tcPr>
          <w:p w14:paraId="33DE9B44" w14:textId="77777777" w:rsidR="00C52D15" w:rsidRPr="00DD0828" w:rsidRDefault="00C52D15" w:rsidP="003A3B4A">
            <w:pPr>
              <w:widowControl/>
              <w:jc w:val="left"/>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4</w:t>
            </w:r>
          </w:p>
        </w:tc>
        <w:tc>
          <w:tcPr>
            <w:tcW w:w="0" w:type="auto"/>
            <w:hideMark/>
          </w:tcPr>
          <w:p w14:paraId="7DF754BE"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39,218.76</w:t>
            </w:r>
          </w:p>
        </w:tc>
        <w:tc>
          <w:tcPr>
            <w:tcW w:w="0" w:type="auto"/>
            <w:hideMark/>
          </w:tcPr>
          <w:p w14:paraId="147B0373"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26,905.44</w:t>
            </w:r>
          </w:p>
        </w:tc>
      </w:tr>
      <w:tr w:rsidR="00C52D15" w:rsidRPr="00DD0828" w14:paraId="03045BAD" w14:textId="77777777" w:rsidTr="00154353">
        <w:trPr>
          <w:trHeight w:val="336"/>
        </w:trPr>
        <w:tc>
          <w:tcPr>
            <w:cnfStyle w:val="001000000000" w:firstRow="0" w:lastRow="0" w:firstColumn="1" w:lastColumn="0" w:oddVBand="0" w:evenVBand="0" w:oddHBand="0" w:evenHBand="0" w:firstRowFirstColumn="0" w:firstRowLastColumn="0" w:lastRowFirstColumn="0" w:lastRowLastColumn="0"/>
            <w:tcW w:w="0" w:type="auto"/>
            <w:hideMark/>
          </w:tcPr>
          <w:p w14:paraId="08794615" w14:textId="77777777" w:rsidR="00C52D15" w:rsidRPr="00DD0828" w:rsidRDefault="00C52D15" w:rsidP="003A3B4A">
            <w:pPr>
              <w:widowControl/>
              <w:jc w:val="left"/>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5</w:t>
            </w:r>
          </w:p>
        </w:tc>
        <w:tc>
          <w:tcPr>
            <w:tcW w:w="0" w:type="auto"/>
            <w:hideMark/>
          </w:tcPr>
          <w:p w14:paraId="2F825258" w14:textId="77777777" w:rsidR="00C52D15" w:rsidRPr="00DD0828" w:rsidRDefault="00C52D15"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35,742.93</w:t>
            </w:r>
          </w:p>
        </w:tc>
        <w:tc>
          <w:tcPr>
            <w:tcW w:w="0" w:type="auto"/>
            <w:hideMark/>
          </w:tcPr>
          <w:p w14:paraId="359DD515" w14:textId="77777777" w:rsidR="00C52D15" w:rsidRPr="00DD0828" w:rsidRDefault="00C52D15"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24,381.58</w:t>
            </w:r>
          </w:p>
        </w:tc>
      </w:tr>
      <w:tr w:rsidR="00C52D15" w:rsidRPr="00DD0828" w14:paraId="3FF3F959" w14:textId="77777777" w:rsidTr="00154353">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0" w:type="auto"/>
            <w:hideMark/>
          </w:tcPr>
          <w:p w14:paraId="593DB58B" w14:textId="77777777" w:rsidR="00C52D15" w:rsidRPr="00DD0828" w:rsidRDefault="00C52D15" w:rsidP="003A3B4A">
            <w:pPr>
              <w:widowControl/>
              <w:jc w:val="left"/>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6</w:t>
            </w:r>
          </w:p>
        </w:tc>
        <w:tc>
          <w:tcPr>
            <w:tcW w:w="0" w:type="auto"/>
            <w:hideMark/>
          </w:tcPr>
          <w:p w14:paraId="2F6A6A18"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33,105.27</w:t>
            </w:r>
          </w:p>
        </w:tc>
        <w:tc>
          <w:tcPr>
            <w:tcW w:w="0" w:type="auto"/>
            <w:hideMark/>
          </w:tcPr>
          <w:p w14:paraId="2074E7F9"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22,764.19</w:t>
            </w:r>
          </w:p>
        </w:tc>
      </w:tr>
      <w:tr w:rsidR="00C52D15" w:rsidRPr="00DD0828" w14:paraId="5251792F" w14:textId="77777777" w:rsidTr="00154353">
        <w:trPr>
          <w:trHeight w:val="336"/>
        </w:trPr>
        <w:tc>
          <w:tcPr>
            <w:cnfStyle w:val="001000000000" w:firstRow="0" w:lastRow="0" w:firstColumn="1" w:lastColumn="0" w:oddVBand="0" w:evenVBand="0" w:oddHBand="0" w:evenHBand="0" w:firstRowFirstColumn="0" w:firstRowLastColumn="0" w:lastRowFirstColumn="0" w:lastRowLastColumn="0"/>
            <w:tcW w:w="0" w:type="auto"/>
            <w:hideMark/>
          </w:tcPr>
          <w:p w14:paraId="0DB1A686" w14:textId="77777777" w:rsidR="00C52D15" w:rsidRPr="00DD0828" w:rsidRDefault="00C52D15" w:rsidP="003A3B4A">
            <w:pPr>
              <w:widowControl/>
              <w:jc w:val="left"/>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7</w:t>
            </w:r>
          </w:p>
        </w:tc>
        <w:tc>
          <w:tcPr>
            <w:tcW w:w="0" w:type="auto"/>
            <w:hideMark/>
          </w:tcPr>
          <w:p w14:paraId="734E1853" w14:textId="77777777" w:rsidR="00C52D15" w:rsidRPr="00DD0828" w:rsidRDefault="00C52D15"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31,486.65</w:t>
            </w:r>
          </w:p>
        </w:tc>
        <w:tc>
          <w:tcPr>
            <w:tcW w:w="0" w:type="auto"/>
            <w:hideMark/>
          </w:tcPr>
          <w:p w14:paraId="16082A75" w14:textId="77777777" w:rsidR="00C52D15" w:rsidRPr="00DD0828" w:rsidRDefault="00C52D15"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21,593.47</w:t>
            </w:r>
          </w:p>
        </w:tc>
      </w:tr>
      <w:tr w:rsidR="00C52D15" w:rsidRPr="00DD0828" w14:paraId="3B364E00" w14:textId="77777777" w:rsidTr="00154353">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0" w:type="auto"/>
            <w:hideMark/>
          </w:tcPr>
          <w:p w14:paraId="1AA2E023" w14:textId="77777777" w:rsidR="00C52D15" w:rsidRPr="00DD0828" w:rsidRDefault="00C52D15" w:rsidP="003A3B4A">
            <w:pPr>
              <w:widowControl/>
              <w:jc w:val="left"/>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8</w:t>
            </w:r>
          </w:p>
        </w:tc>
        <w:tc>
          <w:tcPr>
            <w:tcW w:w="0" w:type="auto"/>
            <w:hideMark/>
          </w:tcPr>
          <w:p w14:paraId="757D4CF1"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30,274.18</w:t>
            </w:r>
          </w:p>
        </w:tc>
        <w:tc>
          <w:tcPr>
            <w:tcW w:w="0" w:type="auto"/>
            <w:hideMark/>
          </w:tcPr>
          <w:p w14:paraId="62FDBC86" w14:textId="77777777" w:rsidR="00C52D15" w:rsidRPr="00DD0828" w:rsidRDefault="00C52D15"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20,806.31</w:t>
            </w:r>
          </w:p>
        </w:tc>
      </w:tr>
    </w:tbl>
    <w:p w14:paraId="2EE4DB5D" w14:textId="44D0DEF1" w:rsidR="00986EF2" w:rsidRPr="00DD0828" w:rsidRDefault="00C52D15" w:rsidP="003A3B4A">
      <w:pPr>
        <w:widowControl/>
        <w:jc w:val="left"/>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The Calinski</w:t>
      </w:r>
      <w:r w:rsidR="003B2651" w:rsidRPr="00DD0828">
        <w:rPr>
          <w:rFonts w:ascii="Times New Roman" w:hAnsi="Times New Roman" w:cs="Times New Roman" w:hint="eastAsia"/>
          <w:color w:val="000000" w:themeColor="text1"/>
          <w:sz w:val="15"/>
          <w:szCs w:val="15"/>
        </w:rPr>
        <w:t>-</w:t>
      </w:r>
      <w:r w:rsidRPr="00DD0828">
        <w:rPr>
          <w:rFonts w:ascii="Times New Roman" w:hAnsi="Times New Roman" w:cs="Times New Roman"/>
          <w:color w:val="000000" w:themeColor="text1"/>
          <w:sz w:val="15"/>
          <w:szCs w:val="15"/>
        </w:rPr>
        <w:t>Harabasz index reached its maximum at k=3 in both the development and external cohorts.</w:t>
      </w:r>
    </w:p>
    <w:p w14:paraId="06D3AC75" w14:textId="77777777" w:rsidR="00D55850" w:rsidRPr="00DD0828" w:rsidRDefault="00D55850" w:rsidP="003A3B4A">
      <w:pPr>
        <w:widowControl/>
        <w:jc w:val="left"/>
        <w:rPr>
          <w:rFonts w:ascii="Times New Roman" w:hAnsi="Times New Roman" w:cs="Times New Roman"/>
          <w:color w:val="000000" w:themeColor="text1"/>
          <w:sz w:val="15"/>
          <w:szCs w:val="15"/>
        </w:rPr>
      </w:pPr>
    </w:p>
    <w:p w14:paraId="110D10B3" w14:textId="77777777" w:rsidR="00D55850" w:rsidRPr="00DD0828" w:rsidRDefault="00D55850" w:rsidP="003A3B4A">
      <w:pPr>
        <w:widowControl/>
        <w:jc w:val="left"/>
        <w:rPr>
          <w:rFonts w:ascii="Times New Roman" w:hAnsi="Times New Roman" w:cs="Times New Roman"/>
          <w:b/>
          <w:bCs/>
          <w:color w:val="000000" w:themeColor="text1"/>
          <w:sz w:val="15"/>
          <w:szCs w:val="15"/>
        </w:rPr>
      </w:pPr>
      <w:r w:rsidRPr="00DD0828">
        <w:rPr>
          <w:rFonts w:ascii="Times New Roman" w:eastAsia="等线" w:hAnsi="Times New Roman" w:cs="Times New Roman"/>
          <w:b/>
          <w:bCs/>
          <w:color w:val="000000" w:themeColor="text1"/>
          <w:kern w:val="0"/>
          <w:sz w:val="15"/>
          <w:szCs w:val="15"/>
        </w:rPr>
        <w:t>Table E</w:t>
      </w:r>
      <w:r w:rsidRPr="00DD0828">
        <w:rPr>
          <w:rFonts w:ascii="Times New Roman" w:eastAsia="等线" w:hAnsi="Times New Roman" w:cs="Times New Roman" w:hint="eastAsia"/>
          <w:b/>
          <w:bCs/>
          <w:color w:val="000000" w:themeColor="text1"/>
          <w:kern w:val="0"/>
          <w:sz w:val="15"/>
          <w:szCs w:val="15"/>
        </w:rPr>
        <w:t>2</w:t>
      </w:r>
      <w:r w:rsidRPr="00DD0828">
        <w:rPr>
          <w:rFonts w:ascii="Times New Roman" w:eastAsia="等线" w:hAnsi="Times New Roman" w:cs="Times New Roman"/>
          <w:b/>
          <w:bCs/>
          <w:color w:val="000000" w:themeColor="text1"/>
          <w:kern w:val="0"/>
          <w:sz w:val="15"/>
          <w:szCs w:val="15"/>
        </w:rPr>
        <w:t>. The eight wavelet filter configurations</w:t>
      </w:r>
      <w:r w:rsidRPr="00DD0828">
        <w:rPr>
          <w:rFonts w:ascii="Times New Roman" w:eastAsia="等线" w:hAnsi="Times New Roman" w:cs="Times New Roman" w:hint="eastAsia"/>
          <w:b/>
          <w:bCs/>
          <w:color w:val="000000" w:themeColor="text1"/>
          <w:kern w:val="0"/>
          <w:sz w:val="15"/>
          <w:szCs w:val="15"/>
        </w:rPr>
        <w:t>.</w:t>
      </w:r>
    </w:p>
    <w:tbl>
      <w:tblPr>
        <w:tblStyle w:val="11"/>
        <w:tblW w:w="0" w:type="auto"/>
        <w:tblLook w:val="04A0" w:firstRow="1" w:lastRow="0" w:firstColumn="1" w:lastColumn="0" w:noHBand="0" w:noVBand="1"/>
      </w:tblPr>
      <w:tblGrid>
        <w:gridCol w:w="760"/>
        <w:gridCol w:w="1357"/>
        <w:gridCol w:w="1357"/>
        <w:gridCol w:w="1350"/>
        <w:gridCol w:w="3472"/>
      </w:tblGrid>
      <w:tr w:rsidR="00D55850" w:rsidRPr="00DD0828" w14:paraId="405E2E99" w14:textId="77777777" w:rsidTr="001543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66663" w14:textId="77777777" w:rsidR="00D55850" w:rsidRPr="00DD0828" w:rsidRDefault="00D55850" w:rsidP="003A3B4A">
            <w:pPr>
              <w:rPr>
                <w:rFonts w:ascii="Times New Roman" w:hAnsi="Times New Roman" w:cs="Times New Roman"/>
                <w:b w:val="0"/>
                <w:bCs w:val="0"/>
                <w:color w:val="000000" w:themeColor="text1"/>
                <w:sz w:val="15"/>
                <w:szCs w:val="15"/>
              </w:rPr>
            </w:pPr>
            <w:r w:rsidRPr="00DD0828">
              <w:rPr>
                <w:rFonts w:ascii="Times New Roman" w:hAnsi="Times New Roman" w:cs="Times New Roman"/>
                <w:color w:val="000000" w:themeColor="text1"/>
                <w:sz w:val="15"/>
                <w:szCs w:val="15"/>
              </w:rPr>
              <w:t>Sub-band</w:t>
            </w:r>
          </w:p>
        </w:tc>
        <w:tc>
          <w:tcPr>
            <w:tcW w:w="0" w:type="auto"/>
            <w:hideMark/>
          </w:tcPr>
          <w:p w14:paraId="50D2C91E" w14:textId="77777777" w:rsidR="00D55850" w:rsidRPr="00DD0828" w:rsidRDefault="00D55850"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rPr>
            </w:pPr>
            <w:r w:rsidRPr="00DD0828">
              <w:rPr>
                <w:rFonts w:ascii="Times New Roman" w:hAnsi="Times New Roman" w:cs="Times New Roman"/>
                <w:color w:val="000000" w:themeColor="text1"/>
                <w:sz w:val="15"/>
                <w:szCs w:val="15"/>
              </w:rPr>
              <w:t>Filtering Along x-axis</w:t>
            </w:r>
          </w:p>
        </w:tc>
        <w:tc>
          <w:tcPr>
            <w:tcW w:w="0" w:type="auto"/>
            <w:hideMark/>
          </w:tcPr>
          <w:p w14:paraId="417A65FB" w14:textId="77777777" w:rsidR="00D55850" w:rsidRPr="00DD0828" w:rsidRDefault="00D55850"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rPr>
            </w:pPr>
            <w:r w:rsidRPr="00DD0828">
              <w:rPr>
                <w:rFonts w:ascii="Times New Roman" w:hAnsi="Times New Roman" w:cs="Times New Roman"/>
                <w:color w:val="000000" w:themeColor="text1"/>
                <w:sz w:val="15"/>
                <w:szCs w:val="15"/>
              </w:rPr>
              <w:t>Filtering Along y-axis</w:t>
            </w:r>
          </w:p>
        </w:tc>
        <w:tc>
          <w:tcPr>
            <w:tcW w:w="0" w:type="auto"/>
            <w:hideMark/>
          </w:tcPr>
          <w:p w14:paraId="0FA71F1C" w14:textId="77777777" w:rsidR="00D55850" w:rsidRPr="00DD0828" w:rsidRDefault="00D55850"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rPr>
            </w:pPr>
            <w:r w:rsidRPr="00DD0828">
              <w:rPr>
                <w:rFonts w:ascii="Times New Roman" w:hAnsi="Times New Roman" w:cs="Times New Roman"/>
                <w:color w:val="000000" w:themeColor="text1"/>
                <w:sz w:val="15"/>
                <w:szCs w:val="15"/>
              </w:rPr>
              <w:t>Filtering Along z-axis</w:t>
            </w:r>
          </w:p>
        </w:tc>
        <w:tc>
          <w:tcPr>
            <w:tcW w:w="0" w:type="auto"/>
            <w:hideMark/>
          </w:tcPr>
          <w:p w14:paraId="19612F3E" w14:textId="77777777" w:rsidR="00D55850" w:rsidRPr="00DD0828" w:rsidRDefault="00D55850"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rPr>
            </w:pPr>
            <w:r w:rsidRPr="00DD0828">
              <w:rPr>
                <w:rFonts w:ascii="Times New Roman" w:hAnsi="Times New Roman" w:cs="Times New Roman"/>
                <w:color w:val="000000" w:themeColor="text1"/>
                <w:sz w:val="15"/>
                <w:szCs w:val="15"/>
              </w:rPr>
              <w:t>Description</w:t>
            </w:r>
          </w:p>
        </w:tc>
      </w:tr>
      <w:tr w:rsidR="00D55850" w:rsidRPr="00DD0828" w14:paraId="20D72E42" w14:textId="77777777"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2E6B96"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LLL</w:t>
            </w:r>
          </w:p>
        </w:tc>
        <w:tc>
          <w:tcPr>
            <w:tcW w:w="0" w:type="auto"/>
            <w:hideMark/>
          </w:tcPr>
          <w:p w14:paraId="27E248B0"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2F0B50B2"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60237E73"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4CB6EE0C"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Represents the approximation component (low-frequency information)</w:t>
            </w:r>
          </w:p>
        </w:tc>
      </w:tr>
      <w:tr w:rsidR="00D55850" w:rsidRPr="00DD0828" w14:paraId="575EBEDB" w14:textId="77777777" w:rsidTr="00154353">
        <w:tc>
          <w:tcPr>
            <w:cnfStyle w:val="001000000000" w:firstRow="0" w:lastRow="0" w:firstColumn="1" w:lastColumn="0" w:oddVBand="0" w:evenVBand="0" w:oddHBand="0" w:evenHBand="0" w:firstRowFirstColumn="0" w:firstRowLastColumn="0" w:lastRowFirstColumn="0" w:lastRowLastColumn="0"/>
            <w:tcW w:w="0" w:type="auto"/>
            <w:hideMark/>
          </w:tcPr>
          <w:p w14:paraId="7A166307"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LLH</w:t>
            </w:r>
          </w:p>
        </w:tc>
        <w:tc>
          <w:tcPr>
            <w:tcW w:w="0" w:type="auto"/>
            <w:hideMark/>
          </w:tcPr>
          <w:p w14:paraId="47E20791"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4549219D"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219B5902"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5FB25474"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Edge details along z-axis</w:t>
            </w:r>
          </w:p>
        </w:tc>
      </w:tr>
      <w:tr w:rsidR="00D55850" w:rsidRPr="00DD0828" w14:paraId="3B3F7571" w14:textId="77777777"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CCB3CB"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LHL</w:t>
            </w:r>
          </w:p>
        </w:tc>
        <w:tc>
          <w:tcPr>
            <w:tcW w:w="0" w:type="auto"/>
            <w:hideMark/>
          </w:tcPr>
          <w:p w14:paraId="101A6397"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5F6B6076"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35606915"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4EAC18C7"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Edge details along y-axis</w:t>
            </w:r>
          </w:p>
        </w:tc>
      </w:tr>
      <w:tr w:rsidR="00D55850" w:rsidRPr="00DD0828" w14:paraId="23C2D33F" w14:textId="77777777" w:rsidTr="00154353">
        <w:tc>
          <w:tcPr>
            <w:cnfStyle w:val="001000000000" w:firstRow="0" w:lastRow="0" w:firstColumn="1" w:lastColumn="0" w:oddVBand="0" w:evenVBand="0" w:oddHBand="0" w:evenHBand="0" w:firstRowFirstColumn="0" w:firstRowLastColumn="0" w:lastRowFirstColumn="0" w:lastRowLastColumn="0"/>
            <w:tcW w:w="0" w:type="auto"/>
            <w:hideMark/>
          </w:tcPr>
          <w:p w14:paraId="0C894027"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LHH</w:t>
            </w:r>
          </w:p>
        </w:tc>
        <w:tc>
          <w:tcPr>
            <w:tcW w:w="0" w:type="auto"/>
            <w:hideMark/>
          </w:tcPr>
          <w:p w14:paraId="086ED251"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1E871F1B"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40C112B2"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49F6FFDE"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High-frequency details in y-z plane</w:t>
            </w:r>
          </w:p>
        </w:tc>
      </w:tr>
      <w:tr w:rsidR="00D55850" w:rsidRPr="00DD0828" w14:paraId="7B346221" w14:textId="77777777"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2EEB70"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HLL</w:t>
            </w:r>
          </w:p>
        </w:tc>
        <w:tc>
          <w:tcPr>
            <w:tcW w:w="0" w:type="auto"/>
            <w:hideMark/>
          </w:tcPr>
          <w:p w14:paraId="170AC91C"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13D1EB1A"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7734F333"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4562D28E"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Edge details along x-axis</w:t>
            </w:r>
          </w:p>
        </w:tc>
      </w:tr>
      <w:tr w:rsidR="00D55850" w:rsidRPr="00DD0828" w14:paraId="660FB179" w14:textId="77777777" w:rsidTr="00154353">
        <w:tc>
          <w:tcPr>
            <w:cnfStyle w:val="001000000000" w:firstRow="0" w:lastRow="0" w:firstColumn="1" w:lastColumn="0" w:oddVBand="0" w:evenVBand="0" w:oddHBand="0" w:evenHBand="0" w:firstRowFirstColumn="0" w:firstRowLastColumn="0" w:lastRowFirstColumn="0" w:lastRowLastColumn="0"/>
            <w:tcW w:w="0" w:type="auto"/>
            <w:hideMark/>
          </w:tcPr>
          <w:p w14:paraId="23A5964F"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HLH</w:t>
            </w:r>
          </w:p>
        </w:tc>
        <w:tc>
          <w:tcPr>
            <w:tcW w:w="0" w:type="auto"/>
            <w:hideMark/>
          </w:tcPr>
          <w:p w14:paraId="2284142A"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40066354"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501D5FB6"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11EDACED"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High-frequency details in x-z plane</w:t>
            </w:r>
          </w:p>
        </w:tc>
      </w:tr>
      <w:tr w:rsidR="00D55850" w:rsidRPr="00DD0828" w14:paraId="1CCDF9B6" w14:textId="77777777"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1863B3"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HHL</w:t>
            </w:r>
          </w:p>
        </w:tc>
        <w:tc>
          <w:tcPr>
            <w:tcW w:w="0" w:type="auto"/>
            <w:hideMark/>
          </w:tcPr>
          <w:p w14:paraId="59B57D5A"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2296CFCC"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0EAE9762"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Low-pass</w:t>
            </w:r>
          </w:p>
        </w:tc>
        <w:tc>
          <w:tcPr>
            <w:tcW w:w="0" w:type="auto"/>
            <w:hideMark/>
          </w:tcPr>
          <w:p w14:paraId="5AF24F03" w14:textId="77777777" w:rsidR="00D55850" w:rsidRPr="00DD0828" w:rsidRDefault="00D55850"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High-frequency details in x-y plane</w:t>
            </w:r>
          </w:p>
        </w:tc>
      </w:tr>
      <w:tr w:rsidR="00D55850" w:rsidRPr="00DD0828" w14:paraId="12CE19AC" w14:textId="77777777" w:rsidTr="00154353">
        <w:tc>
          <w:tcPr>
            <w:cnfStyle w:val="001000000000" w:firstRow="0" w:lastRow="0" w:firstColumn="1" w:lastColumn="0" w:oddVBand="0" w:evenVBand="0" w:oddHBand="0" w:evenHBand="0" w:firstRowFirstColumn="0" w:firstRowLastColumn="0" w:lastRowFirstColumn="0" w:lastRowLastColumn="0"/>
            <w:tcW w:w="0" w:type="auto"/>
            <w:hideMark/>
          </w:tcPr>
          <w:p w14:paraId="24F189DE" w14:textId="77777777" w:rsidR="00D55850" w:rsidRPr="00DD0828" w:rsidRDefault="00D55850" w:rsidP="003A3B4A">
            <w:pPr>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HHH</w:t>
            </w:r>
          </w:p>
        </w:tc>
        <w:tc>
          <w:tcPr>
            <w:tcW w:w="0" w:type="auto"/>
            <w:hideMark/>
          </w:tcPr>
          <w:p w14:paraId="6142DFD0"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5D912A6B"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25152E61"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High-pass</w:t>
            </w:r>
          </w:p>
        </w:tc>
        <w:tc>
          <w:tcPr>
            <w:tcW w:w="0" w:type="auto"/>
            <w:hideMark/>
          </w:tcPr>
          <w:p w14:paraId="38A0FB1B" w14:textId="77777777" w:rsidR="00D55850" w:rsidRPr="00DD0828" w:rsidRDefault="00D55850"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High-frequency noise and fine texture</w:t>
            </w:r>
          </w:p>
        </w:tc>
      </w:tr>
    </w:tbl>
    <w:p w14:paraId="3E33705C" w14:textId="77777777" w:rsidR="00D55850" w:rsidRPr="00DD0828" w:rsidRDefault="00D55850" w:rsidP="003A3B4A">
      <w:pPr>
        <w:widowControl/>
        <w:jc w:val="left"/>
        <w:rPr>
          <w:rFonts w:ascii="Times New Roman" w:hAnsi="Times New Roman" w:cs="Times New Roman"/>
          <w:color w:val="000000" w:themeColor="text1"/>
          <w:sz w:val="15"/>
          <w:szCs w:val="15"/>
        </w:rPr>
      </w:pPr>
    </w:p>
    <w:p w14:paraId="70C3376B" w14:textId="385A5264" w:rsidR="008F4951" w:rsidRPr="00DD0828" w:rsidRDefault="008F4951" w:rsidP="003A3B4A">
      <w:pPr>
        <w:widowControl/>
        <w:jc w:val="left"/>
        <w:rPr>
          <w:rFonts w:ascii="Times New Roman" w:hAnsi="Times New Roman" w:cs="Times New Roman"/>
          <w:color w:val="000000" w:themeColor="text1"/>
          <w:sz w:val="15"/>
          <w:szCs w:val="15"/>
        </w:rPr>
      </w:pPr>
      <w:r w:rsidRPr="00DD0828">
        <w:rPr>
          <w:rFonts w:ascii="Times New Roman" w:hAnsi="Times New Roman" w:cs="Times New Roman" w:hint="eastAsia"/>
          <w:b/>
          <w:bCs/>
          <w:color w:val="000000" w:themeColor="text1"/>
          <w:sz w:val="15"/>
          <w:szCs w:val="15"/>
        </w:rPr>
        <w:t>Table E</w:t>
      </w:r>
      <w:r w:rsidR="00D55850" w:rsidRPr="00DD0828">
        <w:rPr>
          <w:rFonts w:ascii="Times New Roman" w:hAnsi="Times New Roman" w:cs="Times New Roman" w:hint="eastAsia"/>
          <w:b/>
          <w:bCs/>
          <w:color w:val="000000" w:themeColor="text1"/>
          <w:sz w:val="15"/>
          <w:szCs w:val="15"/>
        </w:rPr>
        <w:t>3</w:t>
      </w:r>
      <w:r w:rsidRPr="00DD0828">
        <w:rPr>
          <w:rFonts w:ascii="Times New Roman" w:hAnsi="Times New Roman" w:cs="Times New Roman" w:hint="eastAsia"/>
          <w:b/>
          <w:bCs/>
          <w:color w:val="000000" w:themeColor="text1"/>
          <w:sz w:val="15"/>
          <w:szCs w:val="15"/>
        </w:rPr>
        <w:t xml:space="preserve">. </w:t>
      </w:r>
      <w:r w:rsidR="00870959" w:rsidRPr="00DD0828">
        <w:rPr>
          <w:rFonts w:ascii="Times New Roman" w:hAnsi="Times New Roman" w:cs="Times New Roman"/>
          <w:b/>
          <w:bCs/>
          <w:color w:val="000000" w:themeColor="text1"/>
          <w:sz w:val="15"/>
          <w:szCs w:val="15"/>
        </w:rPr>
        <w:t>Composition of radiomic features in this study.</w:t>
      </w:r>
    </w:p>
    <w:tbl>
      <w:tblPr>
        <w:tblStyle w:val="11"/>
        <w:tblW w:w="0" w:type="auto"/>
        <w:tblLook w:val="04A0" w:firstRow="1" w:lastRow="0" w:firstColumn="1" w:lastColumn="0" w:noHBand="0" w:noVBand="1"/>
      </w:tblPr>
      <w:tblGrid>
        <w:gridCol w:w="1277"/>
        <w:gridCol w:w="1979"/>
        <w:gridCol w:w="2137"/>
        <w:gridCol w:w="1329"/>
        <w:gridCol w:w="1495"/>
      </w:tblGrid>
      <w:tr w:rsidR="0074521A" w:rsidRPr="00DD0828" w14:paraId="45002FFB" w14:textId="73E6A2AA" w:rsidTr="001543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6A32C04A" w14:textId="77777777" w:rsidR="0074521A" w:rsidRPr="00DD0828" w:rsidRDefault="0074521A" w:rsidP="003A3B4A">
            <w:pPr>
              <w:widowControl/>
              <w:jc w:val="left"/>
              <w:rPr>
                <w:rFonts w:ascii="Times New Roman" w:hAnsi="Times New Roman" w:cs="Times New Roman"/>
                <w:color w:val="000000" w:themeColor="text1"/>
                <w:sz w:val="15"/>
                <w:szCs w:val="15"/>
              </w:rPr>
            </w:pPr>
          </w:p>
        </w:tc>
        <w:tc>
          <w:tcPr>
            <w:tcW w:w="1979" w:type="dxa"/>
          </w:tcPr>
          <w:p w14:paraId="14A619D9" w14:textId="6CBB582E" w:rsidR="0074521A" w:rsidRPr="00DD0828" w:rsidRDefault="0074521A" w:rsidP="003A3B4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Feature category</w:t>
            </w:r>
          </w:p>
        </w:tc>
        <w:tc>
          <w:tcPr>
            <w:tcW w:w="2137" w:type="dxa"/>
          </w:tcPr>
          <w:p w14:paraId="433A50AE" w14:textId="2A82808E" w:rsidR="0074521A" w:rsidRPr="00DD0828" w:rsidRDefault="0074521A" w:rsidP="003A3B4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Image type</w:t>
            </w:r>
          </w:p>
        </w:tc>
        <w:tc>
          <w:tcPr>
            <w:tcW w:w="1329" w:type="dxa"/>
          </w:tcPr>
          <w:p w14:paraId="2F35FB8E" w14:textId="187A8B63" w:rsidR="0074521A" w:rsidRPr="00DD0828" w:rsidRDefault="0074521A" w:rsidP="003A3B4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Number</w:t>
            </w:r>
          </w:p>
        </w:tc>
        <w:tc>
          <w:tcPr>
            <w:tcW w:w="1495" w:type="dxa"/>
          </w:tcPr>
          <w:p w14:paraId="71FB52D5" w14:textId="0592A587" w:rsidR="0074521A" w:rsidRPr="00DD0828" w:rsidRDefault="00246917" w:rsidP="003A3B4A">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Total</w:t>
            </w:r>
          </w:p>
        </w:tc>
      </w:tr>
      <w:tr w:rsidR="00045611" w:rsidRPr="00DD0828" w14:paraId="5C058BE9" w14:textId="51A5B7FA" w:rsidTr="001353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vMerge w:val="restart"/>
            <w:vAlign w:val="center"/>
          </w:tcPr>
          <w:p w14:paraId="1C63A03E" w14:textId="5F058C32" w:rsidR="00045611" w:rsidRPr="00DD0828" w:rsidRDefault="00045611" w:rsidP="001353F0">
            <w:pPr>
              <w:widowControl/>
              <w:jc w:val="center"/>
              <w:rPr>
                <w:rFonts w:ascii="Times New Roman" w:hAnsi="Times New Roman" w:cs="Times New Roman"/>
                <w:b w:val="0"/>
                <w:bCs w:val="0"/>
                <w:color w:val="000000" w:themeColor="text1"/>
                <w:sz w:val="15"/>
                <w:szCs w:val="15"/>
              </w:rPr>
            </w:pPr>
            <w:r w:rsidRPr="00DD0828">
              <w:rPr>
                <w:rFonts w:ascii="Times New Roman" w:hAnsi="Times New Roman" w:cs="Times New Roman" w:hint="eastAsia"/>
                <w:b w:val="0"/>
                <w:bCs w:val="0"/>
                <w:color w:val="000000" w:themeColor="text1"/>
                <w:sz w:val="15"/>
                <w:szCs w:val="15"/>
              </w:rPr>
              <w:t>Traditional radiomic features</w:t>
            </w:r>
          </w:p>
        </w:tc>
        <w:tc>
          <w:tcPr>
            <w:tcW w:w="1979" w:type="dxa"/>
          </w:tcPr>
          <w:p w14:paraId="333D8F45" w14:textId="3807C028"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Shape features</w:t>
            </w:r>
          </w:p>
        </w:tc>
        <w:tc>
          <w:tcPr>
            <w:tcW w:w="2137" w:type="dxa"/>
          </w:tcPr>
          <w:p w14:paraId="5BAE10CC" w14:textId="16744CCE" w:rsidR="00045611" w:rsidRPr="00DD0828" w:rsidRDefault="005120D8"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w:t>
            </w:r>
            <w:r w:rsidRPr="00DD0828">
              <w:rPr>
                <w:rFonts w:ascii="Times New Roman" w:hAnsi="Times New Roman" w:cs="Times New Roman"/>
                <w:color w:val="000000" w:themeColor="text1"/>
                <w:sz w:val="15"/>
                <w:szCs w:val="15"/>
              </w:rPr>
              <w:t>riginal images and corresponding segmentation masks</w:t>
            </w:r>
          </w:p>
        </w:tc>
        <w:tc>
          <w:tcPr>
            <w:tcW w:w="1329" w:type="dxa"/>
          </w:tcPr>
          <w:p w14:paraId="3FC74DEE" w14:textId="693C0C3E"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14</w:t>
            </w:r>
          </w:p>
        </w:tc>
        <w:tc>
          <w:tcPr>
            <w:tcW w:w="1495" w:type="dxa"/>
            <w:vMerge w:val="restart"/>
          </w:tcPr>
          <w:p w14:paraId="5D8FE2BC" w14:textId="010A0E93" w:rsidR="00045611" w:rsidRPr="00DD0828" w:rsidRDefault="00045611"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rPr>
            </w:pPr>
            <w:r w:rsidRPr="00DD0828">
              <w:rPr>
                <w:rFonts w:ascii="Times New Roman" w:hAnsi="Times New Roman" w:cs="Times New Roman" w:hint="eastAsia"/>
                <w:b/>
                <w:bCs/>
                <w:color w:val="000000" w:themeColor="text1"/>
                <w:sz w:val="15"/>
                <w:szCs w:val="15"/>
              </w:rPr>
              <w:t>851</w:t>
            </w:r>
          </w:p>
        </w:tc>
      </w:tr>
      <w:tr w:rsidR="00045611" w:rsidRPr="00DD0828" w14:paraId="0ADDA285" w14:textId="73FA3C3B" w:rsidTr="00154353">
        <w:tc>
          <w:tcPr>
            <w:cnfStyle w:val="001000000000" w:firstRow="0" w:lastRow="0" w:firstColumn="1" w:lastColumn="0" w:oddVBand="0" w:evenVBand="0" w:oddHBand="0" w:evenHBand="0" w:firstRowFirstColumn="0" w:firstRowLastColumn="0" w:lastRowFirstColumn="0" w:lastRowLastColumn="0"/>
            <w:tcW w:w="1277" w:type="dxa"/>
            <w:vMerge/>
          </w:tcPr>
          <w:p w14:paraId="6C47C0FB" w14:textId="77777777" w:rsidR="00045611" w:rsidRPr="00DD0828" w:rsidRDefault="00045611" w:rsidP="003A3B4A">
            <w:pPr>
              <w:widowControl/>
              <w:jc w:val="left"/>
              <w:rPr>
                <w:rFonts w:ascii="Times New Roman" w:hAnsi="Times New Roman" w:cs="Times New Roman"/>
                <w:color w:val="000000" w:themeColor="text1"/>
                <w:sz w:val="15"/>
                <w:szCs w:val="15"/>
              </w:rPr>
            </w:pPr>
          </w:p>
        </w:tc>
        <w:tc>
          <w:tcPr>
            <w:tcW w:w="1979" w:type="dxa"/>
          </w:tcPr>
          <w:p w14:paraId="5BD54B6D" w14:textId="3507189B"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First-order features</w:t>
            </w:r>
          </w:p>
        </w:tc>
        <w:tc>
          <w:tcPr>
            <w:tcW w:w="2137" w:type="dxa"/>
          </w:tcPr>
          <w:p w14:paraId="20BB7003" w14:textId="79D3ED98"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tc>
        <w:tc>
          <w:tcPr>
            <w:tcW w:w="1329" w:type="dxa"/>
          </w:tcPr>
          <w:p w14:paraId="51C4EDA5" w14:textId="345DFF81"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18</w:t>
            </w:r>
          </w:p>
        </w:tc>
        <w:tc>
          <w:tcPr>
            <w:tcW w:w="1495" w:type="dxa"/>
            <w:vMerge/>
          </w:tcPr>
          <w:p w14:paraId="61E59FE3" w14:textId="77777777"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p>
        </w:tc>
      </w:tr>
      <w:tr w:rsidR="00045611" w:rsidRPr="00DD0828" w14:paraId="60BF946D" w14:textId="4133BC6E"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vMerge/>
          </w:tcPr>
          <w:p w14:paraId="3B4A4314" w14:textId="77777777" w:rsidR="00045611" w:rsidRPr="00DD0828" w:rsidRDefault="00045611" w:rsidP="003A3B4A">
            <w:pPr>
              <w:widowControl/>
              <w:jc w:val="left"/>
              <w:rPr>
                <w:rFonts w:ascii="Times New Roman" w:hAnsi="Times New Roman" w:cs="Times New Roman"/>
                <w:color w:val="000000" w:themeColor="text1"/>
                <w:sz w:val="15"/>
                <w:szCs w:val="15"/>
              </w:rPr>
            </w:pPr>
          </w:p>
        </w:tc>
        <w:tc>
          <w:tcPr>
            <w:tcW w:w="1979" w:type="dxa"/>
          </w:tcPr>
          <w:p w14:paraId="73B0780B" w14:textId="17C352C0"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Texture features</w:t>
            </w:r>
          </w:p>
        </w:tc>
        <w:tc>
          <w:tcPr>
            <w:tcW w:w="2137" w:type="dxa"/>
          </w:tcPr>
          <w:p w14:paraId="53FA32E2" w14:textId="3C4B4091"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tc>
        <w:tc>
          <w:tcPr>
            <w:tcW w:w="1329" w:type="dxa"/>
          </w:tcPr>
          <w:p w14:paraId="407EEFBA" w14:textId="3F426F03"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75</w:t>
            </w:r>
          </w:p>
        </w:tc>
        <w:tc>
          <w:tcPr>
            <w:tcW w:w="1495" w:type="dxa"/>
            <w:vMerge/>
          </w:tcPr>
          <w:p w14:paraId="78D09030" w14:textId="77777777"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p>
        </w:tc>
      </w:tr>
      <w:tr w:rsidR="00045611" w:rsidRPr="00DD0828" w14:paraId="0D0E33E8" w14:textId="74388589" w:rsidTr="00154353">
        <w:tc>
          <w:tcPr>
            <w:cnfStyle w:val="001000000000" w:firstRow="0" w:lastRow="0" w:firstColumn="1" w:lastColumn="0" w:oddVBand="0" w:evenVBand="0" w:oddHBand="0" w:evenHBand="0" w:firstRowFirstColumn="0" w:firstRowLastColumn="0" w:lastRowFirstColumn="0" w:lastRowLastColumn="0"/>
            <w:tcW w:w="1277" w:type="dxa"/>
            <w:vMerge/>
          </w:tcPr>
          <w:p w14:paraId="247E53A2" w14:textId="77777777" w:rsidR="00045611" w:rsidRPr="00DD0828" w:rsidRDefault="00045611" w:rsidP="003A3B4A">
            <w:pPr>
              <w:widowControl/>
              <w:jc w:val="left"/>
              <w:rPr>
                <w:rFonts w:ascii="Times New Roman" w:hAnsi="Times New Roman" w:cs="Times New Roman"/>
                <w:color w:val="000000" w:themeColor="text1"/>
                <w:sz w:val="15"/>
                <w:szCs w:val="15"/>
              </w:rPr>
            </w:pPr>
          </w:p>
        </w:tc>
        <w:tc>
          <w:tcPr>
            <w:tcW w:w="1979" w:type="dxa"/>
          </w:tcPr>
          <w:p w14:paraId="30ADFBFB" w14:textId="2AFC1A01"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First-order features</w:t>
            </w:r>
          </w:p>
        </w:tc>
        <w:tc>
          <w:tcPr>
            <w:tcW w:w="2137" w:type="dxa"/>
          </w:tcPr>
          <w:p w14:paraId="1DA8929E" w14:textId="5F767C96"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8 wavelet-filtered images</w:t>
            </w:r>
          </w:p>
        </w:tc>
        <w:tc>
          <w:tcPr>
            <w:tcW w:w="1329" w:type="dxa"/>
          </w:tcPr>
          <w:p w14:paraId="670D8758" w14:textId="219843DD"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18</w:t>
            </w:r>
            <w:r w:rsidRPr="00DD0828">
              <w:rPr>
                <w:rFonts w:ascii="Times New Roman" w:hAnsi="Times New Roman" w:cs="Times New Roman" w:hint="eastAsia"/>
                <w:color w:val="000000" w:themeColor="text1"/>
                <w:sz w:val="15"/>
                <w:szCs w:val="15"/>
              </w:rPr>
              <w:t>×</w:t>
            </w:r>
            <w:r w:rsidRPr="00DD0828">
              <w:rPr>
                <w:rFonts w:ascii="Times New Roman" w:hAnsi="Times New Roman" w:cs="Times New Roman" w:hint="eastAsia"/>
                <w:color w:val="000000" w:themeColor="text1"/>
                <w:sz w:val="15"/>
                <w:szCs w:val="15"/>
              </w:rPr>
              <w:t>8=144</w:t>
            </w:r>
          </w:p>
        </w:tc>
        <w:tc>
          <w:tcPr>
            <w:tcW w:w="1495" w:type="dxa"/>
            <w:vMerge/>
          </w:tcPr>
          <w:p w14:paraId="3767BB9A" w14:textId="77777777"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p>
        </w:tc>
      </w:tr>
      <w:tr w:rsidR="00045611" w:rsidRPr="00DD0828" w14:paraId="1B4FB6D4" w14:textId="2194CCE7"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vMerge/>
          </w:tcPr>
          <w:p w14:paraId="4FFFD850" w14:textId="77777777" w:rsidR="00045611" w:rsidRPr="00DD0828" w:rsidRDefault="00045611" w:rsidP="003A3B4A">
            <w:pPr>
              <w:widowControl/>
              <w:jc w:val="left"/>
              <w:rPr>
                <w:rFonts w:ascii="Times New Roman" w:hAnsi="Times New Roman" w:cs="Times New Roman"/>
                <w:color w:val="000000" w:themeColor="text1"/>
                <w:sz w:val="15"/>
                <w:szCs w:val="15"/>
              </w:rPr>
            </w:pPr>
          </w:p>
        </w:tc>
        <w:tc>
          <w:tcPr>
            <w:tcW w:w="1979" w:type="dxa"/>
          </w:tcPr>
          <w:p w14:paraId="74EA0533" w14:textId="1D5B3B54"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Texture features</w:t>
            </w:r>
          </w:p>
        </w:tc>
        <w:tc>
          <w:tcPr>
            <w:tcW w:w="2137" w:type="dxa"/>
          </w:tcPr>
          <w:p w14:paraId="50D65F07" w14:textId="622537EE"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8 wavelet-filtered images</w:t>
            </w:r>
          </w:p>
        </w:tc>
        <w:tc>
          <w:tcPr>
            <w:tcW w:w="1329" w:type="dxa"/>
          </w:tcPr>
          <w:p w14:paraId="4B085FCA" w14:textId="5C1F38D1"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75</w:t>
            </w:r>
            <w:r w:rsidRPr="00DD0828">
              <w:rPr>
                <w:rFonts w:ascii="Times New Roman" w:hAnsi="Times New Roman" w:cs="Times New Roman" w:hint="eastAsia"/>
                <w:color w:val="000000" w:themeColor="text1"/>
                <w:sz w:val="15"/>
                <w:szCs w:val="15"/>
              </w:rPr>
              <w:t>×</w:t>
            </w:r>
            <w:r w:rsidRPr="00DD0828">
              <w:rPr>
                <w:rFonts w:ascii="Times New Roman" w:hAnsi="Times New Roman" w:cs="Times New Roman" w:hint="eastAsia"/>
                <w:color w:val="000000" w:themeColor="text1"/>
                <w:sz w:val="15"/>
                <w:szCs w:val="15"/>
              </w:rPr>
              <w:t>8=600</w:t>
            </w:r>
          </w:p>
        </w:tc>
        <w:tc>
          <w:tcPr>
            <w:tcW w:w="1495" w:type="dxa"/>
            <w:vMerge/>
          </w:tcPr>
          <w:p w14:paraId="6485781B" w14:textId="77777777" w:rsidR="00045611" w:rsidRPr="00DD0828" w:rsidRDefault="00045611"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p>
        </w:tc>
      </w:tr>
      <w:tr w:rsidR="00045611" w:rsidRPr="00DD0828" w14:paraId="13A9ED4F" w14:textId="77777777" w:rsidTr="00154353">
        <w:trPr>
          <w:trHeight w:val="1147"/>
        </w:trPr>
        <w:tc>
          <w:tcPr>
            <w:cnfStyle w:val="001000000000" w:firstRow="0" w:lastRow="0" w:firstColumn="1" w:lastColumn="0" w:oddVBand="0" w:evenVBand="0" w:oddHBand="0" w:evenHBand="0" w:firstRowFirstColumn="0" w:firstRowLastColumn="0" w:lastRowFirstColumn="0" w:lastRowLastColumn="0"/>
            <w:tcW w:w="1277" w:type="dxa"/>
            <w:vMerge/>
          </w:tcPr>
          <w:p w14:paraId="33703F50" w14:textId="77777777" w:rsidR="00045611" w:rsidRPr="00DD0828" w:rsidRDefault="00045611" w:rsidP="003A3B4A">
            <w:pPr>
              <w:widowControl/>
              <w:jc w:val="left"/>
              <w:rPr>
                <w:rFonts w:ascii="Times New Roman" w:hAnsi="Times New Roman" w:cs="Times New Roman"/>
                <w:color w:val="000000" w:themeColor="text1"/>
                <w:sz w:val="15"/>
                <w:szCs w:val="15"/>
              </w:rPr>
            </w:pPr>
          </w:p>
        </w:tc>
        <w:tc>
          <w:tcPr>
            <w:tcW w:w="5445" w:type="dxa"/>
            <w:gridSpan w:val="3"/>
          </w:tcPr>
          <w:p w14:paraId="150703D7" w14:textId="3A1B591B"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T</w:t>
            </w:r>
            <w:r w:rsidRPr="00DD0828">
              <w:rPr>
                <w:rFonts w:ascii="Times New Roman" w:hAnsi="Times New Roman" w:cs="Times New Roman"/>
                <w:color w:val="000000" w:themeColor="text1"/>
                <w:sz w:val="15"/>
                <w:szCs w:val="15"/>
              </w:rPr>
              <w:t>raditional radiomic features were extracted from seven regions: three whole‑tumor regions (pre‑, early‑, and late‑contrast), the peritumoral region, and three intratumoral subregions (poor‑, moderate‑, and high‑perfusion).</w:t>
            </w:r>
          </w:p>
        </w:tc>
        <w:tc>
          <w:tcPr>
            <w:tcW w:w="1495" w:type="dxa"/>
          </w:tcPr>
          <w:p w14:paraId="492B0D4C" w14:textId="6EEC64AB" w:rsidR="00045611" w:rsidRPr="00DD0828" w:rsidRDefault="00045611"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851 features/region × 7 regions</w:t>
            </w:r>
            <w:r w:rsidRPr="00DD0828">
              <w:rPr>
                <w:rFonts w:ascii="Times New Roman" w:hAnsi="Times New Roman" w:cs="Times New Roman" w:hint="eastAsia"/>
                <w:color w:val="000000" w:themeColor="text1"/>
                <w:sz w:val="15"/>
                <w:szCs w:val="15"/>
              </w:rPr>
              <w:t>=</w:t>
            </w:r>
            <w:r w:rsidRPr="00DD0828">
              <w:rPr>
                <w:rFonts w:ascii="Times New Roman" w:hAnsi="Times New Roman" w:cs="Times New Roman" w:hint="eastAsia"/>
                <w:b/>
                <w:bCs/>
                <w:color w:val="000000" w:themeColor="text1"/>
                <w:sz w:val="15"/>
                <w:szCs w:val="15"/>
              </w:rPr>
              <w:t>5957</w:t>
            </w:r>
          </w:p>
        </w:tc>
      </w:tr>
      <w:tr w:rsidR="001353F0" w:rsidRPr="00DD0828" w14:paraId="54CC6B10" w14:textId="77777777" w:rsidTr="001353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vMerge w:val="restart"/>
            <w:vAlign w:val="center"/>
          </w:tcPr>
          <w:p w14:paraId="3AEED15D" w14:textId="43FD4837" w:rsidR="001353F0" w:rsidRPr="00DD0828" w:rsidRDefault="001353F0" w:rsidP="001353F0">
            <w:pPr>
              <w:widowControl/>
              <w:jc w:val="center"/>
              <w:rPr>
                <w:rFonts w:ascii="Times New Roman" w:hAnsi="Times New Roman" w:cs="Times New Roman"/>
                <w:color w:val="000000" w:themeColor="text1"/>
                <w:sz w:val="15"/>
                <w:szCs w:val="15"/>
              </w:rPr>
            </w:pPr>
            <w:r w:rsidRPr="00DD0828">
              <w:rPr>
                <w:rFonts w:ascii="Times New Roman" w:eastAsia="等线" w:hAnsi="Times New Roman" w:cs="Times New Roman" w:hint="eastAsia"/>
                <w:color w:val="000000" w:themeColor="text1"/>
                <w:kern w:val="0"/>
                <w:sz w:val="15"/>
                <w:szCs w:val="15"/>
              </w:rPr>
              <w:t>K</w:t>
            </w:r>
            <w:r w:rsidRPr="00DD0828">
              <w:rPr>
                <w:rFonts w:ascii="Times New Roman" w:eastAsia="等线" w:hAnsi="Times New Roman" w:cs="Times New Roman"/>
                <w:color w:val="000000" w:themeColor="text1"/>
                <w:kern w:val="0"/>
                <w:sz w:val="15"/>
                <w:szCs w:val="15"/>
              </w:rPr>
              <w:t xml:space="preserve">inetic </w:t>
            </w:r>
            <w:r w:rsidRPr="001353F0">
              <w:rPr>
                <w:rFonts w:ascii="Times New Roman" w:eastAsia="等线" w:hAnsi="Times New Roman" w:cs="Times New Roman"/>
                <w:color w:val="000000" w:themeColor="text1"/>
                <w:kern w:val="0"/>
                <w:sz w:val="15"/>
                <w:szCs w:val="15"/>
              </w:rPr>
              <w:t>Features</w:t>
            </w:r>
          </w:p>
        </w:tc>
        <w:tc>
          <w:tcPr>
            <w:tcW w:w="1979" w:type="dxa"/>
          </w:tcPr>
          <w:p w14:paraId="76E2C1C9" w14:textId="7F655991"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color w:val="000000" w:themeColor="text1"/>
                <w:kern w:val="0"/>
                <w:sz w:val="15"/>
                <w:szCs w:val="15"/>
              </w:rPr>
              <w:t>Mean</w:t>
            </w:r>
          </w:p>
        </w:tc>
        <w:tc>
          <w:tcPr>
            <w:tcW w:w="2137" w:type="dxa"/>
          </w:tcPr>
          <w:p w14:paraId="5D73CAB6" w14:textId="77777777"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p w14:paraId="74313686" w14:textId="3E348182"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Whole-tumor region</w:t>
            </w:r>
          </w:p>
        </w:tc>
        <w:tc>
          <w:tcPr>
            <w:tcW w:w="1329" w:type="dxa"/>
          </w:tcPr>
          <w:p w14:paraId="1F05B249" w14:textId="1A24FBE5"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hint="eastAsia"/>
                <w:color w:val="000000" w:themeColor="text1"/>
                <w:kern w:val="0"/>
                <w:sz w:val="15"/>
                <w:szCs w:val="15"/>
              </w:rPr>
              <w:t>837</w:t>
            </w:r>
          </w:p>
        </w:tc>
        <w:tc>
          <w:tcPr>
            <w:tcW w:w="1495" w:type="dxa"/>
            <w:vMerge w:val="restart"/>
            <w:vAlign w:val="center"/>
          </w:tcPr>
          <w:p w14:paraId="06A6254D" w14:textId="77777777" w:rsidR="001353F0" w:rsidRPr="00DD0828" w:rsidRDefault="001353F0" w:rsidP="001353F0">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rPr>
            </w:pPr>
            <w:r>
              <w:rPr>
                <w:rFonts w:ascii="Times New Roman" w:hAnsi="Times New Roman" w:cs="Times New Roman" w:hint="eastAsia"/>
                <w:b/>
                <w:bCs/>
                <w:color w:val="000000" w:themeColor="text1"/>
                <w:sz w:val="15"/>
                <w:szCs w:val="15"/>
              </w:rPr>
              <w:t>1674</w:t>
            </w:r>
          </w:p>
          <w:p w14:paraId="38955AE2" w14:textId="72EBB9AA" w:rsidR="001353F0" w:rsidRPr="00DD0828" w:rsidRDefault="001353F0" w:rsidP="001353F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rPr>
            </w:pPr>
          </w:p>
        </w:tc>
      </w:tr>
      <w:tr w:rsidR="001353F0" w:rsidRPr="00DD0828" w14:paraId="564980BC" w14:textId="77777777" w:rsidTr="001353F0">
        <w:tc>
          <w:tcPr>
            <w:cnfStyle w:val="001000000000" w:firstRow="0" w:lastRow="0" w:firstColumn="1" w:lastColumn="0" w:oddVBand="0" w:evenVBand="0" w:oddHBand="0" w:evenHBand="0" w:firstRowFirstColumn="0" w:firstRowLastColumn="0" w:lastRowFirstColumn="0" w:lastRowLastColumn="0"/>
            <w:tcW w:w="1277" w:type="dxa"/>
            <w:vMerge/>
            <w:shd w:val="clear" w:color="auto" w:fill="F2F2F2" w:themeFill="background1" w:themeFillShade="F2"/>
          </w:tcPr>
          <w:p w14:paraId="41343248" w14:textId="181A0137" w:rsidR="001353F0" w:rsidRPr="00DD0828" w:rsidRDefault="001353F0" w:rsidP="003A3B4A">
            <w:pPr>
              <w:jc w:val="center"/>
              <w:rPr>
                <w:rFonts w:ascii="Times New Roman" w:hAnsi="Times New Roman" w:cs="Times New Roman"/>
                <w:color w:val="000000" w:themeColor="text1"/>
                <w:sz w:val="15"/>
                <w:szCs w:val="15"/>
              </w:rPr>
            </w:pPr>
          </w:p>
        </w:tc>
        <w:tc>
          <w:tcPr>
            <w:tcW w:w="1979" w:type="dxa"/>
          </w:tcPr>
          <w:p w14:paraId="0A79DC76" w14:textId="12D9CE61"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color w:val="000000" w:themeColor="text1"/>
                <w:kern w:val="0"/>
                <w:sz w:val="15"/>
                <w:szCs w:val="15"/>
              </w:rPr>
              <w:t>Variance</w:t>
            </w:r>
          </w:p>
        </w:tc>
        <w:tc>
          <w:tcPr>
            <w:tcW w:w="2137" w:type="dxa"/>
          </w:tcPr>
          <w:p w14:paraId="49A39872" w14:textId="77777777"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p w14:paraId="000B485A" w14:textId="241C3B56"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Whole-tumor region</w:t>
            </w:r>
          </w:p>
        </w:tc>
        <w:tc>
          <w:tcPr>
            <w:tcW w:w="1329" w:type="dxa"/>
          </w:tcPr>
          <w:p w14:paraId="4BE361FC" w14:textId="7920369B"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hint="eastAsia"/>
                <w:color w:val="000000" w:themeColor="text1"/>
                <w:kern w:val="0"/>
                <w:sz w:val="15"/>
                <w:szCs w:val="15"/>
              </w:rPr>
              <w:t>837</w:t>
            </w:r>
          </w:p>
        </w:tc>
        <w:tc>
          <w:tcPr>
            <w:tcW w:w="1495" w:type="dxa"/>
            <w:vMerge/>
          </w:tcPr>
          <w:p w14:paraId="6D32F0B7" w14:textId="175DDAF8" w:rsidR="001353F0" w:rsidRPr="00DD0828" w:rsidRDefault="001353F0" w:rsidP="003A3B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p>
        </w:tc>
      </w:tr>
      <w:tr w:rsidR="001353F0" w:rsidRPr="00DD0828" w14:paraId="7ECD1188" w14:textId="77777777" w:rsidTr="001353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vMerge w:val="restart"/>
            <w:vAlign w:val="center"/>
          </w:tcPr>
          <w:p w14:paraId="5CDC87A2" w14:textId="3F344AD0" w:rsidR="001353F0" w:rsidRPr="00DD0828" w:rsidRDefault="001353F0" w:rsidP="001353F0">
            <w:pPr>
              <w:jc w:val="center"/>
              <w:rPr>
                <w:rFonts w:ascii="Times New Roman" w:hAnsi="Times New Roman" w:cs="Times New Roman"/>
                <w:color w:val="000000" w:themeColor="text1"/>
                <w:sz w:val="15"/>
                <w:szCs w:val="15"/>
              </w:rPr>
            </w:pPr>
            <w:r w:rsidRPr="001353F0">
              <w:rPr>
                <w:rFonts w:ascii="Times New Roman" w:hAnsi="Times New Roman" w:cs="Times New Roman"/>
                <w:color w:val="000000" w:themeColor="text1"/>
                <w:sz w:val="15"/>
                <w:szCs w:val="15"/>
              </w:rPr>
              <w:lastRenderedPageBreak/>
              <w:t>MSI Features</w:t>
            </w:r>
          </w:p>
        </w:tc>
        <w:tc>
          <w:tcPr>
            <w:tcW w:w="1979" w:type="dxa"/>
          </w:tcPr>
          <w:p w14:paraId="134C3BCE" w14:textId="001CF8A9"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color w:val="000000" w:themeColor="text1"/>
                <w:kern w:val="0"/>
                <w:sz w:val="15"/>
                <w:szCs w:val="15"/>
              </w:rPr>
              <w:t>First</w:t>
            </w:r>
            <w:r w:rsidRPr="00DD0828">
              <w:rPr>
                <w:rFonts w:ascii="Times New Roman" w:eastAsia="等线" w:hAnsi="Times New Roman" w:cs="Times New Roman" w:hint="eastAsia"/>
                <w:color w:val="000000" w:themeColor="text1"/>
                <w:kern w:val="0"/>
                <w:sz w:val="15"/>
                <w:szCs w:val="15"/>
              </w:rPr>
              <w:t>-</w:t>
            </w:r>
            <w:r w:rsidRPr="00DD0828">
              <w:rPr>
                <w:rFonts w:ascii="Times New Roman" w:eastAsia="等线" w:hAnsi="Times New Roman" w:cs="Times New Roman"/>
                <w:color w:val="000000" w:themeColor="text1"/>
                <w:kern w:val="0"/>
                <w:sz w:val="15"/>
                <w:szCs w:val="15"/>
              </w:rPr>
              <w:t>order</w:t>
            </w:r>
            <w:r w:rsidRPr="00DD0828">
              <w:rPr>
                <w:rFonts w:ascii="Times New Roman" w:hAnsi="Times New Roman" w:cs="Times New Roman" w:hint="eastAsia"/>
                <w:color w:val="000000" w:themeColor="text1"/>
                <w:sz w:val="15"/>
                <w:szCs w:val="15"/>
              </w:rPr>
              <w:t xml:space="preserve"> features</w:t>
            </w:r>
            <w:r w:rsidRPr="00DD0828">
              <w:rPr>
                <w:rFonts w:ascii="Times New Roman" w:eastAsia="等线" w:hAnsi="Times New Roman" w:cs="Times New Roman"/>
                <w:color w:val="000000" w:themeColor="text1"/>
                <w:kern w:val="0"/>
                <w:sz w:val="15"/>
                <w:szCs w:val="15"/>
              </w:rPr>
              <w:t>, absolute counts based on MSI matrix</w:t>
            </w:r>
          </w:p>
        </w:tc>
        <w:tc>
          <w:tcPr>
            <w:tcW w:w="2137" w:type="dxa"/>
          </w:tcPr>
          <w:p w14:paraId="6E9EFB2A" w14:textId="1CF5D6FE"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tc>
        <w:tc>
          <w:tcPr>
            <w:tcW w:w="1329" w:type="dxa"/>
          </w:tcPr>
          <w:p w14:paraId="64167656" w14:textId="6CE2A529"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hint="eastAsia"/>
                <w:color w:val="000000" w:themeColor="text1"/>
                <w:kern w:val="0"/>
                <w:sz w:val="15"/>
                <w:szCs w:val="15"/>
              </w:rPr>
              <w:t>9</w:t>
            </w:r>
          </w:p>
        </w:tc>
        <w:tc>
          <w:tcPr>
            <w:tcW w:w="1495" w:type="dxa"/>
            <w:vMerge w:val="restart"/>
            <w:vAlign w:val="center"/>
          </w:tcPr>
          <w:p w14:paraId="4CC6B9A7" w14:textId="758E51AA" w:rsidR="001353F0" w:rsidRPr="00DD0828" w:rsidRDefault="001353F0" w:rsidP="001353F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Pr>
                <w:rFonts w:ascii="Times New Roman" w:hAnsi="Times New Roman" w:cs="Times New Roman" w:hint="eastAsia"/>
                <w:color w:val="000000" w:themeColor="text1"/>
                <w:sz w:val="15"/>
                <w:szCs w:val="15"/>
              </w:rPr>
              <w:t>22</w:t>
            </w:r>
          </w:p>
        </w:tc>
      </w:tr>
      <w:tr w:rsidR="001353F0" w:rsidRPr="00DD0828" w14:paraId="7F32D11F" w14:textId="77777777" w:rsidTr="001353F0">
        <w:tc>
          <w:tcPr>
            <w:cnfStyle w:val="001000000000" w:firstRow="0" w:lastRow="0" w:firstColumn="1" w:lastColumn="0" w:oddVBand="0" w:evenVBand="0" w:oddHBand="0" w:evenHBand="0" w:firstRowFirstColumn="0" w:firstRowLastColumn="0" w:lastRowFirstColumn="0" w:lastRowLastColumn="0"/>
            <w:tcW w:w="1277" w:type="dxa"/>
            <w:vMerge/>
            <w:shd w:val="clear" w:color="auto" w:fill="F2F2F2" w:themeFill="background1" w:themeFillShade="F2"/>
          </w:tcPr>
          <w:p w14:paraId="1C2694C1" w14:textId="2DAE7456" w:rsidR="001353F0" w:rsidRPr="00DD0828" w:rsidRDefault="001353F0" w:rsidP="003A3B4A">
            <w:pPr>
              <w:jc w:val="center"/>
              <w:rPr>
                <w:rFonts w:ascii="Times New Roman" w:hAnsi="Times New Roman" w:cs="Times New Roman"/>
                <w:color w:val="000000" w:themeColor="text1"/>
                <w:sz w:val="15"/>
                <w:szCs w:val="15"/>
              </w:rPr>
            </w:pPr>
          </w:p>
        </w:tc>
        <w:tc>
          <w:tcPr>
            <w:tcW w:w="1979" w:type="dxa"/>
          </w:tcPr>
          <w:p w14:paraId="0F257DD1" w14:textId="3153BC5A"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color w:val="000000" w:themeColor="text1"/>
                <w:kern w:val="0"/>
                <w:sz w:val="15"/>
                <w:szCs w:val="15"/>
              </w:rPr>
              <w:t>First</w:t>
            </w:r>
            <w:r w:rsidRPr="00DD0828">
              <w:rPr>
                <w:rFonts w:ascii="Times New Roman" w:eastAsia="等线" w:hAnsi="Times New Roman" w:cs="Times New Roman" w:hint="eastAsia"/>
                <w:color w:val="000000" w:themeColor="text1"/>
                <w:kern w:val="0"/>
                <w:sz w:val="15"/>
                <w:szCs w:val="15"/>
              </w:rPr>
              <w:t>-</w:t>
            </w:r>
            <w:r w:rsidRPr="00DD0828">
              <w:rPr>
                <w:rFonts w:ascii="Times New Roman" w:eastAsia="等线" w:hAnsi="Times New Roman" w:cs="Times New Roman"/>
                <w:color w:val="000000" w:themeColor="text1"/>
                <w:kern w:val="0"/>
                <w:sz w:val="15"/>
                <w:szCs w:val="15"/>
              </w:rPr>
              <w:t>order</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hAnsi="Times New Roman" w:cs="Times New Roman" w:hint="eastAsia"/>
                <w:color w:val="000000" w:themeColor="text1"/>
                <w:sz w:val="15"/>
                <w:szCs w:val="15"/>
              </w:rPr>
              <w:t>features</w:t>
            </w:r>
            <w:r w:rsidRPr="00DD0828">
              <w:rPr>
                <w:rFonts w:ascii="Times New Roman" w:eastAsia="等线" w:hAnsi="Times New Roman" w:cs="Times New Roman"/>
                <w:color w:val="000000" w:themeColor="text1"/>
                <w:kern w:val="0"/>
                <w:sz w:val="15"/>
                <w:szCs w:val="15"/>
              </w:rPr>
              <w:t>, relative counts based on normalized MSI matrix</w:t>
            </w:r>
          </w:p>
        </w:tc>
        <w:tc>
          <w:tcPr>
            <w:tcW w:w="2137" w:type="dxa"/>
          </w:tcPr>
          <w:p w14:paraId="2C587C44" w14:textId="2CE7549B"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tc>
        <w:tc>
          <w:tcPr>
            <w:tcW w:w="1329" w:type="dxa"/>
          </w:tcPr>
          <w:p w14:paraId="59A3FF2A" w14:textId="088B7E53"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eastAsia="等线" w:hAnsi="Times New Roman" w:cs="Times New Roman" w:hint="eastAsia"/>
                <w:color w:val="000000" w:themeColor="text1"/>
                <w:kern w:val="0"/>
                <w:sz w:val="15"/>
                <w:szCs w:val="15"/>
              </w:rPr>
              <w:t>9</w:t>
            </w:r>
          </w:p>
        </w:tc>
        <w:tc>
          <w:tcPr>
            <w:tcW w:w="1495" w:type="dxa"/>
            <w:vMerge/>
          </w:tcPr>
          <w:p w14:paraId="0380CC86" w14:textId="409DBAA6" w:rsidR="001353F0" w:rsidRPr="00DD0828" w:rsidRDefault="001353F0" w:rsidP="003A3B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p>
        </w:tc>
      </w:tr>
      <w:tr w:rsidR="001353F0" w:rsidRPr="00DD0828" w14:paraId="2F32C5CE" w14:textId="77777777" w:rsidTr="001543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vMerge/>
          </w:tcPr>
          <w:p w14:paraId="7F544957" w14:textId="58AA7188" w:rsidR="001353F0" w:rsidRPr="00DD0828" w:rsidRDefault="001353F0" w:rsidP="003A3B4A">
            <w:pPr>
              <w:widowControl/>
              <w:jc w:val="center"/>
              <w:rPr>
                <w:rFonts w:ascii="Times New Roman" w:hAnsi="Times New Roman" w:cs="Times New Roman"/>
                <w:b w:val="0"/>
                <w:bCs w:val="0"/>
                <w:color w:val="000000" w:themeColor="text1"/>
                <w:sz w:val="15"/>
                <w:szCs w:val="15"/>
              </w:rPr>
            </w:pPr>
          </w:p>
        </w:tc>
        <w:tc>
          <w:tcPr>
            <w:tcW w:w="1979" w:type="dxa"/>
          </w:tcPr>
          <w:p w14:paraId="5F8E8EE2" w14:textId="6409FFE1"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Second</w:t>
            </w:r>
            <w:r w:rsidRPr="00DD0828">
              <w:rPr>
                <w:rFonts w:ascii="Times New Roman" w:eastAsia="等线" w:hAnsi="Times New Roman" w:cs="Times New Roman" w:hint="eastAsia"/>
                <w:color w:val="000000" w:themeColor="text1"/>
                <w:kern w:val="0"/>
                <w:sz w:val="15"/>
                <w:szCs w:val="15"/>
              </w:rPr>
              <w:t>-</w:t>
            </w:r>
            <w:r w:rsidRPr="00DD0828">
              <w:rPr>
                <w:rFonts w:ascii="Times New Roman" w:eastAsia="等线" w:hAnsi="Times New Roman" w:cs="Times New Roman"/>
                <w:color w:val="000000" w:themeColor="text1"/>
                <w:kern w:val="0"/>
                <w:sz w:val="15"/>
                <w:szCs w:val="15"/>
              </w:rPr>
              <w:t>order</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hAnsi="Times New Roman" w:cs="Times New Roman" w:hint="eastAsia"/>
                <w:color w:val="000000" w:themeColor="text1"/>
                <w:sz w:val="15"/>
                <w:szCs w:val="15"/>
              </w:rPr>
              <w:t>features</w:t>
            </w:r>
          </w:p>
        </w:tc>
        <w:tc>
          <w:tcPr>
            <w:tcW w:w="2137" w:type="dxa"/>
          </w:tcPr>
          <w:p w14:paraId="7B0C4CBD" w14:textId="166FF83F"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Original image</w:t>
            </w:r>
          </w:p>
        </w:tc>
        <w:tc>
          <w:tcPr>
            <w:tcW w:w="1329" w:type="dxa"/>
          </w:tcPr>
          <w:p w14:paraId="21E8EA4B" w14:textId="0C208638" w:rsidR="001353F0" w:rsidRPr="00DD0828" w:rsidRDefault="001353F0" w:rsidP="003A3B4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hint="eastAsia"/>
                <w:color w:val="000000" w:themeColor="text1"/>
                <w:kern w:val="0"/>
                <w:sz w:val="15"/>
                <w:szCs w:val="15"/>
              </w:rPr>
              <w:t>4</w:t>
            </w:r>
          </w:p>
        </w:tc>
        <w:tc>
          <w:tcPr>
            <w:tcW w:w="1495" w:type="dxa"/>
            <w:vMerge/>
          </w:tcPr>
          <w:p w14:paraId="7F710DFE" w14:textId="45BDCA61" w:rsidR="001353F0" w:rsidRPr="00DD0828" w:rsidRDefault="001353F0"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rPr>
            </w:pPr>
          </w:p>
        </w:tc>
      </w:tr>
      <w:tr w:rsidR="001353F0" w:rsidRPr="00DD0828" w14:paraId="26ACF646" w14:textId="77777777" w:rsidTr="00154353">
        <w:tc>
          <w:tcPr>
            <w:cnfStyle w:val="001000000000" w:firstRow="0" w:lastRow="0" w:firstColumn="1" w:lastColumn="0" w:oddVBand="0" w:evenVBand="0" w:oddHBand="0" w:evenHBand="0" w:firstRowFirstColumn="0" w:firstRowLastColumn="0" w:lastRowFirstColumn="0" w:lastRowLastColumn="0"/>
            <w:tcW w:w="1277" w:type="dxa"/>
          </w:tcPr>
          <w:p w14:paraId="4D1AC3EB" w14:textId="5DEB0C42" w:rsidR="001353F0" w:rsidRPr="00DD0828" w:rsidRDefault="001353F0" w:rsidP="003A3B4A">
            <w:pPr>
              <w:widowControl/>
              <w:jc w:val="left"/>
              <w:rPr>
                <w:rFonts w:ascii="Times New Roman" w:hAnsi="Times New Roman" w:cs="Times New Roman"/>
                <w:color w:val="000000" w:themeColor="text1"/>
                <w:sz w:val="15"/>
                <w:szCs w:val="15"/>
              </w:rPr>
            </w:pPr>
            <w:r w:rsidRPr="00DD0828">
              <w:rPr>
                <w:rFonts w:ascii="Times New Roman" w:hAnsi="Times New Roman" w:cs="Times New Roman" w:hint="eastAsia"/>
                <w:color w:val="000000" w:themeColor="text1"/>
                <w:sz w:val="15"/>
                <w:szCs w:val="15"/>
              </w:rPr>
              <w:t>Total</w:t>
            </w:r>
          </w:p>
        </w:tc>
        <w:tc>
          <w:tcPr>
            <w:tcW w:w="1979" w:type="dxa"/>
          </w:tcPr>
          <w:p w14:paraId="16DAE9F0" w14:textId="77777777"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p>
        </w:tc>
        <w:tc>
          <w:tcPr>
            <w:tcW w:w="2137" w:type="dxa"/>
          </w:tcPr>
          <w:p w14:paraId="674D4E50" w14:textId="77777777"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p>
        </w:tc>
        <w:tc>
          <w:tcPr>
            <w:tcW w:w="1329" w:type="dxa"/>
          </w:tcPr>
          <w:p w14:paraId="1BC240C3" w14:textId="77777777" w:rsidR="001353F0" w:rsidRPr="00DD0828" w:rsidRDefault="001353F0" w:rsidP="003A3B4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p>
        </w:tc>
        <w:tc>
          <w:tcPr>
            <w:tcW w:w="1495" w:type="dxa"/>
          </w:tcPr>
          <w:p w14:paraId="063B2953" w14:textId="2CBC9252" w:rsidR="001353F0" w:rsidRPr="00DD0828" w:rsidRDefault="008C0577"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rPr>
            </w:pPr>
            <w:r>
              <w:rPr>
                <w:rFonts w:ascii="Times New Roman" w:hAnsi="Times New Roman" w:cs="Times New Roman" w:hint="eastAsia"/>
                <w:b/>
                <w:bCs/>
                <w:color w:val="000000" w:themeColor="text1"/>
                <w:sz w:val="15"/>
                <w:szCs w:val="15"/>
              </w:rPr>
              <w:t>7653</w:t>
            </w:r>
          </w:p>
        </w:tc>
      </w:tr>
    </w:tbl>
    <w:p w14:paraId="484A3022" w14:textId="77777777" w:rsidR="002902F0" w:rsidRPr="00DD0828" w:rsidRDefault="002902F0" w:rsidP="003A3B4A">
      <w:pPr>
        <w:widowControl/>
        <w:jc w:val="left"/>
        <w:rPr>
          <w:rFonts w:ascii="Times New Roman" w:hAnsi="Times New Roman" w:cs="Times New Roman"/>
          <w:color w:val="000000" w:themeColor="text1"/>
          <w:sz w:val="15"/>
          <w:szCs w:val="15"/>
        </w:rPr>
      </w:pPr>
    </w:p>
    <w:p w14:paraId="3CE78E4B" w14:textId="77777777" w:rsidR="00D92FC3" w:rsidRPr="00DD0828" w:rsidRDefault="00D92FC3" w:rsidP="003A3B4A">
      <w:pPr>
        <w:widowControl/>
        <w:jc w:val="left"/>
        <w:rPr>
          <w:rFonts w:ascii="Times New Roman" w:hAnsi="Times New Roman" w:cs="Times New Roman"/>
          <w:color w:val="000000" w:themeColor="text1"/>
          <w:sz w:val="15"/>
          <w:szCs w:val="15"/>
        </w:rPr>
      </w:pPr>
      <w:r w:rsidRPr="00DD0828">
        <w:rPr>
          <w:rFonts w:ascii="Times New Roman" w:eastAsia="等线" w:hAnsi="Times New Roman" w:cs="Times New Roman"/>
          <w:b/>
          <w:bCs/>
          <w:color w:val="000000" w:themeColor="text1"/>
          <w:kern w:val="0"/>
          <w:sz w:val="15"/>
          <w:szCs w:val="15"/>
        </w:rPr>
        <w:t>Table E</w:t>
      </w:r>
      <w:r w:rsidRPr="00DD0828">
        <w:rPr>
          <w:rFonts w:ascii="Times New Roman" w:eastAsia="等线" w:hAnsi="Times New Roman" w:cs="Times New Roman" w:hint="eastAsia"/>
          <w:b/>
          <w:bCs/>
          <w:color w:val="000000" w:themeColor="text1"/>
          <w:kern w:val="0"/>
          <w:sz w:val="15"/>
          <w:szCs w:val="15"/>
        </w:rPr>
        <w:t>4</w:t>
      </w:r>
      <w:r w:rsidRPr="00DD0828">
        <w:rPr>
          <w:rFonts w:ascii="Times New Roman" w:eastAsia="等线" w:hAnsi="Times New Roman" w:cs="Times New Roman"/>
          <w:b/>
          <w:bCs/>
          <w:color w:val="000000" w:themeColor="text1"/>
          <w:kern w:val="0"/>
          <w:sz w:val="15"/>
          <w:szCs w:val="15"/>
        </w:rPr>
        <w:t>.</w:t>
      </w:r>
      <w:r w:rsidRPr="00DD0828">
        <w:rPr>
          <w:rFonts w:ascii="Times New Roman" w:eastAsia="等线" w:hAnsi="Times New Roman" w:cs="Times New Roman"/>
          <w:color w:val="000000" w:themeColor="text1"/>
          <w:kern w:val="0"/>
          <w:sz w:val="15"/>
          <w:szCs w:val="15"/>
        </w:rPr>
        <w:t xml:space="preserve"> </w:t>
      </w:r>
      <w:r w:rsidRPr="00DD0828">
        <w:rPr>
          <w:rFonts w:ascii="Times New Roman" w:eastAsia="等线" w:hAnsi="Times New Roman" w:cs="Times New Roman"/>
          <w:b/>
          <w:bCs/>
          <w:color w:val="000000" w:themeColor="text1"/>
          <w:kern w:val="0"/>
          <w:sz w:val="15"/>
          <w:szCs w:val="15"/>
        </w:rPr>
        <w:t>The explanation of radiomic features in this study.</w:t>
      </w:r>
    </w:p>
    <w:tbl>
      <w:tblPr>
        <w:tblStyle w:val="11"/>
        <w:tblW w:w="8222" w:type="dxa"/>
        <w:tblLook w:val="04A0" w:firstRow="1" w:lastRow="0" w:firstColumn="1" w:lastColumn="0" w:noHBand="0" w:noVBand="1"/>
      </w:tblPr>
      <w:tblGrid>
        <w:gridCol w:w="2156"/>
        <w:gridCol w:w="6066"/>
      </w:tblGrid>
      <w:tr w:rsidR="00D92FC3" w:rsidRPr="00DD0828" w14:paraId="2D8D63BB" w14:textId="77777777" w:rsidTr="00154353">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156" w:type="dxa"/>
            <w:noWrap/>
          </w:tcPr>
          <w:p w14:paraId="1A4AB159"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Feature types</w:t>
            </w:r>
          </w:p>
        </w:tc>
        <w:tc>
          <w:tcPr>
            <w:tcW w:w="6066" w:type="dxa"/>
            <w:noWrap/>
          </w:tcPr>
          <w:p w14:paraId="3E827348" w14:textId="77777777" w:rsidR="00D92FC3" w:rsidRPr="00DD0828" w:rsidRDefault="00D92FC3" w:rsidP="003A3B4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Radiomics Significance</w:t>
            </w:r>
          </w:p>
        </w:tc>
      </w:tr>
      <w:tr w:rsidR="00D92FC3" w:rsidRPr="00DD0828" w14:paraId="19CA26E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tcPr>
          <w:p w14:paraId="2437B6DB"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Original</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Shape</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(n=14)</w:t>
            </w:r>
          </w:p>
        </w:tc>
        <w:tc>
          <w:tcPr>
            <w:tcW w:w="6066" w:type="dxa"/>
            <w:noWrap/>
          </w:tcPr>
          <w:p w14:paraId="086EB2B3"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original_shape_Elongation</w:t>
            </w:r>
          </w:p>
        </w:tc>
      </w:tr>
      <w:tr w:rsidR="00D92FC3" w:rsidRPr="00DD0828" w14:paraId="2D2FDC3E"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B43A716"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p>
        </w:tc>
        <w:tc>
          <w:tcPr>
            <w:tcW w:w="6066" w:type="dxa"/>
            <w:noWrap/>
          </w:tcPr>
          <w:p w14:paraId="6D6DED27"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original_shape_Flatness</w:t>
            </w:r>
          </w:p>
        </w:tc>
      </w:tr>
      <w:tr w:rsidR="00D92FC3" w:rsidRPr="00DD0828" w14:paraId="5E323B2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020FFB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CFF6E2B"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original_shape_LeastAxisLength</w:t>
            </w:r>
          </w:p>
        </w:tc>
      </w:tr>
      <w:tr w:rsidR="00D92FC3" w:rsidRPr="00DD0828" w14:paraId="578461DF"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814A867"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B8D51B5"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original_shape_MajorAxisLength</w:t>
            </w:r>
          </w:p>
        </w:tc>
      </w:tr>
      <w:tr w:rsidR="00D92FC3" w:rsidRPr="00DD0828" w14:paraId="5B6A3FCB"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CAB8F0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C9B431B"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original_shape_Maximum2DDiameterColumn</w:t>
            </w:r>
          </w:p>
        </w:tc>
      </w:tr>
      <w:tr w:rsidR="00D92FC3" w:rsidRPr="00DD0828" w14:paraId="6DF9435B"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61E388C"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06C189F"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original_shape_Maximum2DDiameterRow</w:t>
            </w:r>
          </w:p>
        </w:tc>
      </w:tr>
      <w:tr w:rsidR="00D92FC3" w:rsidRPr="00DD0828" w14:paraId="66223AD0"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E99F1B9"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2DAFCD4"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original_shape_Maximum2DDiameterSlice</w:t>
            </w:r>
          </w:p>
        </w:tc>
      </w:tr>
      <w:tr w:rsidR="00D92FC3" w:rsidRPr="00DD0828" w14:paraId="5B52E511"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A3729A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146FC89"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original_shape_Maximum3DDiameter</w:t>
            </w:r>
          </w:p>
        </w:tc>
      </w:tr>
      <w:tr w:rsidR="00D92FC3" w:rsidRPr="00DD0828" w14:paraId="18060889"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62A9A17"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B6620D2"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original_shape_MeshVolume</w:t>
            </w:r>
          </w:p>
        </w:tc>
      </w:tr>
      <w:tr w:rsidR="00D92FC3" w:rsidRPr="00DD0828" w14:paraId="47563EA7"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A822724"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E2472D6"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original_shape_MinorAxisLength</w:t>
            </w:r>
          </w:p>
        </w:tc>
      </w:tr>
      <w:tr w:rsidR="00D92FC3" w:rsidRPr="00DD0828" w14:paraId="42507177"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2AE6E6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8CD2D53"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original_shape_Sphericity</w:t>
            </w:r>
          </w:p>
        </w:tc>
      </w:tr>
      <w:tr w:rsidR="00D92FC3" w:rsidRPr="00DD0828" w14:paraId="5C65C488"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31DB16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52CA293"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original_shape_SurfaceArea</w:t>
            </w:r>
          </w:p>
        </w:tc>
      </w:tr>
      <w:tr w:rsidR="00D92FC3" w:rsidRPr="00DD0828" w14:paraId="73832CF4"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7317B29"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04EA0FF"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original_shape_SurfaceVolumeRatio</w:t>
            </w:r>
          </w:p>
        </w:tc>
      </w:tr>
      <w:tr w:rsidR="00D92FC3" w:rsidRPr="00DD0828" w14:paraId="272AA453"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A60701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0B83DE1"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original_shape_VoxelVolume</w:t>
            </w:r>
          </w:p>
        </w:tc>
      </w:tr>
      <w:tr w:rsidR="00D92FC3" w:rsidRPr="00DD0828" w14:paraId="60397444"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tcPr>
          <w:p w14:paraId="29EED7D9"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First-Order</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(n=18)</w:t>
            </w:r>
          </w:p>
        </w:tc>
        <w:tc>
          <w:tcPr>
            <w:tcW w:w="6066" w:type="dxa"/>
            <w:noWrap/>
          </w:tcPr>
          <w:p w14:paraId="4ADB758D"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original_firstorder_10Percentile</w:t>
            </w:r>
          </w:p>
        </w:tc>
      </w:tr>
      <w:tr w:rsidR="00D92FC3" w:rsidRPr="00DD0828" w14:paraId="4A6892D3"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72E50F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6E3C0CE"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original_firstorder_90Percentile</w:t>
            </w:r>
          </w:p>
        </w:tc>
      </w:tr>
      <w:tr w:rsidR="00D92FC3" w:rsidRPr="00DD0828" w14:paraId="7A1F15BE"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8D5896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304618D"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original_firstorder_Energy</w:t>
            </w:r>
          </w:p>
        </w:tc>
      </w:tr>
      <w:tr w:rsidR="00D92FC3" w:rsidRPr="00DD0828" w14:paraId="2B3E570C"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5920AB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EB1EF84"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original_firstorder_Entropy</w:t>
            </w:r>
          </w:p>
        </w:tc>
      </w:tr>
      <w:tr w:rsidR="00D92FC3" w:rsidRPr="00DD0828" w14:paraId="239CBB12"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19E34C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D5AE8AA"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original_firstorder_InterquartileRange</w:t>
            </w:r>
          </w:p>
        </w:tc>
      </w:tr>
      <w:tr w:rsidR="00D92FC3" w:rsidRPr="00DD0828" w14:paraId="2460CCA5"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EC1580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A5A46F3"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original_firstorder_Kurtosis</w:t>
            </w:r>
          </w:p>
        </w:tc>
      </w:tr>
      <w:tr w:rsidR="00D92FC3" w:rsidRPr="00DD0828" w14:paraId="5D790DF7"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0978CCA"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100F9B9"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original_firstorder_Maximum</w:t>
            </w:r>
          </w:p>
        </w:tc>
      </w:tr>
      <w:tr w:rsidR="00D92FC3" w:rsidRPr="00DD0828" w14:paraId="6E4483DA"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8199BD1"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97B67A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original_firstorder_MeanAbsoluteDeviation</w:t>
            </w:r>
          </w:p>
        </w:tc>
      </w:tr>
      <w:tr w:rsidR="00D92FC3" w:rsidRPr="00DD0828" w14:paraId="5CD79D5C"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5832AA5"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407DDE0"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original_firstorder_Mean</w:t>
            </w:r>
          </w:p>
        </w:tc>
      </w:tr>
      <w:tr w:rsidR="00D92FC3" w:rsidRPr="00DD0828" w14:paraId="5A982AD4"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6BCBB1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1627E6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original_firstorder_Median</w:t>
            </w:r>
          </w:p>
        </w:tc>
      </w:tr>
      <w:tr w:rsidR="00D92FC3" w:rsidRPr="00DD0828" w14:paraId="502A6282"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AAFF90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BF27975"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original_firstorder_Minimum</w:t>
            </w:r>
          </w:p>
        </w:tc>
      </w:tr>
      <w:tr w:rsidR="00D92FC3" w:rsidRPr="00DD0828" w14:paraId="04305E89"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511E96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B32BAAE"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original_firstorder_Range</w:t>
            </w:r>
          </w:p>
        </w:tc>
      </w:tr>
      <w:tr w:rsidR="00D92FC3" w:rsidRPr="00DD0828" w14:paraId="0AB8E6DB"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EA75F85"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6086289"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original_firstorder_RobustMeanAbsoluteDeviation</w:t>
            </w:r>
          </w:p>
        </w:tc>
      </w:tr>
      <w:tr w:rsidR="00D92FC3" w:rsidRPr="00DD0828" w14:paraId="305D3D7B"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27D252A"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607B2A5"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original_firstorder_RootMeanSquared</w:t>
            </w:r>
          </w:p>
        </w:tc>
      </w:tr>
      <w:tr w:rsidR="00D92FC3" w:rsidRPr="00DD0828" w14:paraId="5EEA6FB2"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40C73D9"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CC50F5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original_firstorder_Skewness</w:t>
            </w:r>
          </w:p>
        </w:tc>
      </w:tr>
      <w:tr w:rsidR="00D92FC3" w:rsidRPr="00DD0828" w14:paraId="33B59029"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62CBD98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163FB89"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original_firstorder_TotalEnergy</w:t>
            </w:r>
          </w:p>
        </w:tc>
      </w:tr>
      <w:tr w:rsidR="00D92FC3" w:rsidRPr="00DD0828" w14:paraId="1E7D0D6F"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768431E"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5E3C803"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original_firstorder_Uniformity</w:t>
            </w:r>
          </w:p>
        </w:tc>
      </w:tr>
      <w:tr w:rsidR="00D92FC3" w:rsidRPr="00DD0828" w14:paraId="4C9C668E"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E7915D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647D3FD"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original_firstorder_Variance</w:t>
            </w:r>
          </w:p>
        </w:tc>
      </w:tr>
      <w:tr w:rsidR="00D92FC3" w:rsidRPr="00DD0828" w14:paraId="3D4CF3BF"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222" w:type="dxa"/>
            <w:gridSpan w:val="2"/>
            <w:noWrap/>
          </w:tcPr>
          <w:p w14:paraId="271720AA"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Texture Features</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w:t>
            </w:r>
            <w:r w:rsidRPr="00DD0828">
              <w:rPr>
                <w:rFonts w:ascii="Times New Roman" w:eastAsia="等线" w:hAnsi="Times New Roman" w:cs="Times New Roman" w:hint="eastAsia"/>
                <w:b w:val="0"/>
                <w:bCs w:val="0"/>
                <w:color w:val="000000" w:themeColor="text1"/>
                <w:kern w:val="0"/>
                <w:sz w:val="15"/>
                <w:szCs w:val="15"/>
              </w:rPr>
              <w:t>75</w:t>
            </w:r>
            <w:r w:rsidRPr="00DD0828">
              <w:rPr>
                <w:rFonts w:ascii="Times New Roman" w:eastAsia="等线" w:hAnsi="Times New Roman" w:cs="Times New Roman"/>
                <w:b w:val="0"/>
                <w:bCs w:val="0"/>
                <w:color w:val="000000" w:themeColor="text1"/>
                <w:kern w:val="0"/>
                <w:sz w:val="15"/>
                <w:szCs w:val="15"/>
              </w:rPr>
              <w:t>)</w:t>
            </w:r>
          </w:p>
        </w:tc>
      </w:tr>
      <w:tr w:rsidR="00D92FC3" w:rsidRPr="00DD0828" w14:paraId="20B125FF"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noWrap/>
          </w:tcPr>
          <w:p w14:paraId="4C2FC5FF"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lastRenderedPageBreak/>
              <w:t>GLCM</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(n=24)</w:t>
            </w:r>
          </w:p>
        </w:tc>
        <w:tc>
          <w:tcPr>
            <w:tcW w:w="6066" w:type="dxa"/>
            <w:noWrap/>
          </w:tcPr>
          <w:p w14:paraId="5FCB98C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lbp-2D_glcm_Autocorrelation</w:t>
            </w:r>
          </w:p>
        </w:tc>
      </w:tr>
      <w:tr w:rsidR="00D92FC3" w:rsidRPr="00DD0828" w14:paraId="1EE9A280"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70B6C59"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C485B7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lbp-2D_glcm_ClusterProminence</w:t>
            </w:r>
          </w:p>
        </w:tc>
      </w:tr>
      <w:tr w:rsidR="00D92FC3" w:rsidRPr="00DD0828" w14:paraId="505EB755"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40BB9C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0E3DB3E"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lbp-2D_glcm_ClusterShade</w:t>
            </w:r>
          </w:p>
        </w:tc>
      </w:tr>
      <w:tr w:rsidR="00D92FC3" w:rsidRPr="00DD0828" w14:paraId="449AFF2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CAC219A"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291F619"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lbp-2D_glcm_ClusterTendency</w:t>
            </w:r>
          </w:p>
        </w:tc>
      </w:tr>
      <w:tr w:rsidR="00D92FC3" w:rsidRPr="00DD0828" w14:paraId="3D6AE484"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93BBF2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4222825"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lbp-2D_glcm_Contrast</w:t>
            </w:r>
          </w:p>
        </w:tc>
      </w:tr>
      <w:tr w:rsidR="00D92FC3" w:rsidRPr="00DD0828" w14:paraId="031B7649"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8CD63F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A809D33"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lbp-2D_glcm_Correlation</w:t>
            </w:r>
          </w:p>
        </w:tc>
      </w:tr>
      <w:tr w:rsidR="00D92FC3" w:rsidRPr="00DD0828" w14:paraId="71FAF935"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F95904E"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7CDEC9C"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lbp-2D_glcm_DifferenceAverage</w:t>
            </w:r>
          </w:p>
        </w:tc>
      </w:tr>
      <w:tr w:rsidR="00D92FC3" w:rsidRPr="00DD0828" w14:paraId="69646B33"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4374C9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882B4F2"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lbp-2D_glcm_DifferenceEntropy</w:t>
            </w:r>
          </w:p>
        </w:tc>
      </w:tr>
      <w:tr w:rsidR="00D92FC3" w:rsidRPr="00DD0828" w14:paraId="07DB3F57"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C7161B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4BE6952"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lbp-2D_glcm_DifferenceVariance</w:t>
            </w:r>
          </w:p>
        </w:tc>
      </w:tr>
      <w:tr w:rsidR="00D92FC3" w:rsidRPr="00DD0828" w14:paraId="1DEF959B"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119AA3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0A325D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lbp-2D_glcm_Id</w:t>
            </w:r>
          </w:p>
        </w:tc>
      </w:tr>
      <w:tr w:rsidR="00D92FC3" w:rsidRPr="00DD0828" w14:paraId="6CED2616"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B4B1ADA"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B51D1DE"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lbp-2D_glcm_Idm</w:t>
            </w:r>
          </w:p>
        </w:tc>
      </w:tr>
      <w:tr w:rsidR="00D92FC3" w:rsidRPr="00DD0828" w14:paraId="0EA534E6"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60DAFE2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C55B24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lbp-2D_glcm_Idmn</w:t>
            </w:r>
          </w:p>
        </w:tc>
      </w:tr>
      <w:tr w:rsidR="00D92FC3" w:rsidRPr="00DD0828" w14:paraId="30A705CE"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2EB0CA1"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E507BB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lbp-2D_glcm_Idn</w:t>
            </w:r>
          </w:p>
        </w:tc>
      </w:tr>
      <w:tr w:rsidR="00D92FC3" w:rsidRPr="00DD0828" w14:paraId="194302D0"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296800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2B9B434"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lbp-2D_glcm_Imc1</w:t>
            </w:r>
          </w:p>
        </w:tc>
      </w:tr>
      <w:tr w:rsidR="00D92FC3" w:rsidRPr="00DD0828" w14:paraId="24E2BF3C"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ACFA9D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BB2C956"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lbp-2D_glcm_Imc2</w:t>
            </w:r>
          </w:p>
        </w:tc>
      </w:tr>
      <w:tr w:rsidR="00D92FC3" w:rsidRPr="00DD0828" w14:paraId="2C36864F"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9CF363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D5FB885"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lbp-2D_glcm_InverseVariance</w:t>
            </w:r>
          </w:p>
        </w:tc>
      </w:tr>
      <w:tr w:rsidR="00D92FC3" w:rsidRPr="00DD0828" w14:paraId="4F7D866D"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2CB3CD2"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9E92001"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lbp-2D_glcm_JointAverage</w:t>
            </w:r>
          </w:p>
        </w:tc>
      </w:tr>
      <w:tr w:rsidR="00D92FC3" w:rsidRPr="00DD0828" w14:paraId="151A36DE"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D9AE90E"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AEB6F50"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lbp-2D_glcm_JointEnergy</w:t>
            </w:r>
          </w:p>
        </w:tc>
      </w:tr>
      <w:tr w:rsidR="00D92FC3" w:rsidRPr="00DD0828" w14:paraId="4863B831"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9B79E3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43D8D55"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lbp-2D_glcm_JointEntropy</w:t>
            </w:r>
          </w:p>
        </w:tc>
      </w:tr>
      <w:tr w:rsidR="00D92FC3" w:rsidRPr="00DD0828" w14:paraId="0375AA87"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49E002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C779AAD"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lbp-2D_glcm_MCC</w:t>
            </w:r>
          </w:p>
        </w:tc>
      </w:tr>
      <w:tr w:rsidR="00D92FC3" w:rsidRPr="00DD0828" w14:paraId="697C20B6"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41BC20D"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7F051BA"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lbp-2D_glcm_MaximumProbability</w:t>
            </w:r>
          </w:p>
        </w:tc>
      </w:tr>
      <w:tr w:rsidR="00D92FC3" w:rsidRPr="00DD0828" w14:paraId="7D7F343D"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9FFE5A5"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919CAA0"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lbp-2D_glcm_SumAverage</w:t>
            </w:r>
          </w:p>
        </w:tc>
      </w:tr>
      <w:tr w:rsidR="00D92FC3" w:rsidRPr="00DD0828" w14:paraId="6E8EECA1"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403F961"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782C365"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lbp-2D_glcm_SumEntropy</w:t>
            </w:r>
          </w:p>
        </w:tc>
      </w:tr>
      <w:tr w:rsidR="00D92FC3" w:rsidRPr="00DD0828" w14:paraId="7ABE44E8"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C18CEE7"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EC65BD8"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lbp-2D_glcm_SumSquares</w:t>
            </w:r>
          </w:p>
        </w:tc>
      </w:tr>
      <w:tr w:rsidR="00D92FC3" w:rsidRPr="00DD0828" w14:paraId="74331178"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noWrap/>
          </w:tcPr>
          <w:p w14:paraId="70667782"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GLDM</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(n=14)</w:t>
            </w:r>
          </w:p>
        </w:tc>
        <w:tc>
          <w:tcPr>
            <w:tcW w:w="6066" w:type="dxa"/>
            <w:noWrap/>
          </w:tcPr>
          <w:p w14:paraId="2603A08D"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lbp-2D_gldm_DependenceEntropy</w:t>
            </w:r>
          </w:p>
        </w:tc>
      </w:tr>
      <w:tr w:rsidR="00D92FC3" w:rsidRPr="00DD0828" w14:paraId="705EE8B2"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66321709"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AAAAA95"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lbp-2D_gldm_DependenceNonUniformity</w:t>
            </w:r>
          </w:p>
        </w:tc>
      </w:tr>
      <w:tr w:rsidR="00D92FC3" w:rsidRPr="00DD0828" w14:paraId="5D0227A5"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411FB5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0E2EF46"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lbp-2D_gldm_DependenceNonUniformityNormalized</w:t>
            </w:r>
          </w:p>
        </w:tc>
      </w:tr>
      <w:tr w:rsidR="00D92FC3" w:rsidRPr="00DD0828" w14:paraId="77ADFFD9"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6B7CF44"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49733E0"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lbp-2D_gldm_DependenceVariance</w:t>
            </w:r>
          </w:p>
        </w:tc>
      </w:tr>
      <w:tr w:rsidR="00D92FC3" w:rsidRPr="00DD0828" w14:paraId="2163F394"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693D221D"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9529D2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lbp-2D_gldm_GrayLevelNonUniformity</w:t>
            </w:r>
          </w:p>
        </w:tc>
      </w:tr>
      <w:tr w:rsidR="00D92FC3" w:rsidRPr="00DD0828" w14:paraId="5BEFFBB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2844BC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85B26E4"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lbp-2D_gldm_GrayLevelVariance</w:t>
            </w:r>
          </w:p>
        </w:tc>
      </w:tr>
      <w:tr w:rsidR="00D92FC3" w:rsidRPr="00DD0828" w14:paraId="230509F3"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098F50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6FBC017"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lbp-2D_gldm_HighGrayLevelEmphasis</w:t>
            </w:r>
          </w:p>
        </w:tc>
      </w:tr>
      <w:tr w:rsidR="00D92FC3" w:rsidRPr="00DD0828" w14:paraId="7912227E"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35B6FB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5D9A16A"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lbp-2D_gldm_LargeDependenceEmphasis</w:t>
            </w:r>
          </w:p>
        </w:tc>
      </w:tr>
      <w:tr w:rsidR="00D92FC3" w:rsidRPr="00DD0828" w14:paraId="72C8345D"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7C2247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DFD202C"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lbp-2D_gldm_LargeDependenceHighGrayLevelEmphasis</w:t>
            </w:r>
          </w:p>
        </w:tc>
      </w:tr>
      <w:tr w:rsidR="00D92FC3" w:rsidRPr="00DD0828" w14:paraId="675ABA11"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58DC1B5"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A4D023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lbp-2D_gldm_LargeDependenceLowGrayLevelEmphasis</w:t>
            </w:r>
          </w:p>
        </w:tc>
      </w:tr>
      <w:tr w:rsidR="00D92FC3" w:rsidRPr="00DD0828" w14:paraId="0176146E"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EA0FFF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188356B"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lbp-2D_gldm_LowGrayLevelEmphasis</w:t>
            </w:r>
          </w:p>
        </w:tc>
      </w:tr>
      <w:tr w:rsidR="00D92FC3" w:rsidRPr="00DD0828" w14:paraId="7F94404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9FA692C"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6A19315"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lbp-2D_gldm_SmallDependenceEmphasis</w:t>
            </w:r>
          </w:p>
        </w:tc>
      </w:tr>
      <w:tr w:rsidR="00D92FC3" w:rsidRPr="00DD0828" w14:paraId="08ABAC85"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5734D27"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363D9E9"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lbp-2D_gldm_SmallDependenceHighGrayLevelEmphasis</w:t>
            </w:r>
          </w:p>
        </w:tc>
      </w:tr>
      <w:tr w:rsidR="00D92FC3" w:rsidRPr="00DD0828" w14:paraId="285BAE87"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D061AD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E41AB7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lbp-2D_gldm_SmallDependenceLowGrayLevelEmphasis</w:t>
            </w:r>
          </w:p>
        </w:tc>
      </w:tr>
      <w:tr w:rsidR="00D92FC3" w:rsidRPr="00DD0828" w14:paraId="1D4C6C97"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noWrap/>
          </w:tcPr>
          <w:p w14:paraId="604330A8"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GLRLM</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(n=16)</w:t>
            </w:r>
          </w:p>
        </w:tc>
        <w:tc>
          <w:tcPr>
            <w:tcW w:w="6066" w:type="dxa"/>
            <w:noWrap/>
          </w:tcPr>
          <w:p w14:paraId="0CAE7F0A"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lbp-2D_glrlm_GrayLevelNonUniformity</w:t>
            </w:r>
          </w:p>
        </w:tc>
      </w:tr>
      <w:tr w:rsidR="00D92FC3" w:rsidRPr="00DD0828" w14:paraId="3272C6F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7EE9B0C"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7BEEC0F"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lbp-2D_glrlm_GrayLevelNonUniformityNormalized</w:t>
            </w:r>
          </w:p>
        </w:tc>
      </w:tr>
      <w:tr w:rsidR="00D92FC3" w:rsidRPr="00DD0828" w14:paraId="571B5F77"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8484241"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722A4DD"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lbp-2D_glrlm_GrayLevelVariance</w:t>
            </w:r>
          </w:p>
        </w:tc>
      </w:tr>
      <w:tr w:rsidR="00D92FC3" w:rsidRPr="00DD0828" w14:paraId="5FE53F60"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02A466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0DAAB2B"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lbp-2D_glrlm_HighGrayLevelRunEmphasis</w:t>
            </w:r>
          </w:p>
        </w:tc>
      </w:tr>
      <w:tr w:rsidR="00D92FC3" w:rsidRPr="00DD0828" w14:paraId="5166279A"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8BD2CE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C7075DC"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lbp-2D_glrlm_LongRunEmphasis</w:t>
            </w:r>
          </w:p>
        </w:tc>
      </w:tr>
      <w:tr w:rsidR="00D92FC3" w:rsidRPr="00DD0828" w14:paraId="4CD9BC9D"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70A1F01"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A543DF5"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lbp-2D_glrlm_LongRunHighGrayLevelEmphasis</w:t>
            </w:r>
          </w:p>
        </w:tc>
      </w:tr>
      <w:tr w:rsidR="00D92FC3" w:rsidRPr="00DD0828" w14:paraId="36AE3452"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825C05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B513D6C"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lbp-2D_glrlm_LongRunLowGrayLevelEmphasis</w:t>
            </w:r>
          </w:p>
        </w:tc>
      </w:tr>
      <w:tr w:rsidR="00D92FC3" w:rsidRPr="00DD0828" w14:paraId="0B4D740F"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41A10B2"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6FF4D84"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lbp-2D_glrlm_LowGrayLevelRunEmphasis</w:t>
            </w:r>
          </w:p>
        </w:tc>
      </w:tr>
      <w:tr w:rsidR="00D92FC3" w:rsidRPr="00DD0828" w14:paraId="1FD2E0BD"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56A124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14C1BCA"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lbp-2D_glrlm_RunEntropy</w:t>
            </w:r>
          </w:p>
        </w:tc>
      </w:tr>
      <w:tr w:rsidR="00D92FC3" w:rsidRPr="00DD0828" w14:paraId="72BB064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80469A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C56384F"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lbp-2D_glrlm_RunLengthNonUniformity</w:t>
            </w:r>
          </w:p>
        </w:tc>
      </w:tr>
      <w:tr w:rsidR="00D92FC3" w:rsidRPr="00DD0828" w14:paraId="514CD036"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BED2BB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4B1BA82"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lbp-2D_glrlm_RunLengthNonUniformityNormalized</w:t>
            </w:r>
          </w:p>
        </w:tc>
      </w:tr>
      <w:tr w:rsidR="00D92FC3" w:rsidRPr="00DD0828" w14:paraId="524A7916"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ADC904C"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A985D92"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lbp-2D_glrlm_RunPercentage</w:t>
            </w:r>
          </w:p>
        </w:tc>
      </w:tr>
      <w:tr w:rsidR="00D92FC3" w:rsidRPr="00DD0828" w14:paraId="0C2F79CD"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E143309"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7F6A54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lbp-2D_glrlm_RunVariance</w:t>
            </w:r>
          </w:p>
        </w:tc>
      </w:tr>
      <w:tr w:rsidR="00D92FC3" w:rsidRPr="00DD0828" w14:paraId="5479A2F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4605B42"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F99A5C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lbp-2D_glrlm_ShortRunEmphasis</w:t>
            </w:r>
          </w:p>
        </w:tc>
      </w:tr>
      <w:tr w:rsidR="00D92FC3" w:rsidRPr="00DD0828" w14:paraId="1B964D15"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96E28E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2254A0A"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lbp-2D_glrlm_ShortRunHighGrayLevelEmphasis</w:t>
            </w:r>
          </w:p>
        </w:tc>
      </w:tr>
      <w:tr w:rsidR="00D92FC3" w:rsidRPr="00DD0828" w14:paraId="52E8608B"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017E462"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FA187EC"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lbp-2D_glrlm_ShortRunLowGrayLevelEmphasis</w:t>
            </w:r>
          </w:p>
        </w:tc>
      </w:tr>
      <w:tr w:rsidR="00D92FC3" w:rsidRPr="00DD0828" w14:paraId="531FB194"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noWrap/>
          </w:tcPr>
          <w:p w14:paraId="37CC9F58"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GLSZM</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(n=16)</w:t>
            </w:r>
          </w:p>
        </w:tc>
        <w:tc>
          <w:tcPr>
            <w:tcW w:w="6066" w:type="dxa"/>
            <w:noWrap/>
          </w:tcPr>
          <w:p w14:paraId="4009CD8F"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lbp-2D_glszm_GrayLevelNonUniformity</w:t>
            </w:r>
          </w:p>
        </w:tc>
      </w:tr>
      <w:tr w:rsidR="00D92FC3" w:rsidRPr="00DD0828" w14:paraId="05643664"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1EC515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1F815AB"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lbp-2D_glszm_GrayLevelNonUniformityNormalized</w:t>
            </w:r>
          </w:p>
        </w:tc>
      </w:tr>
      <w:tr w:rsidR="00D92FC3" w:rsidRPr="00DD0828" w14:paraId="5C7F9933"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708748B5"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0FD324E"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lbp-2D_glszm_GrayLevelVariance</w:t>
            </w:r>
          </w:p>
        </w:tc>
      </w:tr>
      <w:tr w:rsidR="00D92FC3" w:rsidRPr="00DD0828" w14:paraId="63351F7B"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6252294"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9AC5490"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lbp-2D_glszm_HighGrayLevelZoneEmphasis</w:t>
            </w:r>
          </w:p>
        </w:tc>
      </w:tr>
      <w:tr w:rsidR="00D92FC3" w:rsidRPr="00DD0828" w14:paraId="58E2F909"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805A59A"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BAEB85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lbp-2D_glszm_LargeAreaEmphasis</w:t>
            </w:r>
          </w:p>
        </w:tc>
      </w:tr>
      <w:tr w:rsidR="00D92FC3" w:rsidRPr="00DD0828" w14:paraId="230B7B81"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678ABC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2E62E582"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lbp-2D_glszm_LargeAreaHighGrayLevelEmphasis</w:t>
            </w:r>
          </w:p>
        </w:tc>
      </w:tr>
      <w:tr w:rsidR="00D92FC3" w:rsidRPr="00DD0828" w14:paraId="011EF559"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A8DBE1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AC20AA2"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lbp-2D_glszm_LargeAreaLowGrayLevelEmphasis</w:t>
            </w:r>
          </w:p>
        </w:tc>
      </w:tr>
      <w:tr w:rsidR="00D92FC3" w:rsidRPr="00DD0828" w14:paraId="4B8E8F85"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1BB6FAA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5B994CE"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lbp-2D_glszm_LowGrayLevelZoneEmphasis</w:t>
            </w:r>
          </w:p>
        </w:tc>
      </w:tr>
      <w:tr w:rsidR="00D92FC3" w:rsidRPr="00DD0828" w14:paraId="348FD2EC"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724BA0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701A125"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lbp-2D_glszm_SizeZoneNonUniformity</w:t>
            </w:r>
          </w:p>
        </w:tc>
      </w:tr>
      <w:tr w:rsidR="00D92FC3" w:rsidRPr="00DD0828" w14:paraId="0300AD71"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C9B7058"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23193D2"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lbp-2D_glszm_SizeZoneNonUniformityNormalized</w:t>
            </w:r>
          </w:p>
        </w:tc>
      </w:tr>
      <w:tr w:rsidR="00D92FC3" w:rsidRPr="00DD0828" w14:paraId="1584D89E"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C0A8CD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BC9BDD8"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lbp-2D_glszm_SmallAreaEmphasis</w:t>
            </w:r>
          </w:p>
        </w:tc>
      </w:tr>
      <w:tr w:rsidR="00D92FC3" w:rsidRPr="00DD0828" w14:paraId="7B54029E"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476F460"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0289CB97"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lbp-2D_glszm_SmallAreaHighGrayLevelEmphasis</w:t>
            </w:r>
          </w:p>
        </w:tc>
      </w:tr>
      <w:tr w:rsidR="00D92FC3" w:rsidRPr="00DD0828" w14:paraId="7CF39F56"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60F57264"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433254FF"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lbp-2D_glszm_SmallAreaLowGrayLevelEmphasis</w:t>
            </w:r>
          </w:p>
        </w:tc>
      </w:tr>
      <w:tr w:rsidR="00D92FC3" w:rsidRPr="00DD0828" w14:paraId="09B8BF42"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2934AB3E"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49A2CE2"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lbp-2D_glszm_ZoneEntropy</w:t>
            </w:r>
          </w:p>
        </w:tc>
      </w:tr>
      <w:tr w:rsidR="00D92FC3" w:rsidRPr="00DD0828" w14:paraId="610355EC"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0F8E02B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60A3796"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lbp-2D_glszm_ZonePercentage</w:t>
            </w:r>
          </w:p>
        </w:tc>
      </w:tr>
      <w:tr w:rsidR="00D92FC3" w:rsidRPr="00DD0828" w14:paraId="5282C21A"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5804362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349EFDFE"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lbp-2D_glszm_ZoneVariance</w:t>
            </w:r>
          </w:p>
        </w:tc>
      </w:tr>
      <w:tr w:rsidR="00D92FC3" w:rsidRPr="00DD0828" w14:paraId="17E5E54B"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val="restart"/>
            <w:noWrap/>
          </w:tcPr>
          <w:p w14:paraId="7D5D4E90" w14:textId="77777777" w:rsidR="00D92FC3" w:rsidRPr="00DD0828" w:rsidRDefault="00D92FC3"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b w:val="0"/>
                <w:bCs w:val="0"/>
                <w:color w:val="000000" w:themeColor="text1"/>
                <w:kern w:val="0"/>
                <w:sz w:val="15"/>
                <w:szCs w:val="15"/>
              </w:rPr>
              <w:t>NGTDM</w:t>
            </w:r>
            <w:r w:rsidRPr="00DD0828">
              <w:rPr>
                <w:rFonts w:ascii="Times New Roman" w:eastAsia="等线" w:hAnsi="Times New Roman" w:cs="Times New Roman" w:hint="eastAsia"/>
                <w:b w:val="0"/>
                <w:bCs w:val="0"/>
                <w:color w:val="000000" w:themeColor="text1"/>
                <w:kern w:val="0"/>
                <w:sz w:val="15"/>
                <w:szCs w:val="15"/>
              </w:rPr>
              <w:t xml:space="preserve"> </w:t>
            </w:r>
            <w:r w:rsidRPr="00DD0828">
              <w:rPr>
                <w:rFonts w:ascii="Times New Roman" w:eastAsia="等线" w:hAnsi="Times New Roman" w:cs="Times New Roman"/>
                <w:b w:val="0"/>
                <w:bCs w:val="0"/>
                <w:color w:val="000000" w:themeColor="text1"/>
                <w:kern w:val="0"/>
                <w:sz w:val="15"/>
                <w:szCs w:val="15"/>
              </w:rPr>
              <w:t>(n=5)</w:t>
            </w:r>
          </w:p>
        </w:tc>
        <w:tc>
          <w:tcPr>
            <w:tcW w:w="6066" w:type="dxa"/>
            <w:noWrap/>
          </w:tcPr>
          <w:p w14:paraId="7F9BD276"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lbp-2D_ngtdm_Busyness</w:t>
            </w:r>
          </w:p>
        </w:tc>
      </w:tr>
      <w:tr w:rsidR="00D92FC3" w:rsidRPr="00DD0828" w14:paraId="21AADD50"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699A1B6D"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581B12BE"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lbp-2D_ngtdm_Coarseness</w:t>
            </w:r>
          </w:p>
        </w:tc>
      </w:tr>
      <w:tr w:rsidR="00D92FC3" w:rsidRPr="00DD0828" w14:paraId="75011521" w14:textId="77777777" w:rsidTr="00154353">
        <w:trPr>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32F91B2F"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19949ABD"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lbp-2D_ngtdm_Complexity</w:t>
            </w:r>
          </w:p>
        </w:tc>
      </w:tr>
      <w:tr w:rsidR="00D92FC3" w:rsidRPr="00DD0828" w14:paraId="06468AA1" w14:textId="77777777" w:rsidTr="001543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156" w:type="dxa"/>
            <w:vMerge/>
            <w:noWrap/>
          </w:tcPr>
          <w:p w14:paraId="4594965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70584B1D"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lbp-2D_ngtdm_Contrast</w:t>
            </w:r>
          </w:p>
        </w:tc>
      </w:tr>
      <w:tr w:rsidR="00D92FC3" w:rsidRPr="00DD0828" w14:paraId="47B606CF" w14:textId="77777777" w:rsidTr="00154353">
        <w:trPr>
          <w:trHeight w:val="44"/>
        </w:trPr>
        <w:tc>
          <w:tcPr>
            <w:cnfStyle w:val="001000000000" w:firstRow="0" w:lastRow="0" w:firstColumn="1" w:lastColumn="0" w:oddVBand="0" w:evenVBand="0" w:oddHBand="0" w:evenHBand="0" w:firstRowFirstColumn="0" w:firstRowLastColumn="0" w:lastRowFirstColumn="0" w:lastRowLastColumn="0"/>
            <w:tcW w:w="2156" w:type="dxa"/>
            <w:vMerge/>
            <w:noWrap/>
          </w:tcPr>
          <w:p w14:paraId="5B40F5F6"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p>
        </w:tc>
        <w:tc>
          <w:tcPr>
            <w:tcW w:w="6066" w:type="dxa"/>
            <w:noWrap/>
          </w:tcPr>
          <w:p w14:paraId="6628D666"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lbp-2D_ngtdm_Strength</w:t>
            </w:r>
          </w:p>
        </w:tc>
      </w:tr>
      <w:tr w:rsidR="00D92FC3" w:rsidRPr="00DD0828" w14:paraId="25B37E5A" w14:textId="77777777" w:rsidTr="00154353">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8222" w:type="dxa"/>
            <w:gridSpan w:val="2"/>
            <w:noWrap/>
          </w:tcPr>
          <w:p w14:paraId="2D30016D"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hint="eastAsia"/>
                <w:b w:val="0"/>
                <w:bCs w:val="0"/>
                <w:color w:val="000000" w:themeColor="text1"/>
                <w:kern w:val="0"/>
                <w:sz w:val="15"/>
                <w:szCs w:val="15"/>
              </w:rPr>
              <w:t>M</w:t>
            </w:r>
            <w:r w:rsidRPr="00DD0828">
              <w:rPr>
                <w:rFonts w:ascii="Times New Roman" w:eastAsia="等线" w:hAnsi="Times New Roman" w:cs="Times New Roman"/>
                <w:b w:val="0"/>
                <w:bCs w:val="0"/>
                <w:color w:val="000000" w:themeColor="text1"/>
                <w:kern w:val="0"/>
                <w:sz w:val="15"/>
                <w:szCs w:val="15"/>
              </w:rPr>
              <w:t>SI Features (n=22)</w:t>
            </w:r>
          </w:p>
        </w:tc>
      </w:tr>
      <w:tr w:rsidR="00D92FC3" w:rsidRPr="00DD0828" w14:paraId="6CAB93BD" w14:textId="77777777" w:rsidTr="00154353">
        <w:trPr>
          <w:trHeight w:val="44"/>
        </w:trPr>
        <w:tc>
          <w:tcPr>
            <w:cnfStyle w:val="001000000000" w:firstRow="0" w:lastRow="0" w:firstColumn="1" w:lastColumn="0" w:oddVBand="0" w:evenVBand="0" w:oddHBand="0" w:evenHBand="0" w:firstRowFirstColumn="0" w:firstRowLastColumn="0" w:lastRowFirstColumn="0" w:lastRowLastColumn="0"/>
            <w:tcW w:w="2156" w:type="dxa"/>
            <w:noWrap/>
          </w:tcPr>
          <w:p w14:paraId="72030EAB"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First order, absolute counts based on MSI matrix (n=9)</w:t>
            </w:r>
          </w:p>
        </w:tc>
        <w:tc>
          <w:tcPr>
            <w:tcW w:w="6066" w:type="dxa"/>
            <w:noWrap/>
          </w:tcPr>
          <w:p w14:paraId="7A56BD5D"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Volume of each subregion (diagonal) and borders of two differing subregions (off-diagonal)</w:t>
            </w:r>
          </w:p>
        </w:tc>
      </w:tr>
      <w:tr w:rsidR="00D92FC3" w:rsidRPr="00DD0828" w14:paraId="00FF3C1D" w14:textId="77777777" w:rsidTr="00154353">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2156" w:type="dxa"/>
            <w:noWrap/>
          </w:tcPr>
          <w:p w14:paraId="0D4FBCB7"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First order, relative counts based on normalized MSI matrix (n=9)</w:t>
            </w:r>
          </w:p>
        </w:tc>
        <w:tc>
          <w:tcPr>
            <w:tcW w:w="6066" w:type="dxa"/>
            <w:noWrap/>
          </w:tcPr>
          <w:p w14:paraId="4707601E" w14:textId="77777777" w:rsidR="00D92FC3" w:rsidRPr="00DD0828" w:rsidRDefault="00D92FC3"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Proportion of each subregion and borders of two differing subregions</w:t>
            </w:r>
          </w:p>
        </w:tc>
      </w:tr>
      <w:tr w:rsidR="00D92FC3" w:rsidRPr="00DD0828" w14:paraId="73AE23E1" w14:textId="77777777" w:rsidTr="00154353">
        <w:trPr>
          <w:trHeight w:val="44"/>
        </w:trPr>
        <w:tc>
          <w:tcPr>
            <w:cnfStyle w:val="001000000000" w:firstRow="0" w:lastRow="0" w:firstColumn="1" w:lastColumn="0" w:oddVBand="0" w:evenVBand="0" w:oddHBand="0" w:evenHBand="0" w:firstRowFirstColumn="0" w:firstRowLastColumn="0" w:lastRowFirstColumn="0" w:lastRowLastColumn="0"/>
            <w:tcW w:w="2156" w:type="dxa"/>
            <w:noWrap/>
          </w:tcPr>
          <w:p w14:paraId="5AB1D683" w14:textId="77777777" w:rsidR="00D92FC3" w:rsidRPr="00DD0828" w:rsidRDefault="00D92FC3" w:rsidP="003A3B4A">
            <w:pPr>
              <w:widowControl/>
              <w:jc w:val="center"/>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Second order, (n=4)</w:t>
            </w:r>
          </w:p>
        </w:tc>
        <w:tc>
          <w:tcPr>
            <w:tcW w:w="6066" w:type="dxa"/>
            <w:noWrap/>
          </w:tcPr>
          <w:p w14:paraId="737F3F59" w14:textId="77777777" w:rsidR="00D92FC3" w:rsidRPr="00DD0828" w:rsidRDefault="00D92FC3"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DD0828">
              <w:rPr>
                <w:rFonts w:ascii="Times New Roman" w:eastAsia="等线" w:hAnsi="Times New Roman" w:cs="Times New Roman"/>
                <w:color w:val="000000" w:themeColor="text1"/>
                <w:kern w:val="0"/>
                <w:sz w:val="15"/>
                <w:szCs w:val="15"/>
              </w:rPr>
              <w:t>Summary statistics of spatial heterogeneity of intratumor subregion maps</w:t>
            </w:r>
            <w:r w:rsidRPr="00DD0828">
              <w:rPr>
                <w:rFonts w:ascii="Times New Roman" w:eastAsia="等线" w:hAnsi="Times New Roman" w:cs="Times New Roman" w:hint="eastAsia"/>
                <w:color w:val="000000" w:themeColor="text1"/>
                <w:kern w:val="0"/>
                <w:sz w:val="15"/>
                <w:szCs w:val="15"/>
              </w:rPr>
              <w:t xml:space="preserve">, including </w:t>
            </w:r>
            <w:r w:rsidRPr="00DD0828">
              <w:rPr>
                <w:rFonts w:ascii="Times New Roman" w:eastAsia="等线" w:hAnsi="Times New Roman" w:cs="Times New Roman"/>
                <w:color w:val="000000" w:themeColor="text1"/>
                <w:kern w:val="0"/>
                <w:sz w:val="15"/>
                <w:szCs w:val="15"/>
              </w:rPr>
              <w:t>contrast, homogeneity, correlation, and energy based on normalized MSI matrix</w:t>
            </w:r>
            <w:r w:rsidRPr="00DD0828">
              <w:rPr>
                <w:rFonts w:ascii="Times New Roman" w:eastAsia="等线" w:hAnsi="Times New Roman" w:cs="Times New Roman" w:hint="eastAsia"/>
                <w:color w:val="000000" w:themeColor="text1"/>
                <w:kern w:val="0"/>
                <w:sz w:val="15"/>
                <w:szCs w:val="15"/>
              </w:rPr>
              <w:t>.</w:t>
            </w:r>
          </w:p>
        </w:tc>
      </w:tr>
    </w:tbl>
    <w:p w14:paraId="59755849" w14:textId="77777777" w:rsidR="00D92FC3" w:rsidRPr="00DD0828" w:rsidRDefault="00D92FC3" w:rsidP="003A3B4A">
      <w:pPr>
        <w:widowControl/>
        <w:jc w:val="left"/>
        <w:rPr>
          <w:rFonts w:ascii="Times New Roman" w:hAnsi="Times New Roman" w:cs="Times New Roman"/>
          <w:color w:val="000000" w:themeColor="text1"/>
          <w:sz w:val="15"/>
          <w:szCs w:val="15"/>
        </w:rPr>
      </w:pPr>
    </w:p>
    <w:p w14:paraId="2695F04B" w14:textId="4F8DC91D" w:rsidR="00D55850" w:rsidRPr="00DD0828" w:rsidRDefault="00D55850" w:rsidP="003A3B4A">
      <w:pPr>
        <w:rPr>
          <w:rFonts w:ascii="Times New Roman" w:hAnsi="Times New Roman" w:cs="Times New Roman"/>
          <w:b/>
          <w:bCs/>
          <w:color w:val="000000" w:themeColor="text1"/>
          <w:sz w:val="15"/>
          <w:szCs w:val="15"/>
        </w:rPr>
      </w:pPr>
      <w:r w:rsidRPr="00586EE9">
        <w:rPr>
          <w:rFonts w:ascii="Times New Roman" w:eastAsia="等线" w:hAnsi="Times New Roman" w:cs="Times New Roman"/>
          <w:b/>
          <w:bCs/>
          <w:color w:val="000000" w:themeColor="text1"/>
          <w:kern w:val="0"/>
          <w:sz w:val="15"/>
          <w:szCs w:val="15"/>
        </w:rPr>
        <w:t>Table E</w:t>
      </w:r>
      <w:r w:rsidR="00D92FC3" w:rsidRPr="00586EE9">
        <w:rPr>
          <w:rFonts w:ascii="Times New Roman" w:eastAsia="等线" w:hAnsi="Times New Roman" w:cs="Times New Roman" w:hint="eastAsia"/>
          <w:b/>
          <w:bCs/>
          <w:color w:val="000000" w:themeColor="text1"/>
          <w:kern w:val="0"/>
          <w:sz w:val="15"/>
          <w:szCs w:val="15"/>
        </w:rPr>
        <w:t>5</w:t>
      </w:r>
      <w:r w:rsidRPr="00586EE9">
        <w:rPr>
          <w:rFonts w:ascii="Times New Roman" w:eastAsia="等线" w:hAnsi="Times New Roman" w:cs="Times New Roman"/>
          <w:b/>
          <w:bCs/>
          <w:color w:val="000000" w:themeColor="text1"/>
          <w:kern w:val="0"/>
          <w:sz w:val="15"/>
          <w:szCs w:val="15"/>
        </w:rPr>
        <w:t>.</w:t>
      </w:r>
      <w:r w:rsidR="00FF2ED0" w:rsidRPr="00586EE9">
        <w:rPr>
          <w:rFonts w:ascii="Times New Roman" w:eastAsia="等线" w:hAnsi="Times New Roman" w:cs="Times New Roman" w:hint="eastAsia"/>
          <w:b/>
          <w:bCs/>
          <w:color w:val="000000" w:themeColor="text1"/>
          <w:kern w:val="0"/>
          <w:sz w:val="15"/>
          <w:szCs w:val="15"/>
        </w:rPr>
        <w:t xml:space="preserve"> The</w:t>
      </w:r>
      <w:r w:rsidRPr="00586EE9">
        <w:rPr>
          <w:rFonts w:ascii="Times New Roman" w:eastAsia="等线" w:hAnsi="Times New Roman" w:cs="Times New Roman"/>
          <w:b/>
          <w:bCs/>
          <w:color w:val="000000" w:themeColor="text1"/>
          <w:kern w:val="0"/>
          <w:sz w:val="15"/>
          <w:szCs w:val="15"/>
        </w:rPr>
        <w:t xml:space="preserve"> </w:t>
      </w:r>
      <w:r w:rsidR="00FF2ED0" w:rsidRPr="00586EE9">
        <w:rPr>
          <w:rFonts w:ascii="Times New Roman" w:eastAsia="等线" w:hAnsi="Times New Roman" w:cs="Times New Roman"/>
          <w:b/>
          <w:bCs/>
          <w:color w:val="000000" w:themeColor="text1"/>
          <w:kern w:val="0"/>
          <w:sz w:val="15"/>
          <w:szCs w:val="15"/>
        </w:rPr>
        <w:t>serial number</w:t>
      </w:r>
      <w:r w:rsidRPr="00586EE9">
        <w:rPr>
          <w:rFonts w:ascii="Times New Roman" w:eastAsia="等线" w:hAnsi="Times New Roman" w:cs="Times New Roman" w:hint="eastAsia"/>
          <w:b/>
          <w:bCs/>
          <w:color w:val="000000" w:themeColor="text1"/>
          <w:kern w:val="0"/>
          <w:sz w:val="15"/>
          <w:szCs w:val="15"/>
        </w:rPr>
        <w:t xml:space="preserve"> of</w:t>
      </w:r>
      <w:r w:rsidRPr="00586EE9">
        <w:rPr>
          <w:rFonts w:ascii="Times New Roman" w:hAnsi="Times New Roman" w:cs="Times New Roman"/>
          <w:b/>
          <w:bCs/>
          <w:color w:val="000000" w:themeColor="text1"/>
          <w:sz w:val="15"/>
          <w:szCs w:val="15"/>
        </w:rPr>
        <w:t xml:space="preserve"> radiomic features in this study.</w:t>
      </w:r>
    </w:p>
    <w:tbl>
      <w:tblPr>
        <w:tblStyle w:val="11"/>
        <w:tblW w:w="8217" w:type="dxa"/>
        <w:tblLayout w:type="fixed"/>
        <w:tblLook w:val="04A0" w:firstRow="1" w:lastRow="0" w:firstColumn="1" w:lastColumn="0" w:noHBand="0" w:noVBand="1"/>
      </w:tblPr>
      <w:tblGrid>
        <w:gridCol w:w="6091"/>
        <w:gridCol w:w="2126"/>
      </w:tblGrid>
      <w:tr w:rsidR="00D55850" w:rsidRPr="00DD0828" w14:paraId="60853973" w14:textId="77777777" w:rsidTr="003A3B4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613037CC" w14:textId="77777777" w:rsidR="00D55850" w:rsidRPr="00DD0828" w:rsidRDefault="00D55850" w:rsidP="003A3B4A">
            <w:pPr>
              <w:widowControl/>
              <w:jc w:val="center"/>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color w:val="000000" w:themeColor="text1"/>
                <w:kern w:val="0"/>
                <w:sz w:val="15"/>
                <w:szCs w:val="15"/>
              </w:rPr>
              <w:t>Feature types</w:t>
            </w:r>
          </w:p>
        </w:tc>
        <w:tc>
          <w:tcPr>
            <w:tcW w:w="2126" w:type="dxa"/>
          </w:tcPr>
          <w:p w14:paraId="11D9830D" w14:textId="77777777" w:rsidR="00D55850" w:rsidRPr="00DD0828" w:rsidRDefault="00D55850" w:rsidP="003A3B4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color w:val="000000" w:themeColor="text1"/>
                <w:kern w:val="0"/>
                <w:sz w:val="15"/>
                <w:szCs w:val="15"/>
              </w:rPr>
              <w:t>Numbers</w:t>
            </w:r>
          </w:p>
        </w:tc>
      </w:tr>
      <w:tr w:rsidR="00D55850" w:rsidRPr="00DD0828" w14:paraId="00B89B89"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71F9E5AA"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hint="eastAsia"/>
                <w:color w:val="000000" w:themeColor="text1"/>
                <w:kern w:val="0"/>
                <w:sz w:val="15"/>
                <w:szCs w:val="15"/>
              </w:rPr>
              <w:lastRenderedPageBreak/>
              <w:t>Poor</w:t>
            </w:r>
            <w:r w:rsidRPr="00DD0828">
              <w:rPr>
                <w:rFonts w:ascii="Times New Roman" w:eastAsia="等线" w:hAnsi="Times New Roman" w:cs="Times New Roman"/>
                <w:color w:val="000000" w:themeColor="text1"/>
                <w:kern w:val="0"/>
                <w:sz w:val="15"/>
                <w:szCs w:val="15"/>
              </w:rPr>
              <w:t xml:space="preserve"> </w:t>
            </w:r>
            <w:r w:rsidRPr="00DD0828">
              <w:rPr>
                <w:rFonts w:ascii="Times New Roman" w:eastAsia="等线" w:hAnsi="Times New Roman" w:cs="Times New Roman" w:hint="eastAsia"/>
                <w:color w:val="000000" w:themeColor="text1"/>
                <w:kern w:val="0"/>
                <w:sz w:val="15"/>
                <w:szCs w:val="15"/>
              </w:rPr>
              <w:t>I</w:t>
            </w:r>
            <w:r w:rsidRPr="00DD0828">
              <w:rPr>
                <w:rFonts w:ascii="Times New Roman" w:eastAsia="等线" w:hAnsi="Times New Roman" w:cs="Times New Roman"/>
                <w:color w:val="000000" w:themeColor="text1"/>
                <w:kern w:val="0"/>
                <w:sz w:val="15"/>
                <w:szCs w:val="15"/>
              </w:rPr>
              <w:t>ntratumoral Subregion</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1AEC9263" w14:textId="77777777" w:rsidR="00D55850" w:rsidRPr="00DD0828" w:rsidRDefault="00D55850"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w:t>
            </w:r>
            <w:r w:rsidRPr="00DD0828">
              <w:rPr>
                <w:rFonts w:ascii="Times New Roman" w:hAnsi="Times New Roman" w:cs="Times New Roman" w:hint="eastAsia"/>
                <w:color w:val="000000" w:themeColor="text1"/>
                <w:sz w:val="15"/>
                <w:szCs w:val="15"/>
              </w:rPr>
              <w:t>1</w:t>
            </w:r>
            <w:r w:rsidRPr="00DD0828">
              <w:rPr>
                <w:rFonts w:ascii="Times New Roman" w:hAnsi="Times New Roman" w:cs="Times New Roman"/>
                <w:color w:val="000000" w:themeColor="text1"/>
                <w:sz w:val="15"/>
                <w:szCs w:val="15"/>
              </w:rPr>
              <w:t>-</w:t>
            </w:r>
            <w:r w:rsidRPr="00DD0828">
              <w:rPr>
                <w:rFonts w:ascii="Times New Roman" w:hAnsi="Times New Roman" w:cs="Times New Roman" w:hint="eastAsia"/>
                <w:color w:val="000000" w:themeColor="text1"/>
                <w:sz w:val="15"/>
                <w:szCs w:val="15"/>
              </w:rPr>
              <w:t>V</w:t>
            </w:r>
            <w:r w:rsidRPr="00DD0828">
              <w:rPr>
                <w:rFonts w:ascii="Times New Roman" w:hAnsi="Times New Roman" w:cs="Times New Roman"/>
                <w:color w:val="000000" w:themeColor="text1"/>
                <w:sz w:val="15"/>
                <w:szCs w:val="15"/>
              </w:rPr>
              <w:t>85</w:t>
            </w:r>
            <w:r w:rsidRPr="00DD0828">
              <w:rPr>
                <w:rFonts w:ascii="Times New Roman" w:hAnsi="Times New Roman" w:cs="Times New Roman" w:hint="eastAsia"/>
                <w:color w:val="000000" w:themeColor="text1"/>
                <w:sz w:val="15"/>
                <w:szCs w:val="15"/>
              </w:rPr>
              <w:t>1</w:t>
            </w:r>
          </w:p>
        </w:tc>
      </w:tr>
      <w:tr w:rsidR="00D55850" w:rsidRPr="00DD0828" w14:paraId="434D462C"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453399C1"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color w:val="000000" w:themeColor="text1"/>
                <w:kern w:val="0"/>
                <w:sz w:val="15"/>
                <w:szCs w:val="15"/>
              </w:rPr>
              <w:t xml:space="preserve">Moderate </w:t>
            </w:r>
            <w:r w:rsidRPr="00DD0828">
              <w:rPr>
                <w:rFonts w:ascii="Times New Roman" w:eastAsia="等线" w:hAnsi="Times New Roman" w:cs="Times New Roman" w:hint="eastAsia"/>
                <w:color w:val="000000" w:themeColor="text1"/>
                <w:kern w:val="0"/>
                <w:sz w:val="15"/>
                <w:szCs w:val="15"/>
              </w:rPr>
              <w:t>I</w:t>
            </w:r>
            <w:r w:rsidRPr="00DD0828">
              <w:rPr>
                <w:rFonts w:ascii="Times New Roman" w:eastAsia="等线" w:hAnsi="Times New Roman" w:cs="Times New Roman"/>
                <w:color w:val="000000" w:themeColor="text1"/>
                <w:kern w:val="0"/>
                <w:sz w:val="15"/>
                <w:szCs w:val="15"/>
              </w:rPr>
              <w:t>ntratumoral Subregion</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679E69CA" w14:textId="77777777" w:rsidR="00D55850" w:rsidRPr="00DD0828" w:rsidRDefault="00D55850"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V852-V1702</w:t>
            </w:r>
          </w:p>
        </w:tc>
      </w:tr>
      <w:tr w:rsidR="00D55850" w:rsidRPr="00DD0828" w14:paraId="40B73DFC"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0689CD05"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hint="eastAsia"/>
                <w:color w:val="000000" w:themeColor="text1"/>
                <w:kern w:val="0"/>
                <w:sz w:val="15"/>
                <w:szCs w:val="15"/>
              </w:rPr>
              <w:t>High</w:t>
            </w:r>
            <w:r w:rsidRPr="00DD0828">
              <w:rPr>
                <w:rFonts w:ascii="Times New Roman" w:eastAsia="等线" w:hAnsi="Times New Roman" w:cs="Times New Roman"/>
                <w:color w:val="000000" w:themeColor="text1"/>
                <w:kern w:val="0"/>
                <w:sz w:val="15"/>
                <w:szCs w:val="15"/>
              </w:rPr>
              <w:t xml:space="preserve"> </w:t>
            </w:r>
            <w:r w:rsidRPr="00DD0828">
              <w:rPr>
                <w:rFonts w:ascii="Times New Roman" w:eastAsia="等线" w:hAnsi="Times New Roman" w:cs="Times New Roman" w:hint="eastAsia"/>
                <w:color w:val="000000" w:themeColor="text1"/>
                <w:kern w:val="0"/>
                <w:sz w:val="15"/>
                <w:szCs w:val="15"/>
              </w:rPr>
              <w:t>I</w:t>
            </w:r>
            <w:r w:rsidRPr="00DD0828">
              <w:rPr>
                <w:rFonts w:ascii="Times New Roman" w:eastAsia="等线" w:hAnsi="Times New Roman" w:cs="Times New Roman"/>
                <w:color w:val="000000" w:themeColor="text1"/>
                <w:kern w:val="0"/>
                <w:sz w:val="15"/>
                <w:szCs w:val="15"/>
              </w:rPr>
              <w:t>ntratumoral Subregion</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6F8AF3C8" w14:textId="77777777" w:rsidR="00D55850" w:rsidRPr="00DD0828" w:rsidRDefault="00D55850"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V1703-V2553</w:t>
            </w:r>
          </w:p>
        </w:tc>
      </w:tr>
      <w:tr w:rsidR="00D55850" w:rsidRPr="00DD0828" w14:paraId="4012599C"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50D1CFFA"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hint="eastAsia"/>
                <w:color w:val="000000" w:themeColor="text1"/>
                <w:kern w:val="0"/>
                <w:sz w:val="15"/>
                <w:szCs w:val="15"/>
              </w:rPr>
              <w:t>P</w:t>
            </w:r>
            <w:r w:rsidRPr="00DD0828">
              <w:rPr>
                <w:rFonts w:ascii="Times New Roman" w:eastAsia="等线" w:hAnsi="Times New Roman" w:cs="Times New Roman"/>
                <w:color w:val="000000" w:themeColor="text1"/>
                <w:kern w:val="0"/>
                <w:sz w:val="15"/>
                <w:szCs w:val="15"/>
              </w:rPr>
              <w:t>eritumoral Region</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1C248516" w14:textId="77777777" w:rsidR="00D55850" w:rsidRPr="00DD0828" w:rsidRDefault="00D55850"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V2554-V3404</w:t>
            </w:r>
          </w:p>
        </w:tc>
      </w:tr>
      <w:tr w:rsidR="00D55850" w:rsidRPr="00DD0828" w14:paraId="6AACC6AE"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1B048D7E"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color w:val="000000" w:themeColor="text1"/>
                <w:kern w:val="0"/>
                <w:sz w:val="15"/>
                <w:szCs w:val="15"/>
              </w:rPr>
              <w:t>W</w:t>
            </w:r>
            <w:r w:rsidRPr="00DD0828">
              <w:rPr>
                <w:rFonts w:ascii="Times New Roman" w:eastAsia="等线" w:hAnsi="Times New Roman" w:cs="Times New Roman" w:hint="eastAsia"/>
                <w:color w:val="000000" w:themeColor="text1"/>
                <w:kern w:val="0"/>
                <w:sz w:val="15"/>
                <w:szCs w:val="15"/>
              </w:rPr>
              <w:t>ho</w:t>
            </w:r>
            <w:r w:rsidRPr="00DD0828">
              <w:rPr>
                <w:rFonts w:ascii="Times New Roman" w:eastAsia="等线" w:hAnsi="Times New Roman" w:cs="Times New Roman"/>
                <w:color w:val="000000" w:themeColor="text1"/>
                <w:kern w:val="0"/>
                <w:sz w:val="15"/>
                <w:szCs w:val="15"/>
              </w:rPr>
              <w:t>le-tumor Region (pre-contrast)</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18B4C9C2" w14:textId="77777777" w:rsidR="00D55850" w:rsidRPr="00DD0828" w:rsidRDefault="00D55850"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V3405-V4255</w:t>
            </w:r>
          </w:p>
        </w:tc>
      </w:tr>
      <w:tr w:rsidR="00D55850" w:rsidRPr="00DD0828" w14:paraId="6539F6CF"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014EEBB0"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color w:val="000000" w:themeColor="text1"/>
                <w:kern w:val="0"/>
                <w:sz w:val="15"/>
                <w:szCs w:val="15"/>
              </w:rPr>
              <w:t>W</w:t>
            </w:r>
            <w:r w:rsidRPr="00DD0828">
              <w:rPr>
                <w:rFonts w:ascii="Times New Roman" w:eastAsia="等线" w:hAnsi="Times New Roman" w:cs="Times New Roman" w:hint="eastAsia"/>
                <w:color w:val="000000" w:themeColor="text1"/>
                <w:kern w:val="0"/>
                <w:sz w:val="15"/>
                <w:szCs w:val="15"/>
              </w:rPr>
              <w:t>ho</w:t>
            </w:r>
            <w:r w:rsidRPr="00DD0828">
              <w:rPr>
                <w:rFonts w:ascii="Times New Roman" w:eastAsia="等线" w:hAnsi="Times New Roman" w:cs="Times New Roman"/>
                <w:color w:val="000000" w:themeColor="text1"/>
                <w:kern w:val="0"/>
                <w:sz w:val="15"/>
                <w:szCs w:val="15"/>
              </w:rPr>
              <w:t>le-tumor Region (early-contrast)</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4BB476AF" w14:textId="77777777" w:rsidR="00D55850" w:rsidRPr="00DD0828" w:rsidRDefault="00D55850" w:rsidP="003A3B4A">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V4256-V5106</w:t>
            </w:r>
          </w:p>
        </w:tc>
      </w:tr>
      <w:tr w:rsidR="00D55850" w:rsidRPr="00DD0828" w14:paraId="5CD39AB1"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7BBE4354" w14:textId="77777777" w:rsidR="00D55850" w:rsidRPr="00DD0828" w:rsidRDefault="00D55850" w:rsidP="003A3B4A">
            <w:pPr>
              <w:widowControl/>
              <w:jc w:val="left"/>
              <w:rPr>
                <w:rFonts w:ascii="Times New Roman" w:eastAsia="等线" w:hAnsi="Times New Roman" w:cs="Times New Roman"/>
                <w:b w:val="0"/>
                <w:bCs w:val="0"/>
                <w:color w:val="000000" w:themeColor="text1"/>
                <w:kern w:val="0"/>
                <w:sz w:val="15"/>
                <w:szCs w:val="15"/>
              </w:rPr>
            </w:pPr>
            <w:r w:rsidRPr="00DD0828">
              <w:rPr>
                <w:rFonts w:ascii="Times New Roman" w:eastAsia="等线" w:hAnsi="Times New Roman" w:cs="Times New Roman"/>
                <w:color w:val="000000" w:themeColor="text1"/>
                <w:kern w:val="0"/>
                <w:sz w:val="15"/>
                <w:szCs w:val="15"/>
              </w:rPr>
              <w:t>W</w:t>
            </w:r>
            <w:r w:rsidRPr="00DD0828">
              <w:rPr>
                <w:rFonts w:ascii="Times New Roman" w:eastAsia="等线" w:hAnsi="Times New Roman" w:cs="Times New Roman" w:hint="eastAsia"/>
                <w:color w:val="000000" w:themeColor="text1"/>
                <w:kern w:val="0"/>
                <w:sz w:val="15"/>
                <w:szCs w:val="15"/>
              </w:rPr>
              <w:t>ho</w:t>
            </w:r>
            <w:r w:rsidRPr="00DD0828">
              <w:rPr>
                <w:rFonts w:ascii="Times New Roman" w:eastAsia="等线" w:hAnsi="Times New Roman" w:cs="Times New Roman"/>
                <w:color w:val="000000" w:themeColor="text1"/>
                <w:kern w:val="0"/>
                <w:sz w:val="15"/>
                <w:szCs w:val="15"/>
              </w:rPr>
              <w:t>le-tumor Region (late-contrast)</w:t>
            </w:r>
            <w:r w:rsidRPr="00DD0828">
              <w:rPr>
                <w:rFonts w:ascii="Times New Roman" w:eastAsia="等线" w:hAnsi="Times New Roman" w:cs="Times New Roman" w:hint="eastAsia"/>
                <w:color w:val="000000" w:themeColor="text1"/>
                <w:kern w:val="0"/>
                <w:sz w:val="15"/>
                <w:szCs w:val="15"/>
              </w:rPr>
              <w:t xml:space="preserve"> </w:t>
            </w:r>
            <w:r w:rsidRPr="00DD0828">
              <w:rPr>
                <w:rFonts w:ascii="Times New Roman" w:eastAsia="等线" w:hAnsi="Times New Roman" w:cs="Times New Roman"/>
                <w:color w:val="000000" w:themeColor="text1"/>
                <w:kern w:val="0"/>
                <w:sz w:val="15"/>
                <w:szCs w:val="15"/>
              </w:rPr>
              <w:t>(</w:t>
            </w:r>
            <w:r w:rsidRPr="00DD0828">
              <w:rPr>
                <w:rFonts w:ascii="Times New Roman" w:eastAsia="等线" w:hAnsi="Times New Roman" w:cs="Times New Roman" w:hint="eastAsia"/>
                <w:color w:val="000000" w:themeColor="text1"/>
                <w:kern w:val="0"/>
                <w:sz w:val="15"/>
                <w:szCs w:val="15"/>
              </w:rPr>
              <w:t>n=851</w:t>
            </w:r>
            <w:r w:rsidRPr="00DD0828">
              <w:rPr>
                <w:rFonts w:ascii="Times New Roman" w:eastAsia="等线" w:hAnsi="Times New Roman" w:cs="Times New Roman"/>
                <w:color w:val="000000" w:themeColor="text1"/>
                <w:kern w:val="0"/>
                <w:sz w:val="15"/>
                <w:szCs w:val="15"/>
              </w:rPr>
              <w:t>)</w:t>
            </w:r>
          </w:p>
        </w:tc>
        <w:tc>
          <w:tcPr>
            <w:tcW w:w="2126" w:type="dxa"/>
            <w:noWrap/>
          </w:tcPr>
          <w:p w14:paraId="4D29EF71" w14:textId="77777777" w:rsidR="00D55850" w:rsidRPr="00DD0828" w:rsidRDefault="00D55850" w:rsidP="003A3B4A">
            <w:pPr>
              <w:widowContro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rPr>
            </w:pPr>
            <w:r w:rsidRPr="00DD0828">
              <w:rPr>
                <w:rFonts w:ascii="Times New Roman" w:hAnsi="Times New Roman" w:cs="Times New Roman"/>
                <w:color w:val="000000" w:themeColor="text1"/>
                <w:sz w:val="15"/>
                <w:szCs w:val="15"/>
              </w:rPr>
              <w:t>V5107-V5957</w:t>
            </w:r>
          </w:p>
        </w:tc>
      </w:tr>
      <w:tr w:rsidR="00BE59C2" w:rsidRPr="00DD0828" w14:paraId="704063CE"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3CE24D92" w14:textId="1C321C63" w:rsidR="00BE59C2" w:rsidRPr="00BE59C2" w:rsidRDefault="00BE59C2" w:rsidP="00BE59C2">
            <w:pPr>
              <w:widowControl/>
              <w:jc w:val="left"/>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Kinetic features (n=1674)</w:t>
            </w:r>
          </w:p>
        </w:tc>
        <w:tc>
          <w:tcPr>
            <w:tcW w:w="2126" w:type="dxa"/>
            <w:noWrap/>
          </w:tcPr>
          <w:p w14:paraId="50C6A8A3" w14:textId="0FBDAA22" w:rsidR="00BE59C2" w:rsidRPr="00BE59C2" w:rsidRDefault="00BE59C2" w:rsidP="00BE59C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V5958</w:t>
            </w:r>
            <w:r w:rsidRPr="00BE59C2">
              <w:rPr>
                <w:rFonts w:ascii="Times New Roman" w:eastAsia="等线" w:hAnsi="Times New Roman" w:cs="Times New Roman" w:hint="eastAsia"/>
                <w:color w:val="000000" w:themeColor="text1"/>
                <w:kern w:val="0"/>
                <w:sz w:val="15"/>
                <w:szCs w:val="15"/>
              </w:rPr>
              <w:t>–</w:t>
            </w:r>
            <w:r w:rsidRPr="00BE59C2">
              <w:rPr>
                <w:rFonts w:ascii="Times New Roman" w:eastAsia="等线" w:hAnsi="Times New Roman" w:cs="Times New Roman" w:hint="eastAsia"/>
                <w:color w:val="000000" w:themeColor="text1"/>
                <w:kern w:val="0"/>
                <w:sz w:val="15"/>
                <w:szCs w:val="15"/>
              </w:rPr>
              <w:t>V7631</w:t>
            </w:r>
          </w:p>
        </w:tc>
      </w:tr>
      <w:tr w:rsidR="00BE59C2" w:rsidRPr="00DD0828" w14:paraId="27515EFD"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7141D9EF" w14:textId="10795CBB" w:rsidR="00BE59C2" w:rsidRPr="008B74B5" w:rsidRDefault="00BE59C2" w:rsidP="00BE59C2">
            <w:pPr>
              <w:widowControl/>
              <w:jc w:val="left"/>
              <w:rPr>
                <w:rFonts w:ascii="Times New Roman" w:eastAsia="等线" w:hAnsi="Times New Roman" w:cs="Times New Roman"/>
                <w:b w:val="0"/>
                <w:bCs w:val="0"/>
                <w:color w:val="000000" w:themeColor="text1"/>
                <w:kern w:val="0"/>
                <w:sz w:val="15"/>
                <w:szCs w:val="15"/>
              </w:rPr>
            </w:pPr>
            <w:r w:rsidRPr="008B74B5">
              <w:rPr>
                <w:rFonts w:ascii="Times New Roman" w:eastAsia="等线" w:hAnsi="Times New Roman" w:cs="Times New Roman" w:hint="eastAsia"/>
                <w:b w:val="0"/>
                <w:bCs w:val="0"/>
                <w:color w:val="000000" w:themeColor="text1"/>
                <w:kern w:val="0"/>
                <w:sz w:val="15"/>
                <w:szCs w:val="15"/>
              </w:rPr>
              <w:t>Mean (n=837)</w:t>
            </w:r>
          </w:p>
        </w:tc>
        <w:tc>
          <w:tcPr>
            <w:tcW w:w="2126" w:type="dxa"/>
            <w:noWrap/>
          </w:tcPr>
          <w:p w14:paraId="065288A9" w14:textId="14D9380B" w:rsidR="00BE59C2" w:rsidRPr="00BE59C2" w:rsidRDefault="00BE59C2" w:rsidP="00BE59C2">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w:t>
            </w:r>
          </w:p>
        </w:tc>
      </w:tr>
      <w:tr w:rsidR="00BE59C2" w:rsidRPr="00DD0828" w14:paraId="53FD330B"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77B5CE19" w14:textId="3198930D" w:rsidR="00BE59C2" w:rsidRPr="008B74B5" w:rsidRDefault="00BE59C2" w:rsidP="00BE59C2">
            <w:pPr>
              <w:widowControl/>
              <w:jc w:val="left"/>
              <w:rPr>
                <w:rFonts w:ascii="Times New Roman" w:eastAsia="等线" w:hAnsi="Times New Roman" w:cs="Times New Roman"/>
                <w:b w:val="0"/>
                <w:bCs w:val="0"/>
                <w:color w:val="000000" w:themeColor="text1"/>
                <w:kern w:val="0"/>
                <w:sz w:val="15"/>
                <w:szCs w:val="15"/>
              </w:rPr>
            </w:pPr>
            <w:r w:rsidRPr="008B74B5">
              <w:rPr>
                <w:rFonts w:ascii="Times New Roman" w:eastAsia="等线" w:hAnsi="Times New Roman" w:cs="Times New Roman" w:hint="eastAsia"/>
                <w:b w:val="0"/>
                <w:bCs w:val="0"/>
                <w:color w:val="000000" w:themeColor="text1"/>
                <w:kern w:val="0"/>
                <w:sz w:val="15"/>
                <w:szCs w:val="15"/>
              </w:rPr>
              <w:t>Variance (n=837)</w:t>
            </w:r>
          </w:p>
        </w:tc>
        <w:tc>
          <w:tcPr>
            <w:tcW w:w="2126" w:type="dxa"/>
            <w:noWrap/>
          </w:tcPr>
          <w:p w14:paraId="14B08C25" w14:textId="179156F4" w:rsidR="00BE59C2" w:rsidRPr="00BE59C2" w:rsidRDefault="00BE59C2" w:rsidP="00BE59C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w:t>
            </w:r>
          </w:p>
        </w:tc>
      </w:tr>
      <w:tr w:rsidR="00BE59C2" w:rsidRPr="00DD0828" w14:paraId="10D43B7C"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339C1167" w14:textId="46C5C6BF" w:rsidR="00BE59C2" w:rsidRPr="00BE59C2" w:rsidRDefault="00BE59C2" w:rsidP="00BE59C2">
            <w:pPr>
              <w:widowControl/>
              <w:jc w:val="left"/>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MSI features (n=22)</w:t>
            </w:r>
          </w:p>
        </w:tc>
        <w:tc>
          <w:tcPr>
            <w:tcW w:w="2126" w:type="dxa"/>
            <w:noWrap/>
          </w:tcPr>
          <w:p w14:paraId="05545F2F" w14:textId="2C667025" w:rsidR="00BE59C2" w:rsidRPr="00BE59C2" w:rsidRDefault="00BE59C2" w:rsidP="00BE59C2">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V7632</w:t>
            </w:r>
            <w:r w:rsidRPr="00BE59C2">
              <w:rPr>
                <w:rFonts w:ascii="Times New Roman" w:eastAsia="等线" w:hAnsi="Times New Roman" w:cs="Times New Roman" w:hint="eastAsia"/>
                <w:color w:val="000000" w:themeColor="text1"/>
                <w:kern w:val="0"/>
                <w:sz w:val="15"/>
                <w:szCs w:val="15"/>
              </w:rPr>
              <w:t>–</w:t>
            </w:r>
            <w:r w:rsidRPr="00BE59C2">
              <w:rPr>
                <w:rFonts w:ascii="Times New Roman" w:eastAsia="等线" w:hAnsi="Times New Roman" w:cs="Times New Roman" w:hint="eastAsia"/>
                <w:color w:val="000000" w:themeColor="text1"/>
                <w:kern w:val="0"/>
                <w:sz w:val="15"/>
                <w:szCs w:val="15"/>
              </w:rPr>
              <w:t>V7653</w:t>
            </w:r>
          </w:p>
        </w:tc>
      </w:tr>
      <w:tr w:rsidR="00BE59C2" w:rsidRPr="00DD0828" w14:paraId="159A4AEF"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38FABA5F" w14:textId="5F96811A" w:rsidR="00BE59C2" w:rsidRPr="00BE59C2" w:rsidRDefault="00BE59C2" w:rsidP="00BE59C2">
            <w:pPr>
              <w:widowControl/>
              <w:jc w:val="left"/>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First-order absolute counts derived from the MSI matrix (n=9)</w:t>
            </w:r>
          </w:p>
        </w:tc>
        <w:tc>
          <w:tcPr>
            <w:tcW w:w="2126" w:type="dxa"/>
            <w:noWrap/>
          </w:tcPr>
          <w:p w14:paraId="05CC9C71" w14:textId="0A19D7DE" w:rsidR="00BE59C2" w:rsidRPr="00BE59C2" w:rsidRDefault="00BE59C2" w:rsidP="00BE59C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w:t>
            </w:r>
          </w:p>
        </w:tc>
      </w:tr>
      <w:tr w:rsidR="00BE59C2" w:rsidRPr="00DD0828" w14:paraId="3E803281" w14:textId="77777777" w:rsidTr="003A3B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91" w:type="dxa"/>
          </w:tcPr>
          <w:p w14:paraId="5B3968EC" w14:textId="12FF5881" w:rsidR="00BE59C2" w:rsidRPr="00BE59C2" w:rsidRDefault="00BE59C2" w:rsidP="00BE59C2">
            <w:pPr>
              <w:widowControl/>
              <w:jc w:val="left"/>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First-order relative counts derived from the normalized MSI matrix (n=9)</w:t>
            </w:r>
          </w:p>
        </w:tc>
        <w:tc>
          <w:tcPr>
            <w:tcW w:w="2126" w:type="dxa"/>
            <w:noWrap/>
          </w:tcPr>
          <w:p w14:paraId="447B051E" w14:textId="637AED03" w:rsidR="00BE59C2" w:rsidRPr="00BE59C2" w:rsidRDefault="00BE59C2" w:rsidP="00BE59C2">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w:t>
            </w:r>
          </w:p>
        </w:tc>
      </w:tr>
      <w:tr w:rsidR="00BE59C2" w:rsidRPr="00DD0828" w14:paraId="73F15C03" w14:textId="77777777" w:rsidTr="003A3B4A">
        <w:trPr>
          <w:trHeight w:val="20"/>
        </w:trPr>
        <w:tc>
          <w:tcPr>
            <w:cnfStyle w:val="001000000000" w:firstRow="0" w:lastRow="0" w:firstColumn="1" w:lastColumn="0" w:oddVBand="0" w:evenVBand="0" w:oddHBand="0" w:evenHBand="0" w:firstRowFirstColumn="0" w:firstRowLastColumn="0" w:lastRowFirstColumn="0" w:lastRowLastColumn="0"/>
            <w:tcW w:w="6091" w:type="dxa"/>
          </w:tcPr>
          <w:p w14:paraId="571E5A33" w14:textId="51436E88" w:rsidR="00BE59C2" w:rsidRPr="00BE59C2" w:rsidRDefault="00BE59C2" w:rsidP="00BE59C2">
            <w:pPr>
              <w:widowControl/>
              <w:jc w:val="left"/>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Second-order contrast, homogeneity, correlation, and energy derived from the normalized MSI matrix (n=4)</w:t>
            </w:r>
          </w:p>
        </w:tc>
        <w:tc>
          <w:tcPr>
            <w:tcW w:w="2126" w:type="dxa"/>
            <w:noWrap/>
          </w:tcPr>
          <w:p w14:paraId="4277407A" w14:textId="3FEE0F6F" w:rsidR="00BE59C2" w:rsidRPr="00BE59C2" w:rsidRDefault="00BE59C2" w:rsidP="00BE59C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BE59C2">
              <w:rPr>
                <w:rFonts w:ascii="Times New Roman" w:eastAsia="等线" w:hAnsi="Times New Roman" w:cs="Times New Roman" w:hint="eastAsia"/>
                <w:color w:val="000000" w:themeColor="text1"/>
                <w:kern w:val="0"/>
                <w:sz w:val="15"/>
                <w:szCs w:val="15"/>
              </w:rPr>
              <w:t>—</w:t>
            </w:r>
          </w:p>
        </w:tc>
      </w:tr>
    </w:tbl>
    <w:p w14:paraId="55AD1E62" w14:textId="77777777" w:rsidR="00DF78DC" w:rsidRPr="00DD0828" w:rsidRDefault="00DF78DC" w:rsidP="003A3B4A">
      <w:pPr>
        <w:rPr>
          <w:rFonts w:ascii="Times New Roman" w:hAnsi="Times New Roman" w:cs="Times New Roman"/>
          <w:color w:val="000000" w:themeColor="text1"/>
          <w:sz w:val="15"/>
          <w:szCs w:val="15"/>
        </w:rPr>
      </w:pPr>
    </w:p>
    <w:p w14:paraId="63490615" w14:textId="6B042F4D" w:rsidR="000702E2" w:rsidRDefault="000702E2" w:rsidP="003A3B4A">
      <w:pPr>
        <w:jc w:val="left"/>
        <w:rPr>
          <w:rFonts w:ascii="Times New Roman" w:eastAsia="等线" w:hAnsi="Times New Roman" w:cs="Times New Roman"/>
          <w:b/>
          <w:bCs/>
          <w:color w:val="000000" w:themeColor="text1"/>
          <w:kern w:val="0"/>
          <w:sz w:val="15"/>
          <w:szCs w:val="15"/>
        </w:rPr>
      </w:pPr>
      <w:r w:rsidRPr="00CA056A">
        <w:rPr>
          <w:rFonts w:ascii="Times New Roman" w:eastAsia="等线" w:hAnsi="Times New Roman" w:cs="Times New Roman"/>
          <w:b/>
          <w:bCs/>
          <w:color w:val="000000" w:themeColor="text1"/>
          <w:kern w:val="0"/>
          <w:sz w:val="15"/>
          <w:szCs w:val="15"/>
        </w:rPr>
        <w:t>Table E</w:t>
      </w:r>
      <w:r w:rsidRPr="00CA056A">
        <w:rPr>
          <w:rFonts w:ascii="Times New Roman" w:eastAsia="等线" w:hAnsi="Times New Roman" w:cs="Times New Roman" w:hint="eastAsia"/>
          <w:b/>
          <w:bCs/>
          <w:color w:val="000000" w:themeColor="text1"/>
          <w:kern w:val="0"/>
          <w:sz w:val="15"/>
          <w:szCs w:val="15"/>
        </w:rPr>
        <w:t>6</w:t>
      </w:r>
      <w:r w:rsidRPr="00CA056A">
        <w:rPr>
          <w:rFonts w:ascii="Times New Roman" w:eastAsia="等线" w:hAnsi="Times New Roman" w:cs="Times New Roman"/>
          <w:b/>
          <w:bCs/>
          <w:color w:val="000000" w:themeColor="text1"/>
          <w:kern w:val="0"/>
          <w:sz w:val="15"/>
          <w:szCs w:val="15"/>
        </w:rPr>
        <w:t>.</w:t>
      </w:r>
      <w:r w:rsidRPr="00CA056A">
        <w:rPr>
          <w:rFonts w:ascii="Times New Roman" w:eastAsia="等线" w:hAnsi="Times New Roman" w:cs="Times New Roman"/>
          <w:color w:val="000000" w:themeColor="text1"/>
          <w:kern w:val="0"/>
          <w:sz w:val="15"/>
          <w:szCs w:val="15"/>
        </w:rPr>
        <w:t xml:space="preserve"> </w:t>
      </w:r>
      <w:r w:rsidR="00977E3A" w:rsidRPr="00977E3A">
        <w:rPr>
          <w:rFonts w:ascii="Times New Roman" w:eastAsia="等线" w:hAnsi="Times New Roman" w:cs="Times New Roman"/>
          <w:b/>
          <w:bCs/>
          <w:color w:val="000000" w:themeColor="text1"/>
          <w:kern w:val="0"/>
          <w:sz w:val="15"/>
          <w:szCs w:val="15"/>
        </w:rPr>
        <w:t>Selection frequencies of radiomic features across 50 repeated training subsets and the resulting high-frequency candidates.</w:t>
      </w:r>
    </w:p>
    <w:tbl>
      <w:tblPr>
        <w:tblStyle w:val="11"/>
        <w:tblW w:w="0" w:type="auto"/>
        <w:tblLook w:val="04A0" w:firstRow="1" w:lastRow="0" w:firstColumn="1" w:lastColumn="0" w:noHBand="0" w:noVBand="1"/>
      </w:tblPr>
      <w:tblGrid>
        <w:gridCol w:w="1555"/>
        <w:gridCol w:w="2036"/>
        <w:gridCol w:w="4705"/>
      </w:tblGrid>
      <w:tr w:rsidR="003D4233" w:rsidRPr="003D4233" w14:paraId="5890FC84" w14:textId="77777777" w:rsidTr="00602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hideMark/>
          </w:tcPr>
          <w:p w14:paraId="2F3B15C6" w14:textId="77777777" w:rsidR="003D4233" w:rsidRPr="003D4233" w:rsidRDefault="003D4233" w:rsidP="003D4233">
            <w:pPr>
              <w:widowControl/>
              <w:jc w:val="left"/>
              <w:rPr>
                <w:rFonts w:ascii="Times New Roman" w:eastAsia="等线" w:hAnsi="Times New Roman" w:cs="Times New Roman"/>
                <w:color w:val="000000" w:themeColor="text1"/>
                <w:kern w:val="0"/>
                <w:sz w:val="15"/>
                <w:szCs w:val="15"/>
              </w:rPr>
            </w:pPr>
            <w:r w:rsidRPr="003D4233">
              <w:rPr>
                <w:rFonts w:ascii="Times New Roman" w:eastAsia="等线" w:hAnsi="Times New Roman" w:cs="Times New Roman"/>
                <w:color w:val="000000" w:themeColor="text1"/>
                <w:kern w:val="0"/>
                <w:sz w:val="15"/>
                <w:szCs w:val="15"/>
              </w:rPr>
              <w:t>Selection method</w:t>
            </w:r>
          </w:p>
        </w:tc>
        <w:tc>
          <w:tcPr>
            <w:tcW w:w="2036" w:type="dxa"/>
            <w:hideMark/>
          </w:tcPr>
          <w:p w14:paraId="08BF256C" w14:textId="77777777" w:rsidR="003D4233" w:rsidRPr="003D4233" w:rsidRDefault="003D4233" w:rsidP="003D4233">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3D4233">
              <w:rPr>
                <w:rFonts w:ascii="Times New Roman" w:eastAsia="等线" w:hAnsi="Times New Roman" w:cs="Times New Roman"/>
                <w:color w:val="000000" w:themeColor="text1"/>
                <w:kern w:val="0"/>
                <w:sz w:val="15"/>
                <w:szCs w:val="15"/>
              </w:rPr>
              <w:t>Feature group</w:t>
            </w:r>
          </w:p>
        </w:tc>
        <w:tc>
          <w:tcPr>
            <w:tcW w:w="0" w:type="auto"/>
            <w:hideMark/>
          </w:tcPr>
          <w:p w14:paraId="280B6791" w14:textId="77777777" w:rsidR="003D4233" w:rsidRPr="003D4233" w:rsidRDefault="003D4233" w:rsidP="003D4233">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3D4233">
              <w:rPr>
                <w:rFonts w:ascii="Times New Roman" w:eastAsia="等线" w:hAnsi="Times New Roman" w:cs="Times New Roman"/>
                <w:color w:val="000000" w:themeColor="text1"/>
                <w:kern w:val="0"/>
                <w:sz w:val="15"/>
                <w:szCs w:val="15"/>
              </w:rPr>
              <w:t>Feature IDs and selection frequencies</w:t>
            </w:r>
          </w:p>
        </w:tc>
      </w:tr>
      <w:tr w:rsidR="0060295C" w:rsidRPr="003D4233" w14:paraId="4EE15EB4"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hideMark/>
          </w:tcPr>
          <w:p w14:paraId="4D3441CC" w14:textId="3FB0BBB0" w:rsidR="0060295C" w:rsidRPr="003D4233" w:rsidRDefault="0060295C" w:rsidP="00621566">
            <w:pPr>
              <w:widowControl/>
              <w:jc w:val="center"/>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color w:val="000000" w:themeColor="text1"/>
                <w:kern w:val="0"/>
                <w:sz w:val="15"/>
                <w:szCs w:val="15"/>
                <w:lang w:val="en-US"/>
              </w:rPr>
              <w:t>Stepwise regression</w:t>
            </w:r>
          </w:p>
        </w:tc>
        <w:tc>
          <w:tcPr>
            <w:tcW w:w="2036" w:type="dxa"/>
            <w:vAlign w:val="center"/>
            <w:hideMark/>
          </w:tcPr>
          <w:p w14:paraId="68CD13E3" w14:textId="4DBD546D"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Intratumoral subregions</w:t>
            </w:r>
          </w:p>
        </w:tc>
        <w:tc>
          <w:tcPr>
            <w:tcW w:w="0" w:type="auto"/>
            <w:vAlign w:val="center"/>
            <w:hideMark/>
          </w:tcPr>
          <w:p w14:paraId="1E80D112" w14:textId="48E08464"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V1730 (29), V1844 (26)</w:t>
            </w:r>
            <w:r w:rsidRPr="0060295C">
              <w:rPr>
                <w:rFonts w:ascii="Times New Roman" w:eastAsia="等线" w:hAnsi="Times New Roman" w:cs="Times New Roman"/>
                <w:color w:val="000000" w:themeColor="text1"/>
                <w:kern w:val="0"/>
                <w:sz w:val="15"/>
                <w:szCs w:val="15"/>
                <w:lang w:val="en-US"/>
              </w:rPr>
              <w:t>, V952 (23), V2229 (5), V2312 (3), V1633 (2), V2500 (1)</w:t>
            </w:r>
          </w:p>
        </w:tc>
      </w:tr>
      <w:tr w:rsidR="0060295C" w:rsidRPr="003D4233" w14:paraId="7B32EE86"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36FAFDF3"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55ED35F5" w14:textId="0B4829F4"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Peritumoral region</w:t>
            </w:r>
          </w:p>
        </w:tc>
        <w:tc>
          <w:tcPr>
            <w:tcW w:w="0" w:type="auto"/>
            <w:vAlign w:val="center"/>
            <w:hideMark/>
          </w:tcPr>
          <w:p w14:paraId="083BDA50" w14:textId="04277F25"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V2567 (32), V3043 (25),</w:t>
            </w:r>
            <w:r w:rsidRPr="0060295C">
              <w:rPr>
                <w:rFonts w:ascii="Times New Roman" w:eastAsia="等线" w:hAnsi="Times New Roman" w:cs="Times New Roman"/>
                <w:color w:val="000000" w:themeColor="text1"/>
                <w:kern w:val="0"/>
                <w:sz w:val="15"/>
                <w:szCs w:val="15"/>
                <w:lang w:val="en-US"/>
              </w:rPr>
              <w:t xml:space="preserve"> V2664 (12), V2581 (5), V3137 (3), V2703 (1)</w:t>
            </w:r>
          </w:p>
        </w:tc>
      </w:tr>
      <w:tr w:rsidR="0060295C" w:rsidRPr="003D4233" w14:paraId="355B160E"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BF5851C"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45007BE2" w14:textId="526E4A2E"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Whole-tumor region</w:t>
            </w:r>
          </w:p>
        </w:tc>
        <w:tc>
          <w:tcPr>
            <w:tcW w:w="0" w:type="auto"/>
            <w:vAlign w:val="center"/>
            <w:hideMark/>
          </w:tcPr>
          <w:p w14:paraId="3E9D588E" w14:textId="3D347671"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V4639 (36), V5382 (27)</w:t>
            </w:r>
            <w:r w:rsidRPr="0060295C">
              <w:rPr>
                <w:rFonts w:ascii="Times New Roman" w:eastAsia="等线" w:hAnsi="Times New Roman" w:cs="Times New Roman"/>
                <w:color w:val="000000" w:themeColor="text1"/>
                <w:kern w:val="0"/>
                <w:sz w:val="15"/>
                <w:szCs w:val="15"/>
                <w:lang w:val="en-US"/>
              </w:rPr>
              <w:t>, V5145 (16), V4484 (5), V4568 (3), V5033 (2), V5193 (1)</w:t>
            </w:r>
          </w:p>
        </w:tc>
      </w:tr>
      <w:tr w:rsidR="0060295C" w:rsidRPr="003D4233" w14:paraId="48C92716"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0269E218"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33135F61" w14:textId="361032B4" w:rsidR="0060295C" w:rsidRPr="00CA056A"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Kinetic features</w:t>
            </w:r>
          </w:p>
        </w:tc>
        <w:tc>
          <w:tcPr>
            <w:tcW w:w="0" w:type="auto"/>
            <w:vAlign w:val="center"/>
            <w:hideMark/>
          </w:tcPr>
          <w:p w14:paraId="093EC99C" w14:textId="18C8435D" w:rsidR="0060295C" w:rsidRPr="0060295C"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color w:val="000000" w:themeColor="text1"/>
                <w:kern w:val="0"/>
                <w:sz w:val="15"/>
                <w:szCs w:val="15"/>
                <w:lang w:val="en-US"/>
              </w:rPr>
              <w:t>V6112 (19), V6235 (13), V7235 (9), V6891 (7), V6660 (5), V6263 (3), V6207 (2), V5974 (1)</w:t>
            </w:r>
          </w:p>
        </w:tc>
      </w:tr>
      <w:tr w:rsidR="0060295C" w:rsidRPr="003D4233" w14:paraId="0E3C9B5C"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7ED406B"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13CD4960" w14:textId="37EDFCDE"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MSI features</w:t>
            </w:r>
          </w:p>
        </w:tc>
        <w:tc>
          <w:tcPr>
            <w:tcW w:w="0" w:type="auto"/>
            <w:vAlign w:val="center"/>
            <w:hideMark/>
          </w:tcPr>
          <w:p w14:paraId="4584AF0F" w14:textId="753283F5"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V7632 (35)</w:t>
            </w:r>
            <w:r w:rsidRPr="0060295C">
              <w:rPr>
                <w:rFonts w:ascii="Times New Roman" w:eastAsia="等线" w:hAnsi="Times New Roman" w:cs="Times New Roman"/>
                <w:color w:val="000000" w:themeColor="text1"/>
                <w:kern w:val="0"/>
                <w:sz w:val="15"/>
                <w:szCs w:val="15"/>
                <w:lang w:val="en-US"/>
              </w:rPr>
              <w:t>, V7633 (12), V7637 (9), V7641 (5), V7644 (3), V7636 (2)</w:t>
            </w:r>
          </w:p>
        </w:tc>
      </w:tr>
      <w:tr w:rsidR="0060295C" w:rsidRPr="003D4233" w14:paraId="6D709BDE"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4620C1C8"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71B6F9AF" w14:textId="683E298D"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High-frequency features (n=7)</w:t>
            </w:r>
          </w:p>
        </w:tc>
        <w:tc>
          <w:tcPr>
            <w:tcW w:w="0" w:type="auto"/>
            <w:vAlign w:val="center"/>
            <w:hideMark/>
          </w:tcPr>
          <w:p w14:paraId="13959B39" w14:textId="5B067A92"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V1730, V1844, V2567, V3043, V4639, V5382, V7632</w:t>
            </w:r>
          </w:p>
        </w:tc>
      </w:tr>
      <w:tr w:rsidR="0060295C" w:rsidRPr="003D4233" w14:paraId="5717332C"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hideMark/>
          </w:tcPr>
          <w:p w14:paraId="14187C67" w14:textId="66D1AB6A" w:rsidR="0060295C" w:rsidRPr="003D4233" w:rsidRDefault="0060295C" w:rsidP="00621566">
            <w:pPr>
              <w:widowControl/>
              <w:jc w:val="center"/>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color w:val="000000" w:themeColor="text1"/>
                <w:kern w:val="0"/>
                <w:sz w:val="15"/>
                <w:szCs w:val="15"/>
                <w:lang w:val="en-US"/>
              </w:rPr>
              <w:t>LASSO</w:t>
            </w:r>
          </w:p>
        </w:tc>
        <w:tc>
          <w:tcPr>
            <w:tcW w:w="2036" w:type="dxa"/>
            <w:vAlign w:val="center"/>
            <w:hideMark/>
          </w:tcPr>
          <w:p w14:paraId="0A692C80" w14:textId="55983CC0"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Intratumoral subregions</w:t>
            </w:r>
          </w:p>
        </w:tc>
        <w:tc>
          <w:tcPr>
            <w:tcW w:w="0" w:type="auto"/>
            <w:vAlign w:val="center"/>
            <w:hideMark/>
          </w:tcPr>
          <w:p w14:paraId="7FDCDD00" w14:textId="04BAA581"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(37), V1844 (28)</w:t>
            </w:r>
            <w:r w:rsidRPr="0060295C">
              <w:rPr>
                <w:rFonts w:ascii="Times New Roman" w:eastAsia="等线" w:hAnsi="Times New Roman" w:cs="Times New Roman"/>
                <w:color w:val="000000" w:themeColor="text1"/>
                <w:kern w:val="0"/>
                <w:sz w:val="15"/>
                <w:szCs w:val="15"/>
                <w:lang w:val="en-US"/>
              </w:rPr>
              <w:t>, V1837 (23), V946 (11), V1209 (7), V1712 (5), V1823 (3), V2492 (2)</w:t>
            </w:r>
          </w:p>
        </w:tc>
      </w:tr>
      <w:tr w:rsidR="0060295C" w:rsidRPr="003D4233" w14:paraId="1FDFF7DF"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301307A9"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6519AEB7" w14:textId="54467068"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Peritumoral region</w:t>
            </w:r>
          </w:p>
        </w:tc>
        <w:tc>
          <w:tcPr>
            <w:tcW w:w="0" w:type="auto"/>
            <w:vAlign w:val="center"/>
            <w:hideMark/>
          </w:tcPr>
          <w:p w14:paraId="255097E5" w14:textId="697DC218"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V2673 (27)</w:t>
            </w:r>
            <w:r w:rsidRPr="0060295C">
              <w:rPr>
                <w:rFonts w:ascii="Times New Roman" w:eastAsia="等线" w:hAnsi="Times New Roman" w:cs="Times New Roman"/>
                <w:color w:val="000000" w:themeColor="text1"/>
                <w:kern w:val="0"/>
                <w:sz w:val="15"/>
                <w:szCs w:val="15"/>
                <w:lang w:val="en-US"/>
              </w:rPr>
              <w:t>, V2568 (8), V2675 (5), V3163 (3), V3404 (2), V2857 (1), V2644 (1)</w:t>
            </w:r>
          </w:p>
        </w:tc>
      </w:tr>
      <w:tr w:rsidR="0060295C" w:rsidRPr="003D4233" w14:paraId="68E77290"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E34EB05"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7F2903D1" w14:textId="4F296BA4"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Whole-tumor region</w:t>
            </w:r>
          </w:p>
        </w:tc>
        <w:tc>
          <w:tcPr>
            <w:tcW w:w="0" w:type="auto"/>
            <w:vAlign w:val="center"/>
            <w:hideMark/>
          </w:tcPr>
          <w:p w14:paraId="6384636F" w14:textId="172DCD9F"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V4639 (29)</w:t>
            </w:r>
            <w:r w:rsidRPr="0060295C">
              <w:rPr>
                <w:rFonts w:ascii="Times New Roman" w:eastAsia="等线" w:hAnsi="Times New Roman" w:cs="Times New Roman"/>
                <w:color w:val="000000" w:themeColor="text1"/>
                <w:kern w:val="0"/>
                <w:sz w:val="15"/>
                <w:szCs w:val="15"/>
                <w:lang w:val="en-US"/>
              </w:rPr>
              <w:t>, V5200 (13), V5525 (6), V4456 (4), V4567 (3), V4828 (2), V5016 (1)</w:t>
            </w:r>
          </w:p>
        </w:tc>
      </w:tr>
      <w:tr w:rsidR="0060295C" w:rsidRPr="003D4233" w14:paraId="19D87F0A"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1222E4F8"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5FB6ABB9" w14:textId="5D0406AF" w:rsidR="0060295C" w:rsidRPr="00CA056A"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Kinetic features</w:t>
            </w:r>
          </w:p>
        </w:tc>
        <w:tc>
          <w:tcPr>
            <w:tcW w:w="0" w:type="auto"/>
            <w:vAlign w:val="center"/>
            <w:hideMark/>
          </w:tcPr>
          <w:p w14:paraId="7DE6C9CB" w14:textId="40134D0B" w:rsidR="0060295C" w:rsidRPr="00CA056A"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V6662 (26)</w:t>
            </w:r>
            <w:r w:rsidRPr="0060295C">
              <w:rPr>
                <w:rFonts w:ascii="Times New Roman" w:eastAsia="等线" w:hAnsi="Times New Roman" w:cs="Times New Roman"/>
                <w:color w:val="000000" w:themeColor="text1"/>
                <w:kern w:val="0"/>
                <w:sz w:val="15"/>
                <w:szCs w:val="15"/>
                <w:lang w:val="en-US"/>
              </w:rPr>
              <w:t>, V6235 (22), V7388 (8), V7079 (5), V6207 (3), V6823 (1)</w:t>
            </w:r>
          </w:p>
        </w:tc>
      </w:tr>
      <w:tr w:rsidR="0060295C" w:rsidRPr="003D4233" w14:paraId="10C4C3BD"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218E53B7"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6C2E45FB" w14:textId="15BC18E7"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MSI features</w:t>
            </w:r>
          </w:p>
        </w:tc>
        <w:tc>
          <w:tcPr>
            <w:tcW w:w="0" w:type="auto"/>
            <w:vAlign w:val="center"/>
            <w:hideMark/>
          </w:tcPr>
          <w:p w14:paraId="463F985B" w14:textId="5A7C598C"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V7632 (37)</w:t>
            </w:r>
            <w:r w:rsidRPr="0060295C">
              <w:rPr>
                <w:rFonts w:ascii="Times New Roman" w:eastAsia="等线" w:hAnsi="Times New Roman" w:cs="Times New Roman"/>
                <w:color w:val="000000" w:themeColor="text1"/>
                <w:kern w:val="0"/>
                <w:sz w:val="15"/>
                <w:szCs w:val="15"/>
                <w:lang w:val="en-US"/>
              </w:rPr>
              <w:t>, V7637 (31), V7638 (12), V7644 (8), V7633 (4), V7641 (2)</w:t>
            </w:r>
          </w:p>
        </w:tc>
      </w:tr>
      <w:tr w:rsidR="0060295C" w:rsidRPr="003D4233" w14:paraId="35DB1BAF"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795D39E"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79E449CF" w14:textId="3F7C6474"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High-frequency features (n=7)</w:t>
            </w:r>
          </w:p>
        </w:tc>
        <w:tc>
          <w:tcPr>
            <w:tcW w:w="0" w:type="auto"/>
            <w:vAlign w:val="center"/>
            <w:hideMark/>
          </w:tcPr>
          <w:p w14:paraId="45F07C3D" w14:textId="3CBEDE3C"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V1844, V2673, V4639, V6662, V7632, V7637</w:t>
            </w:r>
          </w:p>
        </w:tc>
      </w:tr>
      <w:tr w:rsidR="0060295C" w:rsidRPr="003D4233" w14:paraId="157403C9"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hideMark/>
          </w:tcPr>
          <w:p w14:paraId="31C1D527" w14:textId="6DA3E92D" w:rsidR="0060295C" w:rsidRPr="003D4233" w:rsidRDefault="0060295C" w:rsidP="00621566">
            <w:pPr>
              <w:widowControl/>
              <w:jc w:val="center"/>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color w:val="000000" w:themeColor="text1"/>
                <w:kern w:val="0"/>
                <w:sz w:val="15"/>
                <w:szCs w:val="15"/>
                <w:lang w:val="en-US"/>
              </w:rPr>
              <w:t>RFE</w:t>
            </w:r>
          </w:p>
        </w:tc>
        <w:tc>
          <w:tcPr>
            <w:tcW w:w="2036" w:type="dxa"/>
            <w:vAlign w:val="center"/>
            <w:hideMark/>
          </w:tcPr>
          <w:p w14:paraId="741B0511" w14:textId="4F94F15F"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Intratumoral subregions</w:t>
            </w:r>
          </w:p>
        </w:tc>
        <w:tc>
          <w:tcPr>
            <w:tcW w:w="0" w:type="auto"/>
            <w:vAlign w:val="center"/>
            <w:hideMark/>
          </w:tcPr>
          <w:p w14:paraId="4B9E5D74" w14:textId="386178E5"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(36), V1844 (30)</w:t>
            </w:r>
            <w:r w:rsidRPr="0060295C">
              <w:rPr>
                <w:rFonts w:ascii="Times New Roman" w:eastAsia="等线" w:hAnsi="Times New Roman" w:cs="Times New Roman"/>
                <w:color w:val="000000" w:themeColor="text1"/>
                <w:kern w:val="0"/>
                <w:sz w:val="15"/>
                <w:szCs w:val="15"/>
                <w:lang w:val="en-US"/>
              </w:rPr>
              <w:t>, V952 (21), V1833 (16), V1902 (5), V1809 (3), V2500 (2), V1947 (1)</w:t>
            </w:r>
          </w:p>
        </w:tc>
      </w:tr>
      <w:tr w:rsidR="0060295C" w:rsidRPr="003D4233" w14:paraId="0CDFE6B7"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1EC1E4ED"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0F7826B3" w14:textId="3EE56DBE"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Peritumoral region</w:t>
            </w:r>
          </w:p>
        </w:tc>
        <w:tc>
          <w:tcPr>
            <w:tcW w:w="0" w:type="auto"/>
            <w:vAlign w:val="center"/>
            <w:hideMark/>
          </w:tcPr>
          <w:p w14:paraId="0F716943" w14:textId="2F0FD074"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V2673 (35), V2982 (27)</w:t>
            </w:r>
            <w:r w:rsidRPr="0060295C">
              <w:rPr>
                <w:rFonts w:ascii="Times New Roman" w:eastAsia="等线" w:hAnsi="Times New Roman" w:cs="Times New Roman"/>
                <w:color w:val="000000" w:themeColor="text1"/>
                <w:kern w:val="0"/>
                <w:sz w:val="15"/>
                <w:szCs w:val="15"/>
                <w:lang w:val="en-US"/>
              </w:rPr>
              <w:t>, V3207 (15), V3345 (8), V2921 (4), V3404 (2), V3013 (1)</w:t>
            </w:r>
          </w:p>
        </w:tc>
      </w:tr>
      <w:tr w:rsidR="0060295C" w:rsidRPr="003D4233" w14:paraId="6AAA5183"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04A2B6E0"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714E7249" w14:textId="40D37167"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Whole-tumor region</w:t>
            </w:r>
          </w:p>
        </w:tc>
        <w:tc>
          <w:tcPr>
            <w:tcW w:w="0" w:type="auto"/>
            <w:vAlign w:val="center"/>
            <w:hideMark/>
          </w:tcPr>
          <w:p w14:paraId="69833C39" w14:textId="77A0E844" w:rsidR="0060295C" w:rsidRPr="003D4233" w:rsidRDefault="0060295C" w:rsidP="0060295C">
            <w:pPr>
              <w:snapToGrid w:val="0"/>
              <w:spacing w:line="180" w:lineRule="atLeast"/>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V4673 (28)</w:t>
            </w:r>
            <w:r w:rsidRPr="0060295C">
              <w:rPr>
                <w:rFonts w:ascii="Times New Roman" w:eastAsia="等线" w:hAnsi="Times New Roman" w:cs="Times New Roman"/>
                <w:color w:val="000000" w:themeColor="text1"/>
                <w:kern w:val="0"/>
                <w:sz w:val="15"/>
                <w:szCs w:val="15"/>
                <w:lang w:val="en-US"/>
              </w:rPr>
              <w:t>, V4476 (21), V4356 (17), V4339 (11), V4573 (5), V4335 (2), V4967 (1), V5010 (1)</w:t>
            </w:r>
          </w:p>
        </w:tc>
      </w:tr>
      <w:tr w:rsidR="0060295C" w:rsidRPr="003D4233" w14:paraId="0AC06F5B"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230603A1"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38C606B0" w14:textId="31AE0CCF" w:rsidR="0060295C" w:rsidRPr="00CA056A"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Kinetic features</w:t>
            </w:r>
          </w:p>
        </w:tc>
        <w:tc>
          <w:tcPr>
            <w:tcW w:w="0" w:type="auto"/>
            <w:vAlign w:val="center"/>
            <w:hideMark/>
          </w:tcPr>
          <w:p w14:paraId="1FFB678E" w14:textId="701A91A2" w:rsidR="0060295C" w:rsidRPr="00CA056A"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V7309 (29), V5974 (26)</w:t>
            </w:r>
            <w:r w:rsidRPr="0060295C">
              <w:rPr>
                <w:rFonts w:ascii="Times New Roman" w:eastAsia="等线" w:hAnsi="Times New Roman" w:cs="Times New Roman"/>
                <w:color w:val="000000" w:themeColor="text1"/>
                <w:kern w:val="0"/>
                <w:sz w:val="15"/>
                <w:szCs w:val="15"/>
                <w:lang w:val="en-US"/>
              </w:rPr>
              <w:t>, V6032 (22), V5986 (9), V6096 (5), V6123 (3), V6738 (2), V6364 (1), V6927 (1)</w:t>
            </w:r>
          </w:p>
        </w:tc>
      </w:tr>
      <w:tr w:rsidR="0060295C" w:rsidRPr="003D4233" w14:paraId="50606384"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137CB573"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3249C9E1" w14:textId="4D8037B3"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MSI features</w:t>
            </w:r>
          </w:p>
        </w:tc>
        <w:tc>
          <w:tcPr>
            <w:tcW w:w="0" w:type="auto"/>
            <w:vAlign w:val="center"/>
            <w:hideMark/>
          </w:tcPr>
          <w:p w14:paraId="53D2930E" w14:textId="680F59B0" w:rsidR="0060295C" w:rsidRPr="003D4233" w:rsidRDefault="0060295C"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V7632 (33), V7633 (29)</w:t>
            </w:r>
            <w:r w:rsidRPr="0060295C">
              <w:rPr>
                <w:rFonts w:ascii="Times New Roman" w:eastAsia="等线" w:hAnsi="Times New Roman" w:cs="Times New Roman"/>
                <w:color w:val="000000" w:themeColor="text1"/>
                <w:kern w:val="0"/>
                <w:sz w:val="15"/>
                <w:szCs w:val="15"/>
                <w:lang w:val="en-US"/>
              </w:rPr>
              <w:t>, V7639 (6), V7642 (4), V7638 (2)</w:t>
            </w:r>
          </w:p>
        </w:tc>
      </w:tr>
      <w:tr w:rsidR="0060295C" w:rsidRPr="003D4233" w14:paraId="3FB7C36B"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1CD69A38" w14:textId="77777777" w:rsidR="0060295C" w:rsidRPr="003D4233" w:rsidRDefault="0060295C"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6FE712F5" w14:textId="3E5F6EE6"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High-frequency features (n=9)</w:t>
            </w:r>
          </w:p>
        </w:tc>
        <w:tc>
          <w:tcPr>
            <w:tcW w:w="0" w:type="auto"/>
            <w:vAlign w:val="center"/>
            <w:hideMark/>
          </w:tcPr>
          <w:p w14:paraId="0ECF3F30" w14:textId="01B4D103" w:rsidR="0060295C" w:rsidRPr="003D4233" w:rsidRDefault="0060295C"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V1844, V2673, V2982, V4673, V5974, V7309, V7632, V7633</w:t>
            </w:r>
          </w:p>
        </w:tc>
      </w:tr>
      <w:tr w:rsidR="00621566" w:rsidRPr="003D4233" w14:paraId="6B5B3098"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hideMark/>
          </w:tcPr>
          <w:p w14:paraId="07D0B571" w14:textId="27342EF4" w:rsidR="00621566" w:rsidRPr="003D4233" w:rsidRDefault="00621566" w:rsidP="00621566">
            <w:pPr>
              <w:widowControl/>
              <w:jc w:val="center"/>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color w:val="000000" w:themeColor="text1"/>
                <w:kern w:val="0"/>
                <w:sz w:val="15"/>
                <w:szCs w:val="15"/>
                <w:lang w:val="en-US"/>
              </w:rPr>
              <w:t>GBM-based embedded selection</w:t>
            </w:r>
          </w:p>
        </w:tc>
        <w:tc>
          <w:tcPr>
            <w:tcW w:w="2036" w:type="dxa"/>
            <w:vAlign w:val="center"/>
            <w:hideMark/>
          </w:tcPr>
          <w:p w14:paraId="6CCD7428" w14:textId="715E049F"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Intratumoral subregions</w:t>
            </w:r>
          </w:p>
        </w:tc>
        <w:tc>
          <w:tcPr>
            <w:tcW w:w="0" w:type="auto"/>
            <w:vAlign w:val="center"/>
            <w:hideMark/>
          </w:tcPr>
          <w:p w14:paraId="20EE2702" w14:textId="53FA9F4F"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(32), V1711 (29), V1730 (26)</w:t>
            </w:r>
            <w:r w:rsidRPr="0060295C">
              <w:rPr>
                <w:rFonts w:ascii="Times New Roman" w:eastAsia="等线" w:hAnsi="Times New Roman" w:cs="Times New Roman"/>
                <w:color w:val="000000" w:themeColor="text1"/>
                <w:kern w:val="0"/>
                <w:sz w:val="15"/>
                <w:szCs w:val="15"/>
                <w:lang w:val="en-US"/>
              </w:rPr>
              <w:t>, V2500 (8), V1525 (5), V2547 (3), V1377 (1), V968 (1)</w:t>
            </w:r>
          </w:p>
        </w:tc>
      </w:tr>
      <w:tr w:rsidR="00621566" w:rsidRPr="003D4233" w14:paraId="0E6DE681"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24643241" w14:textId="77777777" w:rsidR="00621566" w:rsidRPr="003D4233" w:rsidRDefault="00621566"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32E8A4FB" w14:textId="3931BAF7"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Peritumoral region</w:t>
            </w:r>
          </w:p>
        </w:tc>
        <w:tc>
          <w:tcPr>
            <w:tcW w:w="0" w:type="auto"/>
            <w:vAlign w:val="center"/>
            <w:hideMark/>
          </w:tcPr>
          <w:p w14:paraId="220E01F5" w14:textId="44F58209"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V2673 (32)</w:t>
            </w:r>
            <w:r w:rsidRPr="00621566">
              <w:rPr>
                <w:rFonts w:ascii="Times New Roman" w:eastAsia="等线" w:hAnsi="Times New Roman" w:cs="Times New Roman"/>
                <w:color w:val="000000" w:themeColor="text1"/>
                <w:kern w:val="0"/>
                <w:sz w:val="15"/>
                <w:szCs w:val="15"/>
                <w:lang w:val="en-US"/>
              </w:rPr>
              <w:t>, V2857 (14), V2679 (9), V2784 (6), V2938 (4), V3200 (2), V3376 (1), V3404 (1)</w:t>
            </w:r>
          </w:p>
        </w:tc>
      </w:tr>
      <w:tr w:rsidR="00621566" w:rsidRPr="003D4233" w14:paraId="0032F1E2"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293095D1" w14:textId="77777777" w:rsidR="00621566" w:rsidRPr="003D4233" w:rsidRDefault="00621566"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47F03A2F" w14:textId="6BBCDD0B"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Whole-tumor region</w:t>
            </w:r>
          </w:p>
        </w:tc>
        <w:tc>
          <w:tcPr>
            <w:tcW w:w="0" w:type="auto"/>
            <w:vAlign w:val="center"/>
            <w:hideMark/>
          </w:tcPr>
          <w:p w14:paraId="65F4ECF2" w14:textId="03F93AAA"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V4639 (35), V5732 (26)</w:t>
            </w:r>
            <w:r w:rsidRPr="00621566">
              <w:rPr>
                <w:rFonts w:ascii="Times New Roman" w:eastAsia="等线" w:hAnsi="Times New Roman" w:cs="Times New Roman"/>
                <w:color w:val="000000" w:themeColor="text1"/>
                <w:kern w:val="0"/>
                <w:sz w:val="15"/>
                <w:szCs w:val="15"/>
                <w:lang w:val="en-US"/>
              </w:rPr>
              <w:t>, V5933 (23), V4987 (7), V4578 (5), V4636 (2), V4436 (1), V5016 (1)</w:t>
            </w:r>
          </w:p>
        </w:tc>
      </w:tr>
      <w:tr w:rsidR="00621566" w:rsidRPr="003D4233" w14:paraId="488B8866"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3D762925" w14:textId="77777777" w:rsidR="00621566" w:rsidRPr="003D4233" w:rsidRDefault="00621566"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79153333" w14:textId="0434743A" w:rsidR="00621566" w:rsidRPr="00CA056A"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Kinetic features</w:t>
            </w:r>
          </w:p>
        </w:tc>
        <w:tc>
          <w:tcPr>
            <w:tcW w:w="0" w:type="auto"/>
            <w:vAlign w:val="center"/>
            <w:hideMark/>
          </w:tcPr>
          <w:p w14:paraId="3D5A340C" w14:textId="31B792DA" w:rsidR="00621566" w:rsidRPr="00CA056A"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highlight w:val="yellow"/>
              </w:rPr>
            </w:pPr>
            <w:r w:rsidRPr="0060295C">
              <w:rPr>
                <w:rFonts w:ascii="Times New Roman" w:eastAsia="等线" w:hAnsi="Times New Roman" w:cs="Times New Roman"/>
                <w:b/>
                <w:bCs/>
                <w:color w:val="000000" w:themeColor="text1"/>
                <w:kern w:val="0"/>
                <w:sz w:val="15"/>
                <w:szCs w:val="15"/>
                <w:lang w:val="en-US"/>
              </w:rPr>
              <w:t>V7309 (28)</w:t>
            </w:r>
            <w:r w:rsidRPr="00621566">
              <w:rPr>
                <w:rFonts w:ascii="Times New Roman" w:eastAsia="等线" w:hAnsi="Times New Roman" w:cs="Times New Roman"/>
                <w:color w:val="000000" w:themeColor="text1"/>
                <w:kern w:val="0"/>
                <w:sz w:val="15"/>
                <w:szCs w:val="15"/>
                <w:lang w:val="en-US"/>
              </w:rPr>
              <w:t>, V7079 (11), V6660 (8), V6823 (5), V6264 (3), V6207 (2)</w:t>
            </w:r>
          </w:p>
        </w:tc>
      </w:tr>
      <w:tr w:rsidR="00621566" w:rsidRPr="003D4233" w14:paraId="07A6767B"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2BFC9B4E" w14:textId="77777777" w:rsidR="00621566" w:rsidRPr="003D4233" w:rsidRDefault="00621566"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14DEC88B" w14:textId="37EB38D8"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MSI features</w:t>
            </w:r>
          </w:p>
        </w:tc>
        <w:tc>
          <w:tcPr>
            <w:tcW w:w="0" w:type="auto"/>
            <w:vAlign w:val="center"/>
            <w:hideMark/>
          </w:tcPr>
          <w:p w14:paraId="41C041BB" w14:textId="0505E49B"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V7640 (34)</w:t>
            </w:r>
            <w:r w:rsidRPr="00621566">
              <w:rPr>
                <w:rFonts w:ascii="Times New Roman" w:eastAsia="等线" w:hAnsi="Times New Roman" w:cs="Times New Roman"/>
                <w:color w:val="000000" w:themeColor="text1"/>
                <w:kern w:val="0"/>
                <w:sz w:val="15"/>
                <w:szCs w:val="15"/>
                <w:lang w:val="en-US"/>
              </w:rPr>
              <w:t>, V7639 (16), V7637 (10), V7642 (4), V7644 (2), V7641 (1)</w:t>
            </w:r>
          </w:p>
        </w:tc>
      </w:tr>
      <w:tr w:rsidR="00621566" w:rsidRPr="003D4233" w14:paraId="3A6D2B5A" w14:textId="77777777" w:rsidTr="00621566">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181C1478" w14:textId="77777777" w:rsidR="00621566" w:rsidRPr="003D4233" w:rsidRDefault="00621566" w:rsidP="00621566">
            <w:pPr>
              <w:widowControl/>
              <w:jc w:val="center"/>
              <w:rPr>
                <w:rFonts w:ascii="Times New Roman" w:eastAsia="等线" w:hAnsi="Times New Roman" w:cs="Times New Roman"/>
                <w:color w:val="000000" w:themeColor="text1"/>
                <w:kern w:val="0"/>
                <w:sz w:val="15"/>
                <w:szCs w:val="15"/>
              </w:rPr>
            </w:pPr>
          </w:p>
        </w:tc>
        <w:tc>
          <w:tcPr>
            <w:tcW w:w="2036" w:type="dxa"/>
            <w:vAlign w:val="center"/>
            <w:hideMark/>
          </w:tcPr>
          <w:p w14:paraId="0849F386" w14:textId="31C79FCC"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High-frequency features (n=8)</w:t>
            </w:r>
          </w:p>
        </w:tc>
        <w:tc>
          <w:tcPr>
            <w:tcW w:w="0" w:type="auto"/>
            <w:vAlign w:val="center"/>
            <w:hideMark/>
          </w:tcPr>
          <w:p w14:paraId="18100A70" w14:textId="03203025"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V1711, V1730, V2673, V4639, V5732, V7309, V7640</w:t>
            </w:r>
          </w:p>
        </w:tc>
      </w:tr>
      <w:tr w:rsidR="00621566" w:rsidRPr="003D4233" w14:paraId="1360E5EF" w14:textId="77777777" w:rsidTr="006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hideMark/>
          </w:tcPr>
          <w:p w14:paraId="0924EC2C" w14:textId="2AC36130" w:rsidR="00621566" w:rsidRPr="003D4233" w:rsidRDefault="00621566" w:rsidP="00621566">
            <w:pPr>
              <w:widowControl/>
              <w:jc w:val="center"/>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color w:val="000000" w:themeColor="text1"/>
                <w:kern w:val="0"/>
                <w:sz w:val="15"/>
                <w:szCs w:val="15"/>
                <w:lang w:val="en-US"/>
              </w:rPr>
              <w:t>Stable features</w:t>
            </w:r>
          </w:p>
        </w:tc>
        <w:tc>
          <w:tcPr>
            <w:tcW w:w="2036" w:type="dxa"/>
            <w:vAlign w:val="center"/>
            <w:hideMark/>
          </w:tcPr>
          <w:p w14:paraId="68850A9B" w14:textId="1BB7A4FC"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Intratumoral subregions</w:t>
            </w:r>
          </w:p>
        </w:tc>
        <w:tc>
          <w:tcPr>
            <w:tcW w:w="0" w:type="auto"/>
            <w:vAlign w:val="center"/>
            <w:hideMark/>
          </w:tcPr>
          <w:p w14:paraId="52F4C61B" w14:textId="2FC1EAB9"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V1730, V1844</w:t>
            </w:r>
          </w:p>
        </w:tc>
      </w:tr>
      <w:tr w:rsidR="00621566" w:rsidRPr="003D4233" w14:paraId="10962942" w14:textId="77777777" w:rsidTr="0060295C">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0761B96D" w14:textId="77777777" w:rsidR="00621566" w:rsidRPr="003D4233" w:rsidRDefault="00621566" w:rsidP="0060295C">
            <w:pPr>
              <w:widowControl/>
              <w:jc w:val="left"/>
              <w:rPr>
                <w:rFonts w:ascii="Times New Roman" w:eastAsia="等线" w:hAnsi="Times New Roman" w:cs="Times New Roman"/>
                <w:color w:val="000000" w:themeColor="text1"/>
                <w:kern w:val="0"/>
                <w:sz w:val="15"/>
                <w:szCs w:val="15"/>
              </w:rPr>
            </w:pPr>
          </w:p>
        </w:tc>
        <w:tc>
          <w:tcPr>
            <w:tcW w:w="2036" w:type="dxa"/>
            <w:vAlign w:val="center"/>
            <w:hideMark/>
          </w:tcPr>
          <w:p w14:paraId="4B133588" w14:textId="3E58B6C1"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Peritumoral region</w:t>
            </w:r>
          </w:p>
        </w:tc>
        <w:tc>
          <w:tcPr>
            <w:tcW w:w="0" w:type="auto"/>
            <w:vAlign w:val="center"/>
            <w:hideMark/>
          </w:tcPr>
          <w:p w14:paraId="3AF97F51" w14:textId="694791CF"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V2673</w:t>
            </w:r>
          </w:p>
        </w:tc>
      </w:tr>
      <w:tr w:rsidR="00621566" w:rsidRPr="003D4233" w14:paraId="37C7D65D" w14:textId="77777777" w:rsidTr="00602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BB992DB" w14:textId="77777777" w:rsidR="00621566" w:rsidRPr="003D4233" w:rsidRDefault="00621566" w:rsidP="0060295C">
            <w:pPr>
              <w:widowControl/>
              <w:jc w:val="left"/>
              <w:rPr>
                <w:rFonts w:ascii="Times New Roman" w:eastAsia="等线" w:hAnsi="Times New Roman" w:cs="Times New Roman"/>
                <w:color w:val="000000" w:themeColor="text1"/>
                <w:kern w:val="0"/>
                <w:sz w:val="15"/>
                <w:szCs w:val="15"/>
              </w:rPr>
            </w:pPr>
          </w:p>
        </w:tc>
        <w:tc>
          <w:tcPr>
            <w:tcW w:w="2036" w:type="dxa"/>
            <w:vAlign w:val="center"/>
            <w:hideMark/>
          </w:tcPr>
          <w:p w14:paraId="4943B925" w14:textId="2FB17B21"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Whole-tumor region</w:t>
            </w:r>
          </w:p>
        </w:tc>
        <w:tc>
          <w:tcPr>
            <w:tcW w:w="0" w:type="auto"/>
            <w:vAlign w:val="center"/>
            <w:hideMark/>
          </w:tcPr>
          <w:p w14:paraId="46229556" w14:textId="4FFA1636"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V4639</w:t>
            </w:r>
          </w:p>
        </w:tc>
      </w:tr>
      <w:tr w:rsidR="00621566" w:rsidRPr="003D4233" w14:paraId="2F4469E9" w14:textId="77777777" w:rsidTr="0060295C">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08778AA0" w14:textId="77777777" w:rsidR="00621566" w:rsidRPr="008B74B5" w:rsidRDefault="00621566" w:rsidP="0060295C">
            <w:pPr>
              <w:widowControl/>
              <w:jc w:val="left"/>
              <w:rPr>
                <w:rFonts w:ascii="Times New Roman" w:eastAsia="等线" w:hAnsi="Times New Roman" w:cs="Times New Roman"/>
                <w:color w:val="000000" w:themeColor="text1"/>
                <w:kern w:val="0"/>
                <w:sz w:val="15"/>
                <w:szCs w:val="15"/>
              </w:rPr>
            </w:pPr>
          </w:p>
        </w:tc>
        <w:tc>
          <w:tcPr>
            <w:tcW w:w="2036" w:type="dxa"/>
            <w:vAlign w:val="center"/>
            <w:hideMark/>
          </w:tcPr>
          <w:p w14:paraId="6D0DD19F" w14:textId="63F3FA5D" w:rsidR="00621566" w:rsidRPr="008B74B5"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Kinetic features</w:t>
            </w:r>
          </w:p>
        </w:tc>
        <w:tc>
          <w:tcPr>
            <w:tcW w:w="0" w:type="auto"/>
            <w:vAlign w:val="center"/>
            <w:hideMark/>
          </w:tcPr>
          <w:p w14:paraId="462FB520" w14:textId="13465C35" w:rsidR="00621566" w:rsidRPr="008B74B5"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V7309</w:t>
            </w:r>
          </w:p>
        </w:tc>
      </w:tr>
      <w:tr w:rsidR="00621566" w:rsidRPr="003D4233" w14:paraId="1FAF69B2" w14:textId="77777777" w:rsidTr="00602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E9FEEF3" w14:textId="77777777" w:rsidR="00621566" w:rsidRPr="003D4233" w:rsidRDefault="00621566" w:rsidP="0060295C">
            <w:pPr>
              <w:widowControl/>
              <w:jc w:val="left"/>
              <w:rPr>
                <w:rFonts w:ascii="Times New Roman" w:eastAsia="等线" w:hAnsi="Times New Roman" w:cs="Times New Roman"/>
                <w:color w:val="000000" w:themeColor="text1"/>
                <w:kern w:val="0"/>
                <w:sz w:val="15"/>
                <w:szCs w:val="15"/>
              </w:rPr>
            </w:pPr>
          </w:p>
        </w:tc>
        <w:tc>
          <w:tcPr>
            <w:tcW w:w="2036" w:type="dxa"/>
            <w:vAlign w:val="center"/>
            <w:hideMark/>
          </w:tcPr>
          <w:p w14:paraId="089EE248" w14:textId="3A24E7DD"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MSI features</w:t>
            </w:r>
          </w:p>
        </w:tc>
        <w:tc>
          <w:tcPr>
            <w:tcW w:w="0" w:type="auto"/>
            <w:vAlign w:val="center"/>
            <w:hideMark/>
          </w:tcPr>
          <w:p w14:paraId="525B9D53" w14:textId="0D4406DA" w:rsidR="00621566" w:rsidRPr="003D4233" w:rsidRDefault="00621566" w:rsidP="0060295C">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V7632</w:t>
            </w:r>
          </w:p>
        </w:tc>
      </w:tr>
      <w:tr w:rsidR="00621566" w:rsidRPr="003D4233" w14:paraId="0FFA2AE0" w14:textId="77777777" w:rsidTr="0060295C">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2776A4C3" w14:textId="77777777" w:rsidR="00621566" w:rsidRPr="003D4233" w:rsidRDefault="00621566" w:rsidP="0060295C">
            <w:pPr>
              <w:widowControl/>
              <w:jc w:val="left"/>
              <w:rPr>
                <w:rFonts w:ascii="Times New Roman" w:eastAsia="等线" w:hAnsi="Times New Roman" w:cs="Times New Roman"/>
                <w:color w:val="000000" w:themeColor="text1"/>
                <w:kern w:val="0"/>
                <w:sz w:val="15"/>
                <w:szCs w:val="15"/>
              </w:rPr>
            </w:pPr>
          </w:p>
        </w:tc>
        <w:tc>
          <w:tcPr>
            <w:tcW w:w="2036" w:type="dxa"/>
            <w:vAlign w:val="center"/>
            <w:hideMark/>
          </w:tcPr>
          <w:p w14:paraId="0D9B912E" w14:textId="525E4050"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Total (n=7)</w:t>
            </w:r>
          </w:p>
        </w:tc>
        <w:tc>
          <w:tcPr>
            <w:tcW w:w="0" w:type="auto"/>
            <w:vAlign w:val="center"/>
            <w:hideMark/>
          </w:tcPr>
          <w:p w14:paraId="241D3800" w14:textId="24B7E7E7" w:rsidR="00621566" w:rsidRPr="003D4233" w:rsidRDefault="00621566" w:rsidP="0060295C">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kern w:val="0"/>
                <w:sz w:val="15"/>
                <w:szCs w:val="15"/>
              </w:rPr>
            </w:pPr>
            <w:r w:rsidRPr="0060295C">
              <w:rPr>
                <w:rFonts w:ascii="Times New Roman" w:eastAsia="等线" w:hAnsi="Times New Roman" w:cs="Times New Roman"/>
                <w:b/>
                <w:bCs/>
                <w:color w:val="000000" w:themeColor="text1"/>
                <w:kern w:val="0"/>
                <w:sz w:val="15"/>
                <w:szCs w:val="15"/>
                <w:lang w:val="en-US"/>
              </w:rPr>
              <w:t>V1324, V1730, V1844, V2673, V4639, V7309, V7632</w:t>
            </w:r>
          </w:p>
        </w:tc>
      </w:tr>
    </w:tbl>
    <w:p w14:paraId="234DC2DB" w14:textId="4CA90F5A" w:rsidR="00643625" w:rsidRPr="00643625" w:rsidRDefault="00643625" w:rsidP="00643625">
      <w:pPr>
        <w:snapToGrid w:val="0"/>
        <w:spacing w:line="180" w:lineRule="atLeast"/>
        <w:jc w:val="left"/>
        <w:rPr>
          <w:rFonts w:ascii="Times New Roman" w:hAnsi="Times New Roman" w:cs="Times New Roman"/>
          <w:color w:val="000000" w:themeColor="text1"/>
          <w:sz w:val="15"/>
          <w:szCs w:val="15"/>
          <w:lang w:val="en-US"/>
        </w:rPr>
      </w:pPr>
      <w:r w:rsidRPr="00643625">
        <w:rPr>
          <w:rFonts w:ascii="Times New Roman" w:hAnsi="Times New Roman" w:cs="Times New Roman"/>
          <w:color w:val="000000" w:themeColor="text1"/>
          <w:sz w:val="15"/>
          <w:szCs w:val="15"/>
          <w:lang w:val="en-US"/>
        </w:rPr>
        <w:t xml:space="preserve">LASSO, least absolute shrinkage and selection operator; RFE, recursive feature elimination; GBM, gradient boosting machine. </w:t>
      </w:r>
      <w:r w:rsidR="008B74B5" w:rsidRPr="008B74B5">
        <w:rPr>
          <w:rFonts w:ascii="Times New Roman" w:hAnsi="Times New Roman" w:cs="Times New Roman"/>
          <w:color w:val="000000" w:themeColor="text1"/>
          <w:sz w:val="15"/>
          <w:szCs w:val="15"/>
          <w:lang w:val="en-US"/>
        </w:rPr>
        <w:t>Selection frequencies were calculated from the final cross-group feature subsets obtained after within-group screening and cross-group integration</w:t>
      </w:r>
      <w:r w:rsidR="008B74B5">
        <w:rPr>
          <w:rFonts w:ascii="Times New Roman" w:hAnsi="Times New Roman" w:cs="Times New Roman" w:hint="eastAsia"/>
          <w:color w:val="000000" w:themeColor="text1"/>
          <w:sz w:val="15"/>
          <w:szCs w:val="15"/>
          <w:lang w:val="en-US"/>
        </w:rPr>
        <w:t xml:space="preserve">. </w:t>
      </w:r>
      <w:r w:rsidRPr="00643625">
        <w:rPr>
          <w:rFonts w:ascii="Times New Roman" w:hAnsi="Times New Roman" w:cs="Times New Roman"/>
          <w:color w:val="000000" w:themeColor="text1"/>
          <w:sz w:val="15"/>
          <w:szCs w:val="15"/>
          <w:lang w:val="en-US"/>
        </w:rPr>
        <w:t xml:space="preserve">Features selected in </w:t>
      </w:r>
      <w:r w:rsidR="00EE4C6C" w:rsidRPr="00EE4C6C">
        <w:rPr>
          <w:rFonts w:ascii="Times New Roman" w:hAnsi="Times New Roman" w:cs="Times New Roman"/>
          <w:color w:val="000000" w:themeColor="text1"/>
          <w:sz w:val="15"/>
          <w:szCs w:val="15"/>
        </w:rPr>
        <w:t>at least 50% of the iterations</w:t>
      </w:r>
      <w:r w:rsidRPr="00643625">
        <w:rPr>
          <w:rFonts w:ascii="Times New Roman" w:hAnsi="Times New Roman" w:cs="Times New Roman"/>
          <w:color w:val="000000" w:themeColor="text1"/>
          <w:sz w:val="15"/>
          <w:szCs w:val="15"/>
          <w:lang w:val="en-US"/>
        </w:rPr>
        <w:t xml:space="preserve"> (≥2</w:t>
      </w:r>
      <w:r w:rsidR="00E5282A">
        <w:rPr>
          <w:rFonts w:ascii="Times New Roman" w:hAnsi="Times New Roman" w:cs="Times New Roman" w:hint="eastAsia"/>
          <w:color w:val="000000" w:themeColor="text1"/>
          <w:sz w:val="15"/>
          <w:szCs w:val="15"/>
          <w:lang w:val="en-US"/>
        </w:rPr>
        <w:t>5</w:t>
      </w:r>
      <w:r w:rsidRPr="00643625">
        <w:rPr>
          <w:rFonts w:ascii="Times New Roman" w:hAnsi="Times New Roman" w:cs="Times New Roman"/>
          <w:color w:val="000000" w:themeColor="text1"/>
          <w:sz w:val="15"/>
          <w:szCs w:val="15"/>
          <w:lang w:val="en-US"/>
        </w:rPr>
        <w:t xml:space="preserve"> iterations) were defined as high-frequency features and are shown in bold. Stable features were defined as high-frequency features identified by at least two of the four selection methods.</w:t>
      </w:r>
    </w:p>
    <w:p w14:paraId="683779C9" w14:textId="3001DFB6" w:rsidR="005B42D4" w:rsidRPr="00DD0828" w:rsidRDefault="005B42D4" w:rsidP="003A3B4A">
      <w:pPr>
        <w:rPr>
          <w:rFonts w:hint="eastAsia"/>
          <w:color w:val="000000" w:themeColor="text1"/>
          <w:sz w:val="15"/>
          <w:szCs w:val="15"/>
        </w:rPr>
      </w:pPr>
    </w:p>
    <w:p w14:paraId="33DBC42E" w14:textId="245EF317" w:rsidR="00E81180" w:rsidRDefault="00E81180" w:rsidP="003A3B4A">
      <w:pPr>
        <w:rPr>
          <w:rFonts w:ascii="Times New Roman" w:hAnsi="Times New Roman" w:cs="Times New Roman"/>
          <w:b/>
          <w:bCs/>
          <w:color w:val="000000" w:themeColor="text1"/>
          <w:sz w:val="15"/>
          <w:szCs w:val="15"/>
        </w:rPr>
      </w:pPr>
      <w:r w:rsidRPr="00CF66F3">
        <w:rPr>
          <w:rFonts w:ascii="Times New Roman" w:hAnsi="Times New Roman" w:cs="Times New Roman"/>
          <w:b/>
          <w:bCs/>
          <w:color w:val="000000" w:themeColor="text1"/>
          <w:sz w:val="15"/>
          <w:szCs w:val="15"/>
        </w:rPr>
        <w:t>Table E7. Detailed definitions of high-frequency and stable features.</w:t>
      </w:r>
    </w:p>
    <w:tbl>
      <w:tblPr>
        <w:tblStyle w:val="11"/>
        <w:tblW w:w="8302" w:type="dxa"/>
        <w:tblLayout w:type="fixed"/>
        <w:tblLook w:val="04A0" w:firstRow="1" w:lastRow="0" w:firstColumn="1" w:lastColumn="0" w:noHBand="0" w:noVBand="1"/>
      </w:tblPr>
      <w:tblGrid>
        <w:gridCol w:w="704"/>
        <w:gridCol w:w="1701"/>
        <w:gridCol w:w="851"/>
        <w:gridCol w:w="3061"/>
        <w:gridCol w:w="397"/>
        <w:gridCol w:w="397"/>
        <w:gridCol w:w="397"/>
        <w:gridCol w:w="397"/>
        <w:gridCol w:w="397"/>
      </w:tblGrid>
      <w:tr w:rsidR="00B349A5" w:rsidRPr="00B349A5" w14:paraId="7AA47B1B" w14:textId="77777777" w:rsidTr="00CD6EF5">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36A62679" w14:textId="77777777" w:rsidR="00B349A5" w:rsidRPr="00B349A5" w:rsidRDefault="00B349A5" w:rsidP="004C593F">
            <w:pPr>
              <w:jc w:val="center"/>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Feature ID</w:t>
            </w:r>
          </w:p>
        </w:tc>
        <w:tc>
          <w:tcPr>
            <w:tcW w:w="1701" w:type="dxa"/>
            <w:vAlign w:val="center"/>
            <w:hideMark/>
          </w:tcPr>
          <w:p w14:paraId="1F1ECE38" w14:textId="77777777" w:rsidR="00B349A5" w:rsidRPr="00B349A5" w:rsidRDefault="00B349A5" w:rsidP="004C59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Region</w:t>
            </w:r>
          </w:p>
        </w:tc>
        <w:tc>
          <w:tcPr>
            <w:tcW w:w="851" w:type="dxa"/>
            <w:vAlign w:val="center"/>
            <w:hideMark/>
          </w:tcPr>
          <w:p w14:paraId="7BDA0126" w14:textId="77777777" w:rsidR="00B349A5" w:rsidRPr="00B349A5" w:rsidRDefault="00B349A5" w:rsidP="004C59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Feature category</w:t>
            </w:r>
          </w:p>
        </w:tc>
        <w:tc>
          <w:tcPr>
            <w:tcW w:w="3061" w:type="dxa"/>
            <w:vAlign w:val="center"/>
            <w:hideMark/>
          </w:tcPr>
          <w:p w14:paraId="756B0198" w14:textId="77777777" w:rsidR="00B349A5" w:rsidRPr="00B349A5" w:rsidRDefault="00B349A5" w:rsidP="004C593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Radiomic descriptor</w:t>
            </w:r>
          </w:p>
        </w:tc>
        <w:tc>
          <w:tcPr>
            <w:tcW w:w="397" w:type="dxa"/>
            <w:textDirection w:val="btLr"/>
            <w:vAlign w:val="center"/>
            <w:hideMark/>
          </w:tcPr>
          <w:p w14:paraId="2529088D" w14:textId="77777777" w:rsidR="00B349A5" w:rsidRPr="00B349A5" w:rsidRDefault="00B349A5" w:rsidP="004C593F">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Stepwise</w:t>
            </w:r>
          </w:p>
        </w:tc>
        <w:tc>
          <w:tcPr>
            <w:tcW w:w="397" w:type="dxa"/>
            <w:textDirection w:val="btLr"/>
            <w:vAlign w:val="center"/>
            <w:hideMark/>
          </w:tcPr>
          <w:p w14:paraId="3239C517" w14:textId="77777777" w:rsidR="00B349A5" w:rsidRPr="00B349A5" w:rsidRDefault="00B349A5" w:rsidP="004C593F">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LASSO</w:t>
            </w:r>
          </w:p>
        </w:tc>
        <w:tc>
          <w:tcPr>
            <w:tcW w:w="397" w:type="dxa"/>
            <w:textDirection w:val="btLr"/>
            <w:vAlign w:val="center"/>
            <w:hideMark/>
          </w:tcPr>
          <w:p w14:paraId="6D4AE236" w14:textId="77777777" w:rsidR="00B349A5" w:rsidRPr="00B349A5" w:rsidRDefault="00B349A5" w:rsidP="004C593F">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RFE</w:t>
            </w:r>
          </w:p>
        </w:tc>
        <w:tc>
          <w:tcPr>
            <w:tcW w:w="397" w:type="dxa"/>
            <w:textDirection w:val="btLr"/>
            <w:vAlign w:val="center"/>
            <w:hideMark/>
          </w:tcPr>
          <w:p w14:paraId="6CD5302B" w14:textId="77777777" w:rsidR="00B349A5" w:rsidRPr="00B349A5" w:rsidRDefault="00B349A5" w:rsidP="004C593F">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GBM</w:t>
            </w:r>
          </w:p>
        </w:tc>
        <w:tc>
          <w:tcPr>
            <w:tcW w:w="397" w:type="dxa"/>
            <w:textDirection w:val="btLr"/>
            <w:vAlign w:val="center"/>
            <w:hideMark/>
          </w:tcPr>
          <w:p w14:paraId="49A5D9E1" w14:textId="77777777" w:rsidR="00B349A5" w:rsidRPr="00B349A5" w:rsidRDefault="00B349A5" w:rsidP="004C593F">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5"/>
                <w:szCs w:val="15"/>
                <w:lang w:val="en-US"/>
              </w:rPr>
            </w:pPr>
            <w:r w:rsidRPr="00B349A5">
              <w:rPr>
                <w:rFonts w:ascii="Times New Roman" w:hAnsi="Times New Roman" w:cs="Times New Roman"/>
                <w:b w:val="0"/>
                <w:bCs w:val="0"/>
                <w:color w:val="000000" w:themeColor="text1"/>
                <w:sz w:val="15"/>
                <w:szCs w:val="15"/>
                <w:lang w:val="en-US"/>
              </w:rPr>
              <w:t>Stable feature</w:t>
            </w:r>
          </w:p>
        </w:tc>
      </w:tr>
      <w:tr w:rsidR="00BA029D" w:rsidRPr="00B349A5" w14:paraId="44895F2C"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05C36EEB" w14:textId="567D8E7B" w:rsidR="00BA029D" w:rsidRPr="00BA029D" w:rsidRDefault="007D0E5E" w:rsidP="00BA029D">
            <w:pPr>
              <w:jc w:val="center"/>
              <w:rPr>
                <w:rFonts w:ascii="Times New Roman" w:hAnsi="Times New Roman" w:cs="Times New Roman"/>
                <w:color w:val="000000" w:themeColor="text1"/>
                <w:sz w:val="15"/>
                <w:szCs w:val="15"/>
                <w:lang w:val="en-US"/>
              </w:rPr>
            </w:pPr>
            <w:r>
              <w:rPr>
                <w:rFonts w:ascii="Times New Roman" w:hAnsi="Times New Roman" w:cs="Times New Roman" w:hint="eastAsia"/>
                <w:color w:val="000000" w:themeColor="text1"/>
                <w:sz w:val="15"/>
                <w:szCs w:val="15"/>
                <w:lang w:val="en-US"/>
              </w:rPr>
              <w:t>V</w:t>
            </w:r>
            <w:r w:rsidR="00BA029D" w:rsidRPr="00BA029D">
              <w:rPr>
                <w:rFonts w:ascii="Times New Roman" w:hAnsi="Times New Roman" w:cs="Times New Roman"/>
                <w:color w:val="000000" w:themeColor="text1"/>
                <w:sz w:val="15"/>
                <w:szCs w:val="15"/>
                <w:lang w:val="en-US"/>
              </w:rPr>
              <w:t>1324</w:t>
            </w:r>
          </w:p>
        </w:tc>
        <w:tc>
          <w:tcPr>
            <w:tcW w:w="1701" w:type="dxa"/>
            <w:vAlign w:val="center"/>
            <w:hideMark/>
          </w:tcPr>
          <w:p w14:paraId="3582E0D9" w14:textId="7AE67DB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Moderately perfused intratumoral subregion</w:t>
            </w:r>
          </w:p>
        </w:tc>
        <w:tc>
          <w:tcPr>
            <w:tcW w:w="851" w:type="dxa"/>
            <w:vAlign w:val="center"/>
            <w:hideMark/>
          </w:tcPr>
          <w:p w14:paraId="78F8B680" w14:textId="7A8355E1"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GLSZM</w:t>
            </w:r>
          </w:p>
        </w:tc>
        <w:tc>
          <w:tcPr>
            <w:tcW w:w="3061" w:type="dxa"/>
            <w:vAlign w:val="center"/>
            <w:hideMark/>
          </w:tcPr>
          <w:p w14:paraId="787E4C40" w14:textId="7877D23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Wavelet-LHH_GLSZM_LargeAreaHighGrayLevelEmphasis</w:t>
            </w:r>
          </w:p>
        </w:tc>
        <w:tc>
          <w:tcPr>
            <w:tcW w:w="397" w:type="dxa"/>
            <w:vAlign w:val="center"/>
            <w:hideMark/>
          </w:tcPr>
          <w:p w14:paraId="204027EA"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p>
        </w:tc>
        <w:tc>
          <w:tcPr>
            <w:tcW w:w="397" w:type="dxa"/>
            <w:vAlign w:val="center"/>
            <w:hideMark/>
          </w:tcPr>
          <w:p w14:paraId="58480ECD" w14:textId="6927E70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5F6CC3A9" w14:textId="60F16E54"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6A9B0787" w14:textId="2A5B4499"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587CBDC7" w14:textId="254652A0"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r>
      <w:tr w:rsidR="00BA029D" w:rsidRPr="00B349A5" w14:paraId="7266D5E4"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6514F9B1" w14:textId="474C7074"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V1711</w:t>
            </w:r>
          </w:p>
        </w:tc>
        <w:tc>
          <w:tcPr>
            <w:tcW w:w="1701" w:type="dxa"/>
            <w:vAlign w:val="center"/>
            <w:hideMark/>
          </w:tcPr>
          <w:p w14:paraId="70BBEBEA" w14:textId="691D0AF4"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Moderately perfused intratumoral subregion</w:t>
            </w:r>
          </w:p>
        </w:tc>
        <w:tc>
          <w:tcPr>
            <w:tcW w:w="851" w:type="dxa"/>
            <w:vAlign w:val="center"/>
            <w:hideMark/>
          </w:tcPr>
          <w:p w14:paraId="7456706F" w14:textId="40E671E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GLCM</w:t>
            </w:r>
          </w:p>
        </w:tc>
        <w:tc>
          <w:tcPr>
            <w:tcW w:w="3061" w:type="dxa"/>
            <w:vAlign w:val="center"/>
            <w:hideMark/>
          </w:tcPr>
          <w:p w14:paraId="3324390D" w14:textId="4B95F26D"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Wavelet-HLH_GLCM_ClusterTendency</w:t>
            </w:r>
          </w:p>
        </w:tc>
        <w:tc>
          <w:tcPr>
            <w:tcW w:w="397" w:type="dxa"/>
            <w:vAlign w:val="center"/>
            <w:hideMark/>
          </w:tcPr>
          <w:p w14:paraId="0FAD82C4"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0E7E40EB"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C8D3530"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703E46A7" w14:textId="6539024C"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20297B2B"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5A95D4D5"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6E2891A6" w14:textId="1B02DF45" w:rsidR="00BA029D" w:rsidRPr="00BA029D" w:rsidRDefault="00BA029D" w:rsidP="00BA029D">
            <w:pPr>
              <w:jc w:val="center"/>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V1730</w:t>
            </w:r>
          </w:p>
        </w:tc>
        <w:tc>
          <w:tcPr>
            <w:tcW w:w="1701" w:type="dxa"/>
            <w:vAlign w:val="center"/>
            <w:hideMark/>
          </w:tcPr>
          <w:p w14:paraId="25687708" w14:textId="14F4273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Highly perfused intratumoral subregion</w:t>
            </w:r>
          </w:p>
        </w:tc>
        <w:tc>
          <w:tcPr>
            <w:tcW w:w="851" w:type="dxa"/>
            <w:vAlign w:val="center"/>
            <w:hideMark/>
          </w:tcPr>
          <w:p w14:paraId="33AB2CC6" w14:textId="09A50CD5"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GLCM</w:t>
            </w:r>
          </w:p>
        </w:tc>
        <w:tc>
          <w:tcPr>
            <w:tcW w:w="3061" w:type="dxa"/>
            <w:vAlign w:val="center"/>
            <w:hideMark/>
          </w:tcPr>
          <w:p w14:paraId="48E16A9E" w14:textId="7849CC3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Wavelet-HHH_GLCM_ClusterProminence</w:t>
            </w:r>
          </w:p>
        </w:tc>
        <w:tc>
          <w:tcPr>
            <w:tcW w:w="397" w:type="dxa"/>
            <w:vAlign w:val="center"/>
            <w:hideMark/>
          </w:tcPr>
          <w:p w14:paraId="0AC3FC34" w14:textId="692B75DC"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1BAF1156"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p>
        </w:tc>
        <w:tc>
          <w:tcPr>
            <w:tcW w:w="397" w:type="dxa"/>
            <w:vAlign w:val="center"/>
            <w:hideMark/>
          </w:tcPr>
          <w:p w14:paraId="2638DDCB"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p>
        </w:tc>
        <w:tc>
          <w:tcPr>
            <w:tcW w:w="397" w:type="dxa"/>
            <w:vAlign w:val="center"/>
            <w:hideMark/>
          </w:tcPr>
          <w:p w14:paraId="6EA18E82" w14:textId="3C37EA4C"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46E5024B" w14:textId="2EC5F16E"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r>
      <w:tr w:rsidR="00BA029D" w:rsidRPr="00B349A5" w14:paraId="1D32251A"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4112C433" w14:textId="77396D23" w:rsidR="00BA029D" w:rsidRPr="00BA029D" w:rsidRDefault="00BA029D" w:rsidP="00BA029D">
            <w:pPr>
              <w:jc w:val="center"/>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V1844</w:t>
            </w:r>
          </w:p>
        </w:tc>
        <w:tc>
          <w:tcPr>
            <w:tcW w:w="1701" w:type="dxa"/>
            <w:vAlign w:val="center"/>
            <w:hideMark/>
          </w:tcPr>
          <w:p w14:paraId="07FDA3AF" w14:textId="7AD3614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Highly perfused intratumoral subregion</w:t>
            </w:r>
          </w:p>
        </w:tc>
        <w:tc>
          <w:tcPr>
            <w:tcW w:w="851" w:type="dxa"/>
            <w:vAlign w:val="center"/>
            <w:hideMark/>
          </w:tcPr>
          <w:p w14:paraId="287D2B2B" w14:textId="45F6397D"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GLCM</w:t>
            </w:r>
          </w:p>
        </w:tc>
        <w:tc>
          <w:tcPr>
            <w:tcW w:w="3061" w:type="dxa"/>
            <w:vAlign w:val="center"/>
            <w:hideMark/>
          </w:tcPr>
          <w:p w14:paraId="64EDEC1B" w14:textId="6157BEF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Wavelet-HHH_GLCM_ClusterShade</w:t>
            </w:r>
          </w:p>
        </w:tc>
        <w:tc>
          <w:tcPr>
            <w:tcW w:w="397" w:type="dxa"/>
            <w:vAlign w:val="center"/>
            <w:hideMark/>
          </w:tcPr>
          <w:p w14:paraId="1687BFB2" w14:textId="7E45FC1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70D1DB1D" w14:textId="139646D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3DCFE45E" w14:textId="07280FA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6B78B54D"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p>
        </w:tc>
        <w:tc>
          <w:tcPr>
            <w:tcW w:w="397" w:type="dxa"/>
            <w:vAlign w:val="center"/>
            <w:hideMark/>
          </w:tcPr>
          <w:p w14:paraId="10D02BEF" w14:textId="26EC5A72"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r>
      <w:tr w:rsidR="00BA029D" w:rsidRPr="00B349A5" w14:paraId="1B3E34B8"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27C60F8B" w14:textId="1A892B62"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V2567</w:t>
            </w:r>
          </w:p>
        </w:tc>
        <w:tc>
          <w:tcPr>
            <w:tcW w:w="1701" w:type="dxa"/>
            <w:vAlign w:val="center"/>
            <w:hideMark/>
          </w:tcPr>
          <w:p w14:paraId="744F0AB4" w14:textId="35825B4A"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Peritumoral region</w:t>
            </w:r>
          </w:p>
        </w:tc>
        <w:tc>
          <w:tcPr>
            <w:tcW w:w="851" w:type="dxa"/>
            <w:vAlign w:val="center"/>
            <w:hideMark/>
          </w:tcPr>
          <w:p w14:paraId="175A98F9" w14:textId="25F4CE8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First-order</w:t>
            </w:r>
          </w:p>
        </w:tc>
        <w:tc>
          <w:tcPr>
            <w:tcW w:w="3061" w:type="dxa"/>
            <w:vAlign w:val="center"/>
            <w:hideMark/>
          </w:tcPr>
          <w:p w14:paraId="09AB4C6C" w14:textId="17BC3134"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Wavelet-HLH_FirstOrder_Entropy</w:t>
            </w:r>
          </w:p>
        </w:tc>
        <w:tc>
          <w:tcPr>
            <w:tcW w:w="397" w:type="dxa"/>
            <w:vAlign w:val="center"/>
            <w:hideMark/>
          </w:tcPr>
          <w:p w14:paraId="0B9F750C" w14:textId="29B84EE4"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7F5A0E78" w14:textId="1EB740B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3CEA0BE1" w14:textId="773B9089"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79D67AFF"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343974AF" w14:textId="4324DDF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41791F18"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3C7933D6" w14:textId="36FFEB81" w:rsidR="00BA029D" w:rsidRPr="00BA029D" w:rsidRDefault="00BA029D" w:rsidP="00BA029D">
            <w:pPr>
              <w:jc w:val="center"/>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lastRenderedPageBreak/>
              <w:t>V2673</w:t>
            </w:r>
          </w:p>
        </w:tc>
        <w:tc>
          <w:tcPr>
            <w:tcW w:w="1701" w:type="dxa"/>
            <w:vAlign w:val="center"/>
            <w:hideMark/>
          </w:tcPr>
          <w:p w14:paraId="10C66D0A" w14:textId="2D832D73"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Peritumoral region</w:t>
            </w:r>
          </w:p>
        </w:tc>
        <w:tc>
          <w:tcPr>
            <w:tcW w:w="851" w:type="dxa"/>
            <w:vAlign w:val="center"/>
            <w:hideMark/>
          </w:tcPr>
          <w:p w14:paraId="2751D95F" w14:textId="0FBE5F3C"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GLSZM</w:t>
            </w:r>
          </w:p>
        </w:tc>
        <w:tc>
          <w:tcPr>
            <w:tcW w:w="3061" w:type="dxa"/>
            <w:vAlign w:val="center"/>
            <w:hideMark/>
          </w:tcPr>
          <w:p w14:paraId="0A0CE8F5" w14:textId="73E5B29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Wavelet-LLH_GLSZM_ZonePercentage</w:t>
            </w:r>
          </w:p>
        </w:tc>
        <w:tc>
          <w:tcPr>
            <w:tcW w:w="397" w:type="dxa"/>
            <w:vAlign w:val="center"/>
            <w:hideMark/>
          </w:tcPr>
          <w:p w14:paraId="2C51B182" w14:textId="4E00ED66"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p>
        </w:tc>
        <w:tc>
          <w:tcPr>
            <w:tcW w:w="397" w:type="dxa"/>
            <w:vAlign w:val="center"/>
            <w:hideMark/>
          </w:tcPr>
          <w:p w14:paraId="55138C09" w14:textId="14A031DB"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69F01DDE" w14:textId="60A5633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3BB6BD5E" w14:textId="43DB3753"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6C8B9251" w14:textId="4BE653E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r>
      <w:tr w:rsidR="00BA029D" w:rsidRPr="00B349A5" w14:paraId="61D205AC"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5EAAA453" w14:textId="16CE8E8C"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V2982</w:t>
            </w:r>
          </w:p>
        </w:tc>
        <w:tc>
          <w:tcPr>
            <w:tcW w:w="1701" w:type="dxa"/>
            <w:vAlign w:val="center"/>
            <w:hideMark/>
          </w:tcPr>
          <w:p w14:paraId="536EDE5D" w14:textId="52DC3E7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Peritumoral region</w:t>
            </w:r>
          </w:p>
        </w:tc>
        <w:tc>
          <w:tcPr>
            <w:tcW w:w="851" w:type="dxa"/>
            <w:vAlign w:val="center"/>
            <w:hideMark/>
          </w:tcPr>
          <w:p w14:paraId="5F558A4C" w14:textId="1A7583CA"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GLDM</w:t>
            </w:r>
          </w:p>
        </w:tc>
        <w:tc>
          <w:tcPr>
            <w:tcW w:w="3061" w:type="dxa"/>
            <w:vAlign w:val="center"/>
            <w:hideMark/>
          </w:tcPr>
          <w:p w14:paraId="6FA770C1" w14:textId="229719F0"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Wavelet-LHL_GLDM_DependenceEntropy</w:t>
            </w:r>
          </w:p>
        </w:tc>
        <w:tc>
          <w:tcPr>
            <w:tcW w:w="397" w:type="dxa"/>
            <w:vAlign w:val="center"/>
            <w:hideMark/>
          </w:tcPr>
          <w:p w14:paraId="059D9294"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090CF1FD" w14:textId="19CAC74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50AC2F8E" w14:textId="0769BC34"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78A940B6" w14:textId="7E65BE99"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0247610" w14:textId="204DFE20"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773445F9"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51308AB9" w14:textId="01F34F7A"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V3043</w:t>
            </w:r>
          </w:p>
        </w:tc>
        <w:tc>
          <w:tcPr>
            <w:tcW w:w="1701" w:type="dxa"/>
            <w:vAlign w:val="center"/>
            <w:hideMark/>
          </w:tcPr>
          <w:p w14:paraId="4E46C2FB" w14:textId="28AE9DEC"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Peritumoral region</w:t>
            </w:r>
          </w:p>
        </w:tc>
        <w:tc>
          <w:tcPr>
            <w:tcW w:w="851" w:type="dxa"/>
            <w:vAlign w:val="center"/>
            <w:hideMark/>
          </w:tcPr>
          <w:p w14:paraId="0BB306FB" w14:textId="21FB5744"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GLRLM</w:t>
            </w:r>
          </w:p>
        </w:tc>
        <w:tc>
          <w:tcPr>
            <w:tcW w:w="3061" w:type="dxa"/>
            <w:vAlign w:val="center"/>
            <w:hideMark/>
          </w:tcPr>
          <w:p w14:paraId="6E1F7EF5" w14:textId="0197B950"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Wavelet-HLH_GLRLM_RunEntropy</w:t>
            </w:r>
          </w:p>
        </w:tc>
        <w:tc>
          <w:tcPr>
            <w:tcW w:w="397" w:type="dxa"/>
            <w:vAlign w:val="center"/>
            <w:hideMark/>
          </w:tcPr>
          <w:p w14:paraId="49566A8D" w14:textId="34ACF2E0"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13426C48"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7640BD73" w14:textId="69EE59C9"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2CB0E6EE"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997FF92"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4A335BF6"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2B6D5BAB" w14:textId="66688792" w:rsidR="00BA029D" w:rsidRPr="00BA029D" w:rsidRDefault="00BA029D" w:rsidP="00BA029D">
            <w:pPr>
              <w:jc w:val="center"/>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V4639</w:t>
            </w:r>
          </w:p>
        </w:tc>
        <w:tc>
          <w:tcPr>
            <w:tcW w:w="1701" w:type="dxa"/>
            <w:vAlign w:val="center"/>
            <w:hideMark/>
          </w:tcPr>
          <w:p w14:paraId="1D626C7D" w14:textId="704F5EE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Whole-tumor region</w:t>
            </w:r>
          </w:p>
        </w:tc>
        <w:tc>
          <w:tcPr>
            <w:tcW w:w="851" w:type="dxa"/>
            <w:vAlign w:val="center"/>
            <w:hideMark/>
          </w:tcPr>
          <w:p w14:paraId="63E8C82E" w14:textId="0A14FE59"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GLSZM</w:t>
            </w:r>
          </w:p>
        </w:tc>
        <w:tc>
          <w:tcPr>
            <w:tcW w:w="3061" w:type="dxa"/>
            <w:vAlign w:val="center"/>
            <w:hideMark/>
          </w:tcPr>
          <w:p w14:paraId="74548591" w14:textId="3A9A0529"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Times New Roman" w:hAnsi="Times New Roman" w:cs="Times New Roman"/>
                <w:b/>
                <w:bCs/>
                <w:color w:val="000000" w:themeColor="text1"/>
                <w:sz w:val="15"/>
                <w:szCs w:val="15"/>
                <w:lang w:val="en-US"/>
              </w:rPr>
              <w:t>Wavelet-HLH_GLSZM_ZoneEntropy</w:t>
            </w:r>
          </w:p>
        </w:tc>
        <w:tc>
          <w:tcPr>
            <w:tcW w:w="397" w:type="dxa"/>
            <w:vAlign w:val="center"/>
            <w:hideMark/>
          </w:tcPr>
          <w:p w14:paraId="69950B5A" w14:textId="346567DC"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15E16951" w14:textId="314E3CD6"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0392184E"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p>
        </w:tc>
        <w:tc>
          <w:tcPr>
            <w:tcW w:w="397" w:type="dxa"/>
            <w:vAlign w:val="center"/>
            <w:hideMark/>
          </w:tcPr>
          <w:p w14:paraId="16BB0D94" w14:textId="2180B662"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2104A4CF" w14:textId="61E1A2DE"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lang w:val="en-US"/>
              </w:rPr>
            </w:pPr>
            <w:r w:rsidRPr="00BA029D">
              <w:rPr>
                <w:rFonts w:ascii="Segoe UI Symbol" w:hAnsi="Segoe UI Symbol" w:cs="Segoe UI Symbol"/>
                <w:b/>
                <w:bCs/>
                <w:color w:val="000000" w:themeColor="text1"/>
                <w:sz w:val="15"/>
                <w:szCs w:val="15"/>
                <w:lang w:val="en-US"/>
              </w:rPr>
              <w:t>✓</w:t>
            </w:r>
          </w:p>
        </w:tc>
      </w:tr>
      <w:tr w:rsidR="00BA029D" w:rsidRPr="00B349A5" w14:paraId="6F65323F"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2F5BC023" w14:textId="24273645"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V4673</w:t>
            </w:r>
          </w:p>
        </w:tc>
        <w:tc>
          <w:tcPr>
            <w:tcW w:w="1701" w:type="dxa"/>
            <w:vAlign w:val="center"/>
            <w:hideMark/>
          </w:tcPr>
          <w:p w14:paraId="6DE6DB66" w14:textId="7E39277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Whole-tumor region</w:t>
            </w:r>
          </w:p>
        </w:tc>
        <w:tc>
          <w:tcPr>
            <w:tcW w:w="851" w:type="dxa"/>
            <w:vAlign w:val="center"/>
            <w:hideMark/>
          </w:tcPr>
          <w:p w14:paraId="4C7BCC58" w14:textId="48AB68EF"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GLCM</w:t>
            </w:r>
          </w:p>
        </w:tc>
        <w:tc>
          <w:tcPr>
            <w:tcW w:w="3061" w:type="dxa"/>
            <w:vAlign w:val="center"/>
            <w:hideMark/>
          </w:tcPr>
          <w:p w14:paraId="445B2236" w14:textId="67ABF29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r w:rsidRPr="00BA029D">
              <w:rPr>
                <w:rFonts w:ascii="Times New Roman" w:hAnsi="Times New Roman" w:cs="Times New Roman"/>
                <w:color w:val="000000" w:themeColor="text1"/>
                <w:sz w:val="15"/>
                <w:szCs w:val="15"/>
                <w:lang w:val="en-US"/>
              </w:rPr>
              <w:t>Wavelet-HLH_GLCM_Correlation</w:t>
            </w:r>
          </w:p>
        </w:tc>
        <w:tc>
          <w:tcPr>
            <w:tcW w:w="397" w:type="dxa"/>
            <w:vAlign w:val="center"/>
            <w:hideMark/>
          </w:tcPr>
          <w:p w14:paraId="773C4E13" w14:textId="4A862FF2"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5F8C34A6" w14:textId="18EA2D62"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20CCA6FD" w14:textId="6ADBD39A"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662EF3DA" w14:textId="0E51B45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324DD806" w14:textId="6F7FDE3E"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3B57DBAB"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18459373" w14:textId="542D110A"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V5382</w:t>
            </w:r>
          </w:p>
        </w:tc>
        <w:tc>
          <w:tcPr>
            <w:tcW w:w="1701" w:type="dxa"/>
            <w:vAlign w:val="center"/>
            <w:hideMark/>
          </w:tcPr>
          <w:p w14:paraId="4036604B" w14:textId="1E7D2A7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Whole-tumor region</w:t>
            </w:r>
          </w:p>
        </w:tc>
        <w:tc>
          <w:tcPr>
            <w:tcW w:w="851" w:type="dxa"/>
            <w:vAlign w:val="center"/>
            <w:hideMark/>
          </w:tcPr>
          <w:p w14:paraId="0118FBF6" w14:textId="47147842"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GLSZM</w:t>
            </w:r>
          </w:p>
        </w:tc>
        <w:tc>
          <w:tcPr>
            <w:tcW w:w="3061" w:type="dxa"/>
            <w:vAlign w:val="center"/>
            <w:hideMark/>
          </w:tcPr>
          <w:p w14:paraId="3686B042" w14:textId="474F174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Wavelet-HLH_GLSZM_ZoneEntropy</w:t>
            </w:r>
          </w:p>
        </w:tc>
        <w:tc>
          <w:tcPr>
            <w:tcW w:w="397" w:type="dxa"/>
            <w:vAlign w:val="center"/>
            <w:hideMark/>
          </w:tcPr>
          <w:p w14:paraId="6824AE0A" w14:textId="403CD5C9"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6235A7AC"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3F6E5CDB" w14:textId="78E2556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07ED2291"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2F53C275"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754BD19D"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34930ECE" w14:textId="59711FA9"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V5732</w:t>
            </w:r>
          </w:p>
        </w:tc>
        <w:tc>
          <w:tcPr>
            <w:tcW w:w="1701" w:type="dxa"/>
            <w:vAlign w:val="center"/>
            <w:hideMark/>
          </w:tcPr>
          <w:p w14:paraId="08ABCCF5" w14:textId="13FBF66E"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Whole-tumor region</w:t>
            </w:r>
          </w:p>
        </w:tc>
        <w:tc>
          <w:tcPr>
            <w:tcW w:w="851" w:type="dxa"/>
            <w:vAlign w:val="center"/>
            <w:hideMark/>
          </w:tcPr>
          <w:p w14:paraId="41E2777F" w14:textId="0B151CFD"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GLRLM</w:t>
            </w:r>
          </w:p>
        </w:tc>
        <w:tc>
          <w:tcPr>
            <w:tcW w:w="3061" w:type="dxa"/>
            <w:vAlign w:val="center"/>
            <w:hideMark/>
          </w:tcPr>
          <w:p w14:paraId="280F0839" w14:textId="6A459783"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Wavelet-LLL_GLRLM_RunVariance</w:t>
            </w:r>
          </w:p>
        </w:tc>
        <w:tc>
          <w:tcPr>
            <w:tcW w:w="397" w:type="dxa"/>
            <w:vAlign w:val="center"/>
            <w:hideMark/>
          </w:tcPr>
          <w:p w14:paraId="63BB3850" w14:textId="5EDA61F8"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206C4B74"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75975450"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498A8396" w14:textId="7AED5C8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61E6FB84"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181604E4"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78B56BFE" w14:textId="63D86C56"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V5974</w:t>
            </w:r>
          </w:p>
        </w:tc>
        <w:tc>
          <w:tcPr>
            <w:tcW w:w="1701" w:type="dxa"/>
            <w:vAlign w:val="center"/>
            <w:hideMark/>
          </w:tcPr>
          <w:p w14:paraId="62FCE822" w14:textId="524BC643"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Kinetic feature</w:t>
            </w:r>
          </w:p>
        </w:tc>
        <w:tc>
          <w:tcPr>
            <w:tcW w:w="851" w:type="dxa"/>
            <w:vAlign w:val="center"/>
            <w:hideMark/>
          </w:tcPr>
          <w:p w14:paraId="1B6239BE" w14:textId="204DC75E"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First-order</w:t>
            </w:r>
          </w:p>
        </w:tc>
        <w:tc>
          <w:tcPr>
            <w:tcW w:w="3061" w:type="dxa"/>
            <w:vAlign w:val="center"/>
            <w:hideMark/>
          </w:tcPr>
          <w:p w14:paraId="224DFC40" w14:textId="0AD26F75"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Original_FirstOrder_Mean_Mean</w:t>
            </w:r>
          </w:p>
        </w:tc>
        <w:tc>
          <w:tcPr>
            <w:tcW w:w="397" w:type="dxa"/>
            <w:vAlign w:val="center"/>
            <w:hideMark/>
          </w:tcPr>
          <w:p w14:paraId="24D2EF01"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4B27C557"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4FCA7B7D" w14:textId="6433FA53"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25F03EEE" w14:textId="391734A5"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0CAB061C"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6D30F386"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1FC65275" w14:textId="00C10633" w:rsidR="00BA029D" w:rsidRPr="00BA029D" w:rsidRDefault="00BA029D" w:rsidP="00BA029D">
            <w:pPr>
              <w:jc w:val="center"/>
              <w:rPr>
                <w:rFonts w:ascii="Times New Roman" w:hAnsi="Times New Roman" w:cs="Times New Roman"/>
                <w:b w:val="0"/>
                <w:bCs w:val="0"/>
                <w:color w:val="000000" w:themeColor="text1"/>
                <w:sz w:val="15"/>
                <w:szCs w:val="15"/>
                <w:highlight w:val="yellow"/>
                <w:lang w:val="en-US"/>
              </w:rPr>
            </w:pPr>
            <w:r w:rsidRPr="00BA029D">
              <w:rPr>
                <w:rFonts w:ascii="Times New Roman" w:hAnsi="Times New Roman" w:cs="Times New Roman"/>
                <w:b w:val="0"/>
                <w:bCs w:val="0"/>
                <w:color w:val="000000" w:themeColor="text1"/>
                <w:sz w:val="15"/>
                <w:szCs w:val="15"/>
                <w:lang w:val="en-US"/>
              </w:rPr>
              <w:t>V6662</w:t>
            </w:r>
          </w:p>
        </w:tc>
        <w:tc>
          <w:tcPr>
            <w:tcW w:w="1701" w:type="dxa"/>
            <w:vAlign w:val="center"/>
            <w:hideMark/>
          </w:tcPr>
          <w:p w14:paraId="16560BC1" w14:textId="5BEA23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r w:rsidRPr="00BA029D">
              <w:rPr>
                <w:rFonts w:ascii="Times New Roman" w:hAnsi="Times New Roman" w:cs="Times New Roman"/>
                <w:color w:val="000000" w:themeColor="text1"/>
                <w:sz w:val="15"/>
                <w:szCs w:val="15"/>
                <w:lang w:val="en-US"/>
              </w:rPr>
              <w:t>Kinetic feature</w:t>
            </w:r>
          </w:p>
        </w:tc>
        <w:tc>
          <w:tcPr>
            <w:tcW w:w="851" w:type="dxa"/>
            <w:vAlign w:val="center"/>
            <w:hideMark/>
          </w:tcPr>
          <w:p w14:paraId="7E0D95E5" w14:textId="267416DE"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r w:rsidRPr="00BA029D">
              <w:rPr>
                <w:rFonts w:ascii="Times New Roman" w:hAnsi="Times New Roman" w:cs="Times New Roman"/>
                <w:color w:val="000000" w:themeColor="text1"/>
                <w:sz w:val="15"/>
                <w:szCs w:val="15"/>
                <w:lang w:val="en-US"/>
              </w:rPr>
              <w:t>GLCM</w:t>
            </w:r>
          </w:p>
        </w:tc>
        <w:tc>
          <w:tcPr>
            <w:tcW w:w="3061" w:type="dxa"/>
            <w:vAlign w:val="center"/>
            <w:hideMark/>
          </w:tcPr>
          <w:p w14:paraId="6A3C6787" w14:textId="12097F7A"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r w:rsidRPr="00BA029D">
              <w:rPr>
                <w:rFonts w:ascii="Times New Roman" w:hAnsi="Times New Roman" w:cs="Times New Roman"/>
                <w:color w:val="000000" w:themeColor="text1"/>
                <w:sz w:val="15"/>
                <w:szCs w:val="15"/>
                <w:lang w:val="en-US"/>
              </w:rPr>
              <w:t>Wavelet-LHL_GLCM_JointEntropy_Mean</w:t>
            </w:r>
          </w:p>
        </w:tc>
        <w:tc>
          <w:tcPr>
            <w:tcW w:w="397" w:type="dxa"/>
            <w:vAlign w:val="center"/>
            <w:hideMark/>
          </w:tcPr>
          <w:p w14:paraId="2A5C9144"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p>
        </w:tc>
        <w:tc>
          <w:tcPr>
            <w:tcW w:w="397" w:type="dxa"/>
            <w:vAlign w:val="center"/>
            <w:hideMark/>
          </w:tcPr>
          <w:p w14:paraId="3C3DB4C5" w14:textId="1CE9981D"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264CC5F4" w14:textId="487D4309"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p>
        </w:tc>
        <w:tc>
          <w:tcPr>
            <w:tcW w:w="397" w:type="dxa"/>
            <w:vAlign w:val="center"/>
            <w:hideMark/>
          </w:tcPr>
          <w:p w14:paraId="6A52FA0E"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p>
        </w:tc>
        <w:tc>
          <w:tcPr>
            <w:tcW w:w="397" w:type="dxa"/>
            <w:vAlign w:val="center"/>
            <w:hideMark/>
          </w:tcPr>
          <w:p w14:paraId="0C4FD1D1"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highlight w:val="yellow"/>
                <w:lang w:val="en-US"/>
              </w:rPr>
            </w:pPr>
          </w:p>
        </w:tc>
      </w:tr>
      <w:tr w:rsidR="00BA029D" w:rsidRPr="00B349A5" w14:paraId="1B9747B7"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09FB4927" w14:textId="6F0EC9A6" w:rsidR="00BA029D" w:rsidRPr="00BA029D" w:rsidRDefault="00BA029D" w:rsidP="00BA029D">
            <w:pPr>
              <w:jc w:val="center"/>
              <w:rPr>
                <w:rFonts w:ascii="Times New Roman" w:hAnsi="Times New Roman" w:cs="Times New Roman"/>
                <w:color w:val="000000" w:themeColor="text1"/>
                <w:sz w:val="15"/>
                <w:szCs w:val="15"/>
                <w:highlight w:val="yellow"/>
                <w:lang w:val="en-US"/>
              </w:rPr>
            </w:pPr>
            <w:r w:rsidRPr="00BA029D">
              <w:rPr>
                <w:rFonts w:ascii="Times New Roman" w:hAnsi="Times New Roman" w:cs="Times New Roman"/>
                <w:color w:val="000000" w:themeColor="text1"/>
                <w:sz w:val="15"/>
                <w:szCs w:val="15"/>
                <w:lang w:val="en-US"/>
              </w:rPr>
              <w:t>V7309</w:t>
            </w:r>
          </w:p>
        </w:tc>
        <w:tc>
          <w:tcPr>
            <w:tcW w:w="1701" w:type="dxa"/>
            <w:vAlign w:val="center"/>
            <w:hideMark/>
          </w:tcPr>
          <w:p w14:paraId="08321F2F" w14:textId="28AB1A6D"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Times New Roman" w:hAnsi="Times New Roman" w:cs="Times New Roman"/>
                <w:b/>
                <w:bCs/>
                <w:color w:val="000000" w:themeColor="text1"/>
                <w:sz w:val="15"/>
                <w:szCs w:val="15"/>
                <w:lang w:val="en-US"/>
              </w:rPr>
              <w:t>Kinetic feature</w:t>
            </w:r>
          </w:p>
        </w:tc>
        <w:tc>
          <w:tcPr>
            <w:tcW w:w="851" w:type="dxa"/>
            <w:vAlign w:val="center"/>
            <w:hideMark/>
          </w:tcPr>
          <w:p w14:paraId="05E30287" w14:textId="6F18C46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Times New Roman" w:hAnsi="Times New Roman" w:cs="Times New Roman"/>
                <w:b/>
                <w:bCs/>
                <w:color w:val="000000" w:themeColor="text1"/>
                <w:sz w:val="15"/>
                <w:szCs w:val="15"/>
                <w:lang w:val="en-US"/>
              </w:rPr>
              <w:t>GLCM</w:t>
            </w:r>
          </w:p>
        </w:tc>
        <w:tc>
          <w:tcPr>
            <w:tcW w:w="3061" w:type="dxa"/>
            <w:vAlign w:val="center"/>
            <w:hideMark/>
          </w:tcPr>
          <w:p w14:paraId="70E4AE36" w14:textId="02293E50"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Times New Roman" w:hAnsi="Times New Roman" w:cs="Times New Roman"/>
                <w:b/>
                <w:bCs/>
                <w:color w:val="000000" w:themeColor="text1"/>
                <w:sz w:val="15"/>
                <w:szCs w:val="15"/>
                <w:lang w:val="en-US"/>
              </w:rPr>
              <w:t>Wavelet-HLH_GLCM_DifferenceEntropy_Variance</w:t>
            </w:r>
          </w:p>
        </w:tc>
        <w:tc>
          <w:tcPr>
            <w:tcW w:w="397" w:type="dxa"/>
            <w:vAlign w:val="center"/>
            <w:hideMark/>
          </w:tcPr>
          <w:p w14:paraId="0FFC3E2A"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p>
        </w:tc>
        <w:tc>
          <w:tcPr>
            <w:tcW w:w="397" w:type="dxa"/>
            <w:vAlign w:val="center"/>
            <w:hideMark/>
          </w:tcPr>
          <w:p w14:paraId="5AE97E23" w14:textId="034832DF"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p>
        </w:tc>
        <w:tc>
          <w:tcPr>
            <w:tcW w:w="397" w:type="dxa"/>
            <w:vAlign w:val="center"/>
            <w:hideMark/>
          </w:tcPr>
          <w:p w14:paraId="4A98FD59" w14:textId="03D44426"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6A3C2A1A" w14:textId="01471396"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2128216E" w14:textId="1EC70CA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r>
      <w:tr w:rsidR="00BA029D" w:rsidRPr="00B349A5" w14:paraId="0CFDEE3B"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15A6E74A" w14:textId="3BCC7112" w:rsidR="00BA029D" w:rsidRPr="00BA029D" w:rsidRDefault="00BA029D" w:rsidP="00BA029D">
            <w:pPr>
              <w:jc w:val="center"/>
              <w:rPr>
                <w:rFonts w:ascii="Times New Roman" w:hAnsi="Times New Roman" w:cs="Times New Roman"/>
                <w:color w:val="000000" w:themeColor="text1"/>
                <w:sz w:val="15"/>
                <w:szCs w:val="15"/>
                <w:highlight w:val="yellow"/>
                <w:lang w:val="en-US"/>
              </w:rPr>
            </w:pPr>
            <w:r w:rsidRPr="00BA029D">
              <w:rPr>
                <w:rFonts w:ascii="Times New Roman" w:hAnsi="Times New Roman" w:cs="Times New Roman"/>
                <w:color w:val="000000" w:themeColor="text1"/>
                <w:sz w:val="15"/>
                <w:szCs w:val="15"/>
                <w:lang w:val="en-US"/>
              </w:rPr>
              <w:t>V7632</w:t>
            </w:r>
          </w:p>
        </w:tc>
        <w:tc>
          <w:tcPr>
            <w:tcW w:w="1701" w:type="dxa"/>
            <w:vAlign w:val="center"/>
            <w:hideMark/>
          </w:tcPr>
          <w:p w14:paraId="3F03B103" w14:textId="715845F3"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Times New Roman" w:hAnsi="Times New Roman" w:cs="Times New Roman"/>
                <w:b/>
                <w:bCs/>
                <w:color w:val="000000" w:themeColor="text1"/>
                <w:sz w:val="15"/>
                <w:szCs w:val="15"/>
                <w:lang w:val="en-US"/>
              </w:rPr>
              <w:t>MSI feature</w:t>
            </w:r>
          </w:p>
        </w:tc>
        <w:tc>
          <w:tcPr>
            <w:tcW w:w="851" w:type="dxa"/>
            <w:vAlign w:val="center"/>
            <w:hideMark/>
          </w:tcPr>
          <w:p w14:paraId="0BAAA399" w14:textId="746D224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Times New Roman" w:hAnsi="Times New Roman" w:cs="Times New Roman"/>
                <w:b/>
                <w:bCs/>
                <w:color w:val="000000" w:themeColor="text1"/>
                <w:sz w:val="15"/>
                <w:szCs w:val="15"/>
                <w:lang w:val="en-US"/>
              </w:rPr>
              <w:t>MSI</w:t>
            </w:r>
          </w:p>
        </w:tc>
        <w:tc>
          <w:tcPr>
            <w:tcW w:w="3061" w:type="dxa"/>
            <w:vAlign w:val="center"/>
            <w:hideMark/>
          </w:tcPr>
          <w:p w14:paraId="2C52E074" w14:textId="2BDC2389"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Times New Roman" w:hAnsi="Times New Roman" w:cs="Times New Roman"/>
                <w:b/>
                <w:bCs/>
                <w:color w:val="000000" w:themeColor="text1"/>
                <w:sz w:val="15"/>
                <w:szCs w:val="15"/>
                <w:lang w:val="en-US"/>
              </w:rPr>
              <w:t>MSI_PHAP</w:t>
            </w:r>
          </w:p>
        </w:tc>
        <w:tc>
          <w:tcPr>
            <w:tcW w:w="397" w:type="dxa"/>
            <w:vAlign w:val="center"/>
            <w:hideMark/>
          </w:tcPr>
          <w:p w14:paraId="02797AA4" w14:textId="374BFEC2"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09629769" w14:textId="797936F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2657429B" w14:textId="049F80B2"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c>
          <w:tcPr>
            <w:tcW w:w="397" w:type="dxa"/>
            <w:vAlign w:val="center"/>
            <w:hideMark/>
          </w:tcPr>
          <w:p w14:paraId="7CA30C43" w14:textId="7618EBC0"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p>
        </w:tc>
        <w:tc>
          <w:tcPr>
            <w:tcW w:w="397" w:type="dxa"/>
            <w:vAlign w:val="center"/>
            <w:hideMark/>
          </w:tcPr>
          <w:p w14:paraId="161A60BD" w14:textId="20553A45"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highlight w:val="yellow"/>
                <w:lang w:val="en-US"/>
              </w:rPr>
            </w:pPr>
            <w:r w:rsidRPr="00BA029D">
              <w:rPr>
                <w:rFonts w:ascii="Segoe UI Symbol" w:hAnsi="Segoe UI Symbol" w:cs="Segoe UI Symbol"/>
                <w:b/>
                <w:bCs/>
                <w:color w:val="000000" w:themeColor="text1"/>
                <w:sz w:val="15"/>
                <w:szCs w:val="15"/>
                <w:lang w:val="en-US"/>
              </w:rPr>
              <w:t>✓</w:t>
            </w:r>
          </w:p>
        </w:tc>
      </w:tr>
      <w:tr w:rsidR="00BA029D" w:rsidRPr="00B349A5" w14:paraId="65AB74DA"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04A9106C" w14:textId="74FA982C"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V7633</w:t>
            </w:r>
          </w:p>
        </w:tc>
        <w:tc>
          <w:tcPr>
            <w:tcW w:w="1701" w:type="dxa"/>
            <w:vAlign w:val="center"/>
            <w:hideMark/>
          </w:tcPr>
          <w:p w14:paraId="64E7C18B" w14:textId="1943669D"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 feature</w:t>
            </w:r>
          </w:p>
        </w:tc>
        <w:tc>
          <w:tcPr>
            <w:tcW w:w="851" w:type="dxa"/>
            <w:vAlign w:val="center"/>
            <w:hideMark/>
          </w:tcPr>
          <w:p w14:paraId="29F8E82F" w14:textId="0B01B10C"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w:t>
            </w:r>
          </w:p>
        </w:tc>
        <w:tc>
          <w:tcPr>
            <w:tcW w:w="3061" w:type="dxa"/>
            <w:vAlign w:val="center"/>
            <w:hideMark/>
          </w:tcPr>
          <w:p w14:paraId="4CF02220" w14:textId="0C2EBE2E"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MSI_PMAP</w:t>
            </w:r>
          </w:p>
        </w:tc>
        <w:tc>
          <w:tcPr>
            <w:tcW w:w="397" w:type="dxa"/>
            <w:vAlign w:val="center"/>
            <w:hideMark/>
          </w:tcPr>
          <w:p w14:paraId="3359F14E" w14:textId="7842ACCB"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C8B0259" w14:textId="30EBEFE4"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BE5CEFA" w14:textId="5FC3C9F2"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5A41FA9A"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3037BF1C" w14:textId="75273ABA"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0419C13C" w14:textId="77777777" w:rsidTr="00CD6EF5">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7DAECDAC" w14:textId="413AB092"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V7637</w:t>
            </w:r>
          </w:p>
        </w:tc>
        <w:tc>
          <w:tcPr>
            <w:tcW w:w="1701" w:type="dxa"/>
            <w:vAlign w:val="center"/>
            <w:hideMark/>
          </w:tcPr>
          <w:p w14:paraId="361530B4" w14:textId="7A803EFE"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 feature</w:t>
            </w:r>
          </w:p>
        </w:tc>
        <w:tc>
          <w:tcPr>
            <w:tcW w:w="851" w:type="dxa"/>
            <w:vAlign w:val="center"/>
            <w:hideMark/>
          </w:tcPr>
          <w:p w14:paraId="65FA2E8C" w14:textId="2DA56D89"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w:t>
            </w:r>
          </w:p>
        </w:tc>
        <w:tc>
          <w:tcPr>
            <w:tcW w:w="3061" w:type="dxa"/>
            <w:vAlign w:val="center"/>
            <w:hideMark/>
          </w:tcPr>
          <w:p w14:paraId="49D8A3CD" w14:textId="3608E43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MSI_HeterogeneousAdjacencyProportion</w:t>
            </w:r>
          </w:p>
        </w:tc>
        <w:tc>
          <w:tcPr>
            <w:tcW w:w="397" w:type="dxa"/>
            <w:vAlign w:val="center"/>
            <w:hideMark/>
          </w:tcPr>
          <w:p w14:paraId="1710BB61"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77F12BC9" w14:textId="0E27E741"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7A29BD05" w14:textId="2BDF50DA"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2E456486"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372E3E53" w14:textId="77777777" w:rsidR="00BA029D" w:rsidRPr="00BA029D" w:rsidRDefault="00BA029D" w:rsidP="00BA02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BA029D" w:rsidRPr="00B349A5" w14:paraId="71F435CE" w14:textId="77777777" w:rsidTr="00CD6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hideMark/>
          </w:tcPr>
          <w:p w14:paraId="6B16CE6C" w14:textId="3A17CA55" w:rsidR="00BA029D" w:rsidRPr="00BA029D" w:rsidRDefault="00BA029D" w:rsidP="00BA029D">
            <w:pPr>
              <w:jc w:val="center"/>
              <w:rPr>
                <w:rFonts w:ascii="Times New Roman" w:hAnsi="Times New Roman" w:cs="Times New Roman"/>
                <w:b w:val="0"/>
                <w:bCs w:val="0"/>
                <w:color w:val="000000" w:themeColor="text1"/>
                <w:sz w:val="15"/>
                <w:szCs w:val="15"/>
                <w:lang w:val="en-US"/>
              </w:rPr>
            </w:pPr>
            <w:r w:rsidRPr="00BA029D">
              <w:rPr>
                <w:rFonts w:ascii="Times New Roman" w:hAnsi="Times New Roman" w:cs="Times New Roman"/>
                <w:b w:val="0"/>
                <w:bCs w:val="0"/>
                <w:color w:val="000000" w:themeColor="text1"/>
                <w:sz w:val="15"/>
                <w:szCs w:val="15"/>
                <w:lang w:val="en-US"/>
              </w:rPr>
              <w:t>V7640</w:t>
            </w:r>
          </w:p>
        </w:tc>
        <w:tc>
          <w:tcPr>
            <w:tcW w:w="1701" w:type="dxa"/>
            <w:vAlign w:val="center"/>
            <w:hideMark/>
          </w:tcPr>
          <w:p w14:paraId="64F9E4D7" w14:textId="23DD8D21"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 feature</w:t>
            </w:r>
          </w:p>
        </w:tc>
        <w:tc>
          <w:tcPr>
            <w:tcW w:w="851" w:type="dxa"/>
            <w:vAlign w:val="center"/>
            <w:hideMark/>
          </w:tcPr>
          <w:p w14:paraId="61CD039D" w14:textId="7D401F52"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w:t>
            </w:r>
          </w:p>
        </w:tc>
        <w:tc>
          <w:tcPr>
            <w:tcW w:w="3061" w:type="dxa"/>
            <w:vAlign w:val="center"/>
            <w:hideMark/>
          </w:tcPr>
          <w:p w14:paraId="11109360" w14:textId="01C7715E"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Times New Roman" w:hAnsi="Times New Roman" w:cs="Times New Roman"/>
                <w:color w:val="000000" w:themeColor="text1"/>
                <w:sz w:val="15"/>
                <w:szCs w:val="15"/>
                <w:lang w:val="en-US"/>
              </w:rPr>
              <w:t>MSI_SpatialHeterogeneityDescriptor</w:t>
            </w:r>
          </w:p>
        </w:tc>
        <w:tc>
          <w:tcPr>
            <w:tcW w:w="397" w:type="dxa"/>
            <w:vAlign w:val="center"/>
            <w:hideMark/>
          </w:tcPr>
          <w:p w14:paraId="43F28E96"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4B54D99F" w14:textId="5B54E456"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12D8D65"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c>
          <w:tcPr>
            <w:tcW w:w="397" w:type="dxa"/>
            <w:vAlign w:val="center"/>
            <w:hideMark/>
          </w:tcPr>
          <w:p w14:paraId="1B960CFF" w14:textId="62C89221"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BA029D">
              <w:rPr>
                <w:rFonts w:ascii="Segoe UI Symbol" w:hAnsi="Segoe UI Symbol" w:cs="Segoe UI Symbol"/>
                <w:color w:val="000000" w:themeColor="text1"/>
                <w:sz w:val="15"/>
                <w:szCs w:val="15"/>
                <w:lang w:val="en-US"/>
              </w:rPr>
              <w:t>✓</w:t>
            </w:r>
          </w:p>
        </w:tc>
        <w:tc>
          <w:tcPr>
            <w:tcW w:w="397" w:type="dxa"/>
            <w:vAlign w:val="center"/>
            <w:hideMark/>
          </w:tcPr>
          <w:p w14:paraId="667D5A0B" w14:textId="77777777" w:rsidR="00BA029D" w:rsidRPr="00BA029D" w:rsidRDefault="00BA029D" w:rsidP="00BA029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p>
        </w:tc>
      </w:tr>
      <w:tr w:rsidR="00056DA6" w:rsidRPr="00B349A5" w14:paraId="7C430287" w14:textId="77777777" w:rsidTr="0004067E">
        <w:tc>
          <w:tcPr>
            <w:cnfStyle w:val="001000000000" w:firstRow="0" w:lastRow="0" w:firstColumn="1" w:lastColumn="0" w:oddVBand="0" w:evenVBand="0" w:oddHBand="0" w:evenHBand="0" w:firstRowFirstColumn="0" w:firstRowLastColumn="0" w:lastRowFirstColumn="0" w:lastRowLastColumn="0"/>
            <w:tcW w:w="8302" w:type="dxa"/>
            <w:gridSpan w:val="9"/>
            <w:vAlign w:val="center"/>
          </w:tcPr>
          <w:p w14:paraId="0D1BC19A" w14:textId="6AE17870" w:rsidR="00BA029D" w:rsidRPr="00BA029D" w:rsidRDefault="00BA029D" w:rsidP="00BA029D">
            <w:pPr>
              <w:snapToGrid w:val="0"/>
              <w:spacing w:line="180" w:lineRule="atLeast"/>
              <w:jc w:val="left"/>
              <w:rPr>
                <w:rFonts w:ascii="Times New Roman" w:hAnsi="Times New Roman" w:cs="Times New Roman"/>
                <w:b w:val="0"/>
                <w:bCs w:val="0"/>
                <w:sz w:val="15"/>
                <w:szCs w:val="15"/>
                <w:lang w:val="en-US"/>
              </w:rPr>
            </w:pPr>
            <w:r w:rsidRPr="00BA029D">
              <w:rPr>
                <w:rFonts w:ascii="Times New Roman" w:hAnsi="Times New Roman" w:cs="Times New Roman" w:hint="eastAsia"/>
                <w:b w:val="0"/>
                <w:bCs w:val="0"/>
                <w:sz w:val="15"/>
                <w:szCs w:val="15"/>
                <w:lang w:val="en-US"/>
              </w:rPr>
              <w:t>LASSO, least absolute shrinkage and selection operator; RFE, recursive feature elimination; GBM, gradient boosting machine; GLCM, gray-level co-occurrence matrix; GLDM, gray-level dependence matrix; GLRLM, gray-level run-length matrix; GLSZM, gray-level size-zone matrix; MSI, multiregional spatial interaction.</w:t>
            </w:r>
          </w:p>
          <w:p w14:paraId="193408D1" w14:textId="7CDEEF6F" w:rsidR="00056DA6" w:rsidRPr="00B349A5" w:rsidRDefault="00BA029D" w:rsidP="00BA029D">
            <w:pPr>
              <w:snapToGrid w:val="0"/>
              <w:spacing w:line="180" w:lineRule="atLeast"/>
              <w:jc w:val="left"/>
              <w:rPr>
                <w:rFonts w:ascii="Times New Roman" w:hAnsi="Times New Roman" w:cs="Times New Roman"/>
                <w:color w:val="000000" w:themeColor="text1"/>
                <w:sz w:val="15"/>
                <w:szCs w:val="15"/>
                <w:lang w:val="en-US"/>
              </w:rPr>
            </w:pPr>
            <w:r w:rsidRPr="00BA029D">
              <w:rPr>
                <w:rFonts w:ascii="Times New Roman" w:hAnsi="Times New Roman" w:cs="Times New Roman" w:hint="eastAsia"/>
                <w:b w:val="0"/>
                <w:bCs w:val="0"/>
                <w:sz w:val="15"/>
                <w:szCs w:val="15"/>
                <w:lang w:val="en-US"/>
              </w:rPr>
              <w:t>High-frequency features were defined as features selected in at least 25 of the 50 repeated iterations for a given selection method. Stable features were defined as high-frequency features identified by at least two of the four selection methods.</w:t>
            </w:r>
          </w:p>
        </w:tc>
      </w:tr>
    </w:tbl>
    <w:p w14:paraId="18F7C1C1" w14:textId="77777777" w:rsidR="00B349A5" w:rsidRDefault="00B349A5" w:rsidP="003A3B4A">
      <w:pPr>
        <w:rPr>
          <w:rFonts w:ascii="Times New Roman" w:hAnsi="Times New Roman" w:cs="Times New Roman"/>
          <w:b/>
          <w:bCs/>
          <w:color w:val="000000" w:themeColor="text1"/>
          <w:sz w:val="15"/>
          <w:szCs w:val="15"/>
        </w:rPr>
      </w:pPr>
    </w:p>
    <w:p w14:paraId="335DDEE6" w14:textId="55B59875" w:rsidR="007E5DEC" w:rsidRPr="00DD0828" w:rsidRDefault="007E5DEC" w:rsidP="003A3B4A">
      <w:pPr>
        <w:rPr>
          <w:rFonts w:ascii="Times New Roman" w:hAnsi="Times New Roman" w:cs="Times New Roman"/>
          <w:b/>
          <w:bCs/>
          <w:color w:val="000000" w:themeColor="text1"/>
          <w:sz w:val="15"/>
          <w:szCs w:val="15"/>
          <w:lang w:val="en-US"/>
        </w:rPr>
      </w:pPr>
      <w:r w:rsidRPr="00DD0828">
        <w:rPr>
          <w:rFonts w:ascii="Times New Roman" w:hAnsi="Times New Roman" w:cs="Times New Roman"/>
          <w:b/>
          <w:bCs/>
          <w:color w:val="000000" w:themeColor="text1"/>
          <w:sz w:val="15"/>
          <w:szCs w:val="15"/>
          <w:lang w:val="en-US"/>
        </w:rPr>
        <w:t xml:space="preserve">Table E8. </w:t>
      </w:r>
      <w:r w:rsidR="00EA0206" w:rsidRPr="00EA0206">
        <w:rPr>
          <w:rFonts w:ascii="Times New Roman" w:hAnsi="Times New Roman" w:cs="Times New Roman"/>
          <w:b/>
          <w:bCs/>
          <w:color w:val="000000" w:themeColor="text1"/>
          <w:sz w:val="15"/>
          <w:szCs w:val="15"/>
          <w:lang w:val="en-US"/>
        </w:rPr>
        <w:t>Iteration-Specific AUCs of the Stable Feature–XGBoost Model Across 50 Repeated Random Splits</w:t>
      </w:r>
    </w:p>
    <w:tbl>
      <w:tblPr>
        <w:tblStyle w:val="11"/>
        <w:tblW w:w="8217" w:type="dxa"/>
        <w:tblLook w:val="04A0" w:firstRow="1" w:lastRow="0" w:firstColumn="1" w:lastColumn="0" w:noHBand="0" w:noVBand="1"/>
      </w:tblPr>
      <w:tblGrid>
        <w:gridCol w:w="1038"/>
        <w:gridCol w:w="1611"/>
        <w:gridCol w:w="1460"/>
        <w:gridCol w:w="1037"/>
        <w:gridCol w:w="1611"/>
        <w:gridCol w:w="1460"/>
      </w:tblGrid>
      <w:tr w:rsidR="00FD1444" w:rsidRPr="00DD0828" w14:paraId="7F58650B" w14:textId="77777777" w:rsidTr="00CA1B2C">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54BCC7D6" w14:textId="77777777" w:rsidR="00FD1444" w:rsidRPr="00DD0828" w:rsidRDefault="00FD1444" w:rsidP="003A3B4A">
            <w:pPr>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Round</w:t>
            </w:r>
          </w:p>
        </w:tc>
        <w:tc>
          <w:tcPr>
            <w:tcW w:w="0" w:type="auto"/>
            <w:hideMark/>
          </w:tcPr>
          <w:p w14:paraId="694B5287" w14:textId="24A96082" w:rsidR="00FD1444" w:rsidRPr="00DD0828" w:rsidRDefault="00FD1444"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 xml:space="preserve">Training Set </w:t>
            </w:r>
          </w:p>
        </w:tc>
        <w:tc>
          <w:tcPr>
            <w:tcW w:w="0" w:type="auto"/>
            <w:hideMark/>
          </w:tcPr>
          <w:p w14:paraId="09A9F391" w14:textId="0A57EBDE" w:rsidR="00FD1444" w:rsidRPr="00DD0828" w:rsidRDefault="00FD1444"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 xml:space="preserve">Testing Set </w:t>
            </w:r>
          </w:p>
        </w:tc>
        <w:tc>
          <w:tcPr>
            <w:tcW w:w="0" w:type="auto"/>
            <w:hideMark/>
          </w:tcPr>
          <w:p w14:paraId="57F1B214" w14:textId="77777777" w:rsidR="00FD1444" w:rsidRPr="00DD0828" w:rsidRDefault="00FD1444"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Round</w:t>
            </w:r>
          </w:p>
        </w:tc>
        <w:tc>
          <w:tcPr>
            <w:tcW w:w="0" w:type="auto"/>
            <w:hideMark/>
          </w:tcPr>
          <w:p w14:paraId="6E499024" w14:textId="73F4D9CE" w:rsidR="00FD1444" w:rsidRPr="00DD0828" w:rsidRDefault="00FD1444"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Training Set</w:t>
            </w:r>
          </w:p>
        </w:tc>
        <w:tc>
          <w:tcPr>
            <w:tcW w:w="0" w:type="auto"/>
            <w:hideMark/>
          </w:tcPr>
          <w:p w14:paraId="172B9DFB" w14:textId="7876DA05" w:rsidR="00FD1444" w:rsidRPr="00DD0828" w:rsidRDefault="00FD1444" w:rsidP="003A3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Testing Set</w:t>
            </w:r>
          </w:p>
        </w:tc>
      </w:tr>
      <w:tr w:rsidR="00FD1444" w:rsidRPr="00DD0828" w14:paraId="1E16B8C4"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7D296668"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w:t>
            </w:r>
          </w:p>
        </w:tc>
        <w:tc>
          <w:tcPr>
            <w:tcW w:w="0" w:type="auto"/>
            <w:hideMark/>
          </w:tcPr>
          <w:p w14:paraId="384A9719"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0.78</w:t>
            </w:r>
          </w:p>
        </w:tc>
        <w:tc>
          <w:tcPr>
            <w:tcW w:w="0" w:type="auto"/>
            <w:hideMark/>
          </w:tcPr>
          <w:p w14:paraId="2093628A"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0.77</w:t>
            </w:r>
          </w:p>
        </w:tc>
        <w:tc>
          <w:tcPr>
            <w:tcW w:w="0" w:type="auto"/>
            <w:hideMark/>
          </w:tcPr>
          <w:p w14:paraId="51381469"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26</w:t>
            </w:r>
          </w:p>
        </w:tc>
        <w:tc>
          <w:tcPr>
            <w:tcW w:w="0" w:type="auto"/>
            <w:hideMark/>
          </w:tcPr>
          <w:p w14:paraId="6F73D689"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0.85</w:t>
            </w:r>
          </w:p>
        </w:tc>
        <w:tc>
          <w:tcPr>
            <w:tcW w:w="0" w:type="auto"/>
            <w:hideMark/>
          </w:tcPr>
          <w:p w14:paraId="49FA302B"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0.82</w:t>
            </w:r>
          </w:p>
        </w:tc>
      </w:tr>
      <w:tr w:rsidR="00FD1444" w:rsidRPr="00DD0828" w14:paraId="6872A6DA"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68BAF431"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w:t>
            </w:r>
          </w:p>
        </w:tc>
        <w:tc>
          <w:tcPr>
            <w:tcW w:w="0" w:type="auto"/>
            <w:hideMark/>
          </w:tcPr>
          <w:p w14:paraId="6736F675"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c>
          <w:tcPr>
            <w:tcW w:w="0" w:type="auto"/>
            <w:hideMark/>
          </w:tcPr>
          <w:p w14:paraId="4299CD9B"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0.83</w:t>
            </w:r>
          </w:p>
        </w:tc>
        <w:tc>
          <w:tcPr>
            <w:tcW w:w="0" w:type="auto"/>
            <w:hideMark/>
          </w:tcPr>
          <w:p w14:paraId="21718AC1"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27</w:t>
            </w:r>
          </w:p>
        </w:tc>
        <w:tc>
          <w:tcPr>
            <w:tcW w:w="0" w:type="auto"/>
            <w:hideMark/>
          </w:tcPr>
          <w:p w14:paraId="1BE4C09E"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0.96</w:t>
            </w:r>
          </w:p>
        </w:tc>
        <w:tc>
          <w:tcPr>
            <w:tcW w:w="0" w:type="auto"/>
            <w:hideMark/>
          </w:tcPr>
          <w:p w14:paraId="31BE3136"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0.85</w:t>
            </w:r>
          </w:p>
        </w:tc>
      </w:tr>
      <w:tr w:rsidR="00FD1444" w:rsidRPr="00DD0828" w14:paraId="6F562139" w14:textId="77777777" w:rsidTr="00CA1B2C">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hideMark/>
          </w:tcPr>
          <w:p w14:paraId="1177E8EB"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3</w:t>
            </w:r>
          </w:p>
        </w:tc>
        <w:tc>
          <w:tcPr>
            <w:tcW w:w="0" w:type="auto"/>
            <w:hideMark/>
          </w:tcPr>
          <w:p w14:paraId="402F2C2E"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0.94</w:t>
            </w:r>
          </w:p>
        </w:tc>
        <w:tc>
          <w:tcPr>
            <w:tcW w:w="0" w:type="auto"/>
            <w:hideMark/>
          </w:tcPr>
          <w:p w14:paraId="6CBEAC03"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c>
          <w:tcPr>
            <w:tcW w:w="0" w:type="auto"/>
            <w:hideMark/>
          </w:tcPr>
          <w:p w14:paraId="69D9DDFB"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28</w:t>
            </w:r>
          </w:p>
        </w:tc>
        <w:tc>
          <w:tcPr>
            <w:tcW w:w="0" w:type="auto"/>
            <w:hideMark/>
          </w:tcPr>
          <w:p w14:paraId="6625DFCA"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c>
          <w:tcPr>
            <w:tcW w:w="0" w:type="auto"/>
            <w:hideMark/>
          </w:tcPr>
          <w:p w14:paraId="5607410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0.84</w:t>
            </w:r>
          </w:p>
        </w:tc>
      </w:tr>
      <w:tr w:rsidR="00FD1444" w:rsidRPr="00DD0828" w14:paraId="775D512D"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564581B0"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4</w:t>
            </w:r>
          </w:p>
        </w:tc>
        <w:tc>
          <w:tcPr>
            <w:tcW w:w="0" w:type="auto"/>
            <w:hideMark/>
          </w:tcPr>
          <w:p w14:paraId="438D320D"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0.96</w:t>
            </w:r>
          </w:p>
        </w:tc>
        <w:tc>
          <w:tcPr>
            <w:tcW w:w="0" w:type="auto"/>
            <w:hideMark/>
          </w:tcPr>
          <w:p w14:paraId="1AC5F2E5"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3703EA52"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29</w:t>
            </w:r>
          </w:p>
        </w:tc>
        <w:tc>
          <w:tcPr>
            <w:tcW w:w="0" w:type="auto"/>
            <w:hideMark/>
          </w:tcPr>
          <w:p w14:paraId="2C412F4C"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5BC0327A"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0.86</w:t>
            </w:r>
          </w:p>
        </w:tc>
      </w:tr>
      <w:tr w:rsidR="00FD1444" w:rsidRPr="00DD0828" w14:paraId="02189887"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520029E7"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5</w:t>
            </w:r>
          </w:p>
        </w:tc>
        <w:tc>
          <w:tcPr>
            <w:tcW w:w="0" w:type="auto"/>
            <w:hideMark/>
          </w:tcPr>
          <w:p w14:paraId="6B5454D0"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0.95</w:t>
            </w:r>
          </w:p>
        </w:tc>
        <w:tc>
          <w:tcPr>
            <w:tcW w:w="0" w:type="auto"/>
            <w:hideMark/>
          </w:tcPr>
          <w:p w14:paraId="1D469DDC"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c>
          <w:tcPr>
            <w:tcW w:w="0" w:type="auto"/>
            <w:hideMark/>
          </w:tcPr>
          <w:p w14:paraId="3922C2C9"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30</w:t>
            </w:r>
          </w:p>
        </w:tc>
        <w:tc>
          <w:tcPr>
            <w:tcW w:w="0" w:type="auto"/>
            <w:hideMark/>
          </w:tcPr>
          <w:p w14:paraId="059765E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1C2CE9F8"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r>
      <w:tr w:rsidR="00FD1444" w:rsidRPr="00DD0828" w14:paraId="55835C4B"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4A026D3"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6</w:t>
            </w:r>
          </w:p>
        </w:tc>
        <w:tc>
          <w:tcPr>
            <w:tcW w:w="0" w:type="auto"/>
            <w:hideMark/>
          </w:tcPr>
          <w:p w14:paraId="0EFE0D7A"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4357BADB"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c>
          <w:tcPr>
            <w:tcW w:w="0" w:type="auto"/>
            <w:hideMark/>
          </w:tcPr>
          <w:p w14:paraId="17A84156"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31</w:t>
            </w:r>
          </w:p>
        </w:tc>
        <w:tc>
          <w:tcPr>
            <w:tcW w:w="0" w:type="auto"/>
            <w:hideMark/>
          </w:tcPr>
          <w:p w14:paraId="2CDF2CE7"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0.95</w:t>
            </w:r>
          </w:p>
        </w:tc>
        <w:tc>
          <w:tcPr>
            <w:tcW w:w="0" w:type="auto"/>
            <w:hideMark/>
          </w:tcPr>
          <w:p w14:paraId="08CA574A"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r>
      <w:tr w:rsidR="00FD1444" w:rsidRPr="00DD0828" w14:paraId="3622FA0A"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2B787BBE"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7</w:t>
            </w:r>
          </w:p>
        </w:tc>
        <w:tc>
          <w:tcPr>
            <w:tcW w:w="0" w:type="auto"/>
            <w:hideMark/>
          </w:tcPr>
          <w:p w14:paraId="4830015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74B02DDC"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25DC4729"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32</w:t>
            </w:r>
          </w:p>
        </w:tc>
        <w:tc>
          <w:tcPr>
            <w:tcW w:w="0" w:type="auto"/>
            <w:hideMark/>
          </w:tcPr>
          <w:p w14:paraId="0EA2BBA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14059B49"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0.79</w:t>
            </w:r>
          </w:p>
        </w:tc>
      </w:tr>
      <w:tr w:rsidR="00FD1444" w:rsidRPr="00DD0828" w14:paraId="00AD2378"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76DF2626"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8</w:t>
            </w:r>
          </w:p>
        </w:tc>
        <w:tc>
          <w:tcPr>
            <w:tcW w:w="0" w:type="auto"/>
            <w:hideMark/>
          </w:tcPr>
          <w:p w14:paraId="69C77BCF"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24E5A5B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0.85</w:t>
            </w:r>
          </w:p>
        </w:tc>
        <w:tc>
          <w:tcPr>
            <w:tcW w:w="0" w:type="auto"/>
            <w:hideMark/>
          </w:tcPr>
          <w:p w14:paraId="19133E71"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33</w:t>
            </w:r>
          </w:p>
        </w:tc>
        <w:tc>
          <w:tcPr>
            <w:tcW w:w="0" w:type="auto"/>
            <w:hideMark/>
          </w:tcPr>
          <w:p w14:paraId="124F2A2E"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0.93</w:t>
            </w:r>
          </w:p>
        </w:tc>
        <w:tc>
          <w:tcPr>
            <w:tcW w:w="0" w:type="auto"/>
            <w:hideMark/>
          </w:tcPr>
          <w:p w14:paraId="0211D1E0"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r>
      <w:tr w:rsidR="00FD1444" w:rsidRPr="00DD0828" w14:paraId="40B33BDF"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D3662B4"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9</w:t>
            </w:r>
          </w:p>
        </w:tc>
        <w:tc>
          <w:tcPr>
            <w:tcW w:w="0" w:type="auto"/>
            <w:hideMark/>
          </w:tcPr>
          <w:p w14:paraId="7A754F0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0.93</w:t>
            </w:r>
          </w:p>
        </w:tc>
        <w:tc>
          <w:tcPr>
            <w:tcW w:w="0" w:type="auto"/>
            <w:hideMark/>
          </w:tcPr>
          <w:p w14:paraId="01659CBD"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0.84</w:t>
            </w:r>
          </w:p>
        </w:tc>
        <w:tc>
          <w:tcPr>
            <w:tcW w:w="0" w:type="auto"/>
            <w:hideMark/>
          </w:tcPr>
          <w:p w14:paraId="323AB895"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34</w:t>
            </w:r>
          </w:p>
        </w:tc>
        <w:tc>
          <w:tcPr>
            <w:tcW w:w="0" w:type="auto"/>
            <w:hideMark/>
          </w:tcPr>
          <w:p w14:paraId="11C7EF45"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3E32DF7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0.84</w:t>
            </w:r>
          </w:p>
        </w:tc>
      </w:tr>
      <w:tr w:rsidR="00FD1444" w:rsidRPr="00DD0828" w14:paraId="00FEE49D"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370CAA30"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10</w:t>
            </w:r>
          </w:p>
        </w:tc>
        <w:tc>
          <w:tcPr>
            <w:tcW w:w="0" w:type="auto"/>
            <w:hideMark/>
          </w:tcPr>
          <w:p w14:paraId="7BE9B48C"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0.92</w:t>
            </w:r>
          </w:p>
        </w:tc>
        <w:tc>
          <w:tcPr>
            <w:tcW w:w="0" w:type="auto"/>
            <w:hideMark/>
          </w:tcPr>
          <w:p w14:paraId="4FC05924"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0.86</w:t>
            </w:r>
          </w:p>
        </w:tc>
        <w:tc>
          <w:tcPr>
            <w:tcW w:w="0" w:type="auto"/>
            <w:hideMark/>
          </w:tcPr>
          <w:p w14:paraId="2128A4B4"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35</w:t>
            </w:r>
          </w:p>
        </w:tc>
        <w:tc>
          <w:tcPr>
            <w:tcW w:w="0" w:type="auto"/>
            <w:hideMark/>
          </w:tcPr>
          <w:p w14:paraId="2F435313"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0.92</w:t>
            </w:r>
          </w:p>
        </w:tc>
        <w:tc>
          <w:tcPr>
            <w:tcW w:w="0" w:type="auto"/>
            <w:hideMark/>
          </w:tcPr>
          <w:p w14:paraId="44D6D6E5"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r>
      <w:tr w:rsidR="00FD1444" w:rsidRPr="00DD0828" w14:paraId="0E46A00F" w14:textId="77777777" w:rsidTr="00CA1B2C">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hideMark/>
          </w:tcPr>
          <w:p w14:paraId="4D951135"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11</w:t>
            </w:r>
          </w:p>
        </w:tc>
        <w:tc>
          <w:tcPr>
            <w:tcW w:w="0" w:type="auto"/>
            <w:hideMark/>
          </w:tcPr>
          <w:p w14:paraId="6AC2049B"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0.81</w:t>
            </w:r>
          </w:p>
        </w:tc>
        <w:tc>
          <w:tcPr>
            <w:tcW w:w="0" w:type="auto"/>
            <w:hideMark/>
          </w:tcPr>
          <w:p w14:paraId="30379842"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0.80</w:t>
            </w:r>
          </w:p>
        </w:tc>
        <w:tc>
          <w:tcPr>
            <w:tcW w:w="0" w:type="auto"/>
            <w:hideMark/>
          </w:tcPr>
          <w:p w14:paraId="5FD8EFAB"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36</w:t>
            </w:r>
          </w:p>
        </w:tc>
        <w:tc>
          <w:tcPr>
            <w:tcW w:w="0" w:type="auto"/>
            <w:hideMark/>
          </w:tcPr>
          <w:p w14:paraId="206F6F3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6E09EFEF"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0.82</w:t>
            </w:r>
          </w:p>
        </w:tc>
      </w:tr>
      <w:tr w:rsidR="00FD1444" w:rsidRPr="00DD0828" w14:paraId="627DBA79"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46771938"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12</w:t>
            </w:r>
          </w:p>
        </w:tc>
        <w:tc>
          <w:tcPr>
            <w:tcW w:w="0" w:type="auto"/>
            <w:hideMark/>
          </w:tcPr>
          <w:p w14:paraId="620F54E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0.95</w:t>
            </w:r>
          </w:p>
        </w:tc>
        <w:tc>
          <w:tcPr>
            <w:tcW w:w="0" w:type="auto"/>
            <w:hideMark/>
          </w:tcPr>
          <w:p w14:paraId="013920C7"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07AB1344"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37</w:t>
            </w:r>
          </w:p>
        </w:tc>
        <w:tc>
          <w:tcPr>
            <w:tcW w:w="0" w:type="auto"/>
            <w:hideMark/>
          </w:tcPr>
          <w:p w14:paraId="490EC82F"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0.94</w:t>
            </w:r>
          </w:p>
        </w:tc>
        <w:tc>
          <w:tcPr>
            <w:tcW w:w="0" w:type="auto"/>
            <w:hideMark/>
          </w:tcPr>
          <w:p w14:paraId="5722860E"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r>
      <w:tr w:rsidR="00FD1444" w:rsidRPr="00DD0828" w14:paraId="1D952AD5"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C67A9AC"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13</w:t>
            </w:r>
          </w:p>
        </w:tc>
        <w:tc>
          <w:tcPr>
            <w:tcW w:w="0" w:type="auto"/>
            <w:hideMark/>
          </w:tcPr>
          <w:p w14:paraId="7FE4ECAB"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0C585D60"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0.86</w:t>
            </w:r>
          </w:p>
        </w:tc>
        <w:tc>
          <w:tcPr>
            <w:tcW w:w="0" w:type="auto"/>
            <w:hideMark/>
          </w:tcPr>
          <w:p w14:paraId="3502EC17"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38</w:t>
            </w:r>
          </w:p>
        </w:tc>
        <w:tc>
          <w:tcPr>
            <w:tcW w:w="0" w:type="auto"/>
            <w:hideMark/>
          </w:tcPr>
          <w:p w14:paraId="4C27FB62"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34E3ADF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0.85</w:t>
            </w:r>
          </w:p>
        </w:tc>
      </w:tr>
      <w:tr w:rsidR="00FD1444" w:rsidRPr="00DD0828" w14:paraId="505C6FCB"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7E98E1E6"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14</w:t>
            </w:r>
          </w:p>
        </w:tc>
        <w:tc>
          <w:tcPr>
            <w:tcW w:w="0" w:type="auto"/>
            <w:hideMark/>
          </w:tcPr>
          <w:p w14:paraId="4A1F416B"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0.75</w:t>
            </w:r>
          </w:p>
        </w:tc>
        <w:tc>
          <w:tcPr>
            <w:tcW w:w="0" w:type="auto"/>
            <w:hideMark/>
          </w:tcPr>
          <w:p w14:paraId="2C1D924B"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0.76</w:t>
            </w:r>
          </w:p>
        </w:tc>
        <w:tc>
          <w:tcPr>
            <w:tcW w:w="0" w:type="auto"/>
            <w:hideMark/>
          </w:tcPr>
          <w:p w14:paraId="05821AB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39</w:t>
            </w:r>
          </w:p>
        </w:tc>
        <w:tc>
          <w:tcPr>
            <w:tcW w:w="0" w:type="auto"/>
            <w:hideMark/>
          </w:tcPr>
          <w:p w14:paraId="6B47C5A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c>
          <w:tcPr>
            <w:tcW w:w="0" w:type="auto"/>
            <w:hideMark/>
          </w:tcPr>
          <w:p w14:paraId="3B769C71"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r>
      <w:tr w:rsidR="00FD1444" w:rsidRPr="00DD0828" w14:paraId="7F6E3156"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539A94C"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15</w:t>
            </w:r>
          </w:p>
        </w:tc>
        <w:tc>
          <w:tcPr>
            <w:tcW w:w="0" w:type="auto"/>
            <w:hideMark/>
          </w:tcPr>
          <w:p w14:paraId="1020875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0.93</w:t>
            </w:r>
          </w:p>
        </w:tc>
        <w:tc>
          <w:tcPr>
            <w:tcW w:w="0" w:type="auto"/>
            <w:hideMark/>
          </w:tcPr>
          <w:p w14:paraId="4AF4564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0.84</w:t>
            </w:r>
          </w:p>
        </w:tc>
        <w:tc>
          <w:tcPr>
            <w:tcW w:w="0" w:type="auto"/>
            <w:hideMark/>
          </w:tcPr>
          <w:p w14:paraId="1A9E43C0"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40</w:t>
            </w:r>
          </w:p>
        </w:tc>
        <w:tc>
          <w:tcPr>
            <w:tcW w:w="0" w:type="auto"/>
            <w:hideMark/>
          </w:tcPr>
          <w:p w14:paraId="4499D672"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c>
          <w:tcPr>
            <w:tcW w:w="0" w:type="auto"/>
            <w:hideMark/>
          </w:tcPr>
          <w:p w14:paraId="5CC4A802"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0.83</w:t>
            </w:r>
          </w:p>
        </w:tc>
      </w:tr>
      <w:tr w:rsidR="00FD1444" w:rsidRPr="00DD0828" w14:paraId="7182FF5C"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41679D90"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16</w:t>
            </w:r>
          </w:p>
        </w:tc>
        <w:tc>
          <w:tcPr>
            <w:tcW w:w="0" w:type="auto"/>
            <w:hideMark/>
          </w:tcPr>
          <w:p w14:paraId="3F1477C0"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0.86</w:t>
            </w:r>
          </w:p>
        </w:tc>
        <w:tc>
          <w:tcPr>
            <w:tcW w:w="0" w:type="auto"/>
            <w:hideMark/>
          </w:tcPr>
          <w:p w14:paraId="0F42E3CF"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0.82</w:t>
            </w:r>
          </w:p>
        </w:tc>
        <w:tc>
          <w:tcPr>
            <w:tcW w:w="0" w:type="auto"/>
            <w:hideMark/>
          </w:tcPr>
          <w:p w14:paraId="142A34A0"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41</w:t>
            </w:r>
          </w:p>
        </w:tc>
        <w:tc>
          <w:tcPr>
            <w:tcW w:w="0" w:type="auto"/>
            <w:hideMark/>
          </w:tcPr>
          <w:p w14:paraId="323188FC"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0.95</w:t>
            </w:r>
          </w:p>
        </w:tc>
        <w:tc>
          <w:tcPr>
            <w:tcW w:w="0" w:type="auto"/>
            <w:hideMark/>
          </w:tcPr>
          <w:p w14:paraId="3161017E"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0.82</w:t>
            </w:r>
          </w:p>
        </w:tc>
      </w:tr>
      <w:tr w:rsidR="00FD1444" w:rsidRPr="00DD0828" w14:paraId="48FE418A"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498B5C4A"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17</w:t>
            </w:r>
          </w:p>
        </w:tc>
        <w:tc>
          <w:tcPr>
            <w:tcW w:w="0" w:type="auto"/>
            <w:hideMark/>
          </w:tcPr>
          <w:p w14:paraId="02606412"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0.95</w:t>
            </w:r>
          </w:p>
        </w:tc>
        <w:tc>
          <w:tcPr>
            <w:tcW w:w="0" w:type="auto"/>
            <w:hideMark/>
          </w:tcPr>
          <w:p w14:paraId="46EBAA3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59ED786A"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42</w:t>
            </w:r>
          </w:p>
        </w:tc>
        <w:tc>
          <w:tcPr>
            <w:tcW w:w="0" w:type="auto"/>
            <w:hideMark/>
          </w:tcPr>
          <w:p w14:paraId="06315E17"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2EF35B31"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0.84</w:t>
            </w:r>
          </w:p>
        </w:tc>
      </w:tr>
      <w:tr w:rsidR="00FD1444" w:rsidRPr="00DD0828" w14:paraId="677A31EF" w14:textId="77777777" w:rsidTr="00CA1B2C">
        <w:trPr>
          <w:trHeight w:val="316"/>
        </w:trPr>
        <w:tc>
          <w:tcPr>
            <w:cnfStyle w:val="001000000000" w:firstRow="0" w:lastRow="0" w:firstColumn="1" w:lastColumn="0" w:oddVBand="0" w:evenVBand="0" w:oddHBand="0" w:evenHBand="0" w:firstRowFirstColumn="0" w:firstRowLastColumn="0" w:lastRowFirstColumn="0" w:lastRowLastColumn="0"/>
            <w:tcW w:w="0" w:type="auto"/>
            <w:hideMark/>
          </w:tcPr>
          <w:p w14:paraId="5D2523B2"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18</w:t>
            </w:r>
          </w:p>
        </w:tc>
        <w:tc>
          <w:tcPr>
            <w:tcW w:w="0" w:type="auto"/>
            <w:hideMark/>
          </w:tcPr>
          <w:p w14:paraId="74D75853"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c>
          <w:tcPr>
            <w:tcW w:w="0" w:type="auto"/>
            <w:hideMark/>
          </w:tcPr>
          <w:p w14:paraId="0464613E"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0.95</w:t>
            </w:r>
          </w:p>
        </w:tc>
        <w:tc>
          <w:tcPr>
            <w:tcW w:w="0" w:type="auto"/>
            <w:hideMark/>
          </w:tcPr>
          <w:p w14:paraId="19F32905"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43</w:t>
            </w:r>
          </w:p>
        </w:tc>
        <w:tc>
          <w:tcPr>
            <w:tcW w:w="0" w:type="auto"/>
            <w:hideMark/>
          </w:tcPr>
          <w:p w14:paraId="20795FB6"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6B599A1D"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0.81</w:t>
            </w:r>
          </w:p>
        </w:tc>
      </w:tr>
      <w:tr w:rsidR="00FD1444" w:rsidRPr="00DD0828" w14:paraId="2A440C5D"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55DA9123"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19</w:t>
            </w:r>
          </w:p>
        </w:tc>
        <w:tc>
          <w:tcPr>
            <w:tcW w:w="0" w:type="auto"/>
            <w:hideMark/>
          </w:tcPr>
          <w:p w14:paraId="3CFEDA7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0.93</w:t>
            </w:r>
          </w:p>
        </w:tc>
        <w:tc>
          <w:tcPr>
            <w:tcW w:w="0" w:type="auto"/>
            <w:hideMark/>
          </w:tcPr>
          <w:p w14:paraId="180FA62E"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0.86</w:t>
            </w:r>
          </w:p>
        </w:tc>
        <w:tc>
          <w:tcPr>
            <w:tcW w:w="0" w:type="auto"/>
            <w:hideMark/>
          </w:tcPr>
          <w:p w14:paraId="2B66E6DD"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44</w:t>
            </w:r>
          </w:p>
        </w:tc>
        <w:tc>
          <w:tcPr>
            <w:tcW w:w="0" w:type="auto"/>
            <w:hideMark/>
          </w:tcPr>
          <w:p w14:paraId="25B36FF3"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6FDA7193"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0.82</w:t>
            </w:r>
          </w:p>
        </w:tc>
      </w:tr>
      <w:tr w:rsidR="00FD1444" w:rsidRPr="00DD0828" w14:paraId="2EBA25BC"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F9B1E49"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20</w:t>
            </w:r>
          </w:p>
        </w:tc>
        <w:tc>
          <w:tcPr>
            <w:tcW w:w="0" w:type="auto"/>
            <w:hideMark/>
          </w:tcPr>
          <w:p w14:paraId="4CE5897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1CD7AE37"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c>
          <w:tcPr>
            <w:tcW w:w="0" w:type="auto"/>
            <w:hideMark/>
          </w:tcPr>
          <w:p w14:paraId="194343DB"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45</w:t>
            </w:r>
          </w:p>
        </w:tc>
        <w:tc>
          <w:tcPr>
            <w:tcW w:w="0" w:type="auto"/>
            <w:hideMark/>
          </w:tcPr>
          <w:p w14:paraId="448EF429"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3B39AD4D"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0.86</w:t>
            </w:r>
          </w:p>
        </w:tc>
      </w:tr>
      <w:tr w:rsidR="00FD1444" w:rsidRPr="00DD0828" w14:paraId="111F4E3B"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36467111"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21</w:t>
            </w:r>
          </w:p>
        </w:tc>
        <w:tc>
          <w:tcPr>
            <w:tcW w:w="0" w:type="auto"/>
            <w:hideMark/>
          </w:tcPr>
          <w:p w14:paraId="476C75DD"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26F26D3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0.83</w:t>
            </w:r>
          </w:p>
        </w:tc>
        <w:tc>
          <w:tcPr>
            <w:tcW w:w="0" w:type="auto"/>
            <w:hideMark/>
          </w:tcPr>
          <w:p w14:paraId="3D5486DC"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46</w:t>
            </w:r>
          </w:p>
        </w:tc>
        <w:tc>
          <w:tcPr>
            <w:tcW w:w="0" w:type="auto"/>
            <w:hideMark/>
          </w:tcPr>
          <w:p w14:paraId="6EC68261"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c>
          <w:tcPr>
            <w:tcW w:w="0" w:type="auto"/>
            <w:hideMark/>
          </w:tcPr>
          <w:p w14:paraId="5084C8FC"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0.87</w:t>
            </w:r>
          </w:p>
        </w:tc>
      </w:tr>
      <w:tr w:rsidR="00FD1444" w:rsidRPr="00DD0828" w14:paraId="70D1CB9A"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7908E960"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lastRenderedPageBreak/>
              <w:t>22</w:t>
            </w:r>
          </w:p>
        </w:tc>
        <w:tc>
          <w:tcPr>
            <w:tcW w:w="0" w:type="auto"/>
            <w:hideMark/>
          </w:tcPr>
          <w:p w14:paraId="65EDEDB3"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0.92</w:t>
            </w:r>
          </w:p>
        </w:tc>
        <w:tc>
          <w:tcPr>
            <w:tcW w:w="0" w:type="auto"/>
            <w:hideMark/>
          </w:tcPr>
          <w:p w14:paraId="73C4E68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0.84</w:t>
            </w:r>
          </w:p>
        </w:tc>
        <w:tc>
          <w:tcPr>
            <w:tcW w:w="0" w:type="auto"/>
            <w:hideMark/>
          </w:tcPr>
          <w:p w14:paraId="63CCEEEF"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47</w:t>
            </w:r>
          </w:p>
        </w:tc>
        <w:tc>
          <w:tcPr>
            <w:tcW w:w="0" w:type="auto"/>
            <w:hideMark/>
          </w:tcPr>
          <w:p w14:paraId="47F726A8"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0.93</w:t>
            </w:r>
          </w:p>
        </w:tc>
        <w:tc>
          <w:tcPr>
            <w:tcW w:w="0" w:type="auto"/>
            <w:hideMark/>
          </w:tcPr>
          <w:p w14:paraId="6F92E115"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r>
      <w:tr w:rsidR="00FD1444" w:rsidRPr="00DD0828" w14:paraId="462720C7"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3B7CBF38"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23</w:t>
            </w:r>
          </w:p>
        </w:tc>
        <w:tc>
          <w:tcPr>
            <w:tcW w:w="0" w:type="auto"/>
            <w:hideMark/>
          </w:tcPr>
          <w:p w14:paraId="3BC08CF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0.89</w:t>
            </w:r>
          </w:p>
        </w:tc>
        <w:tc>
          <w:tcPr>
            <w:tcW w:w="0" w:type="auto"/>
            <w:hideMark/>
          </w:tcPr>
          <w:p w14:paraId="64EC3CAA"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0.82</w:t>
            </w:r>
          </w:p>
        </w:tc>
        <w:tc>
          <w:tcPr>
            <w:tcW w:w="0" w:type="auto"/>
            <w:hideMark/>
          </w:tcPr>
          <w:p w14:paraId="55E01F4C"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48</w:t>
            </w:r>
          </w:p>
        </w:tc>
        <w:tc>
          <w:tcPr>
            <w:tcW w:w="0" w:type="auto"/>
            <w:hideMark/>
          </w:tcPr>
          <w:p w14:paraId="121D82C6"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112EA971"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0.85</w:t>
            </w:r>
          </w:p>
        </w:tc>
      </w:tr>
      <w:tr w:rsidR="00FD1444" w:rsidRPr="00DD0828" w14:paraId="58991791" w14:textId="77777777" w:rsidTr="00CA1B2C">
        <w:trPr>
          <w:trHeight w:val="316"/>
        </w:trPr>
        <w:tc>
          <w:tcPr>
            <w:cnfStyle w:val="001000000000" w:firstRow="0" w:lastRow="0" w:firstColumn="1" w:lastColumn="0" w:oddVBand="0" w:evenVBand="0" w:oddHBand="0" w:evenHBand="0" w:firstRowFirstColumn="0" w:firstRowLastColumn="0" w:lastRowFirstColumn="0" w:lastRowLastColumn="0"/>
            <w:tcW w:w="0" w:type="auto"/>
            <w:hideMark/>
          </w:tcPr>
          <w:p w14:paraId="66214C21"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24</w:t>
            </w:r>
          </w:p>
        </w:tc>
        <w:tc>
          <w:tcPr>
            <w:tcW w:w="0" w:type="auto"/>
            <w:hideMark/>
          </w:tcPr>
          <w:p w14:paraId="26728606"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128C6D92"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0.83</w:t>
            </w:r>
          </w:p>
        </w:tc>
        <w:tc>
          <w:tcPr>
            <w:tcW w:w="0" w:type="auto"/>
            <w:hideMark/>
          </w:tcPr>
          <w:p w14:paraId="30544844"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49</w:t>
            </w:r>
          </w:p>
        </w:tc>
        <w:tc>
          <w:tcPr>
            <w:tcW w:w="0" w:type="auto"/>
            <w:hideMark/>
          </w:tcPr>
          <w:p w14:paraId="2C652475"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0.96</w:t>
            </w:r>
          </w:p>
        </w:tc>
        <w:tc>
          <w:tcPr>
            <w:tcW w:w="0" w:type="auto"/>
            <w:hideMark/>
          </w:tcPr>
          <w:p w14:paraId="3F34687B" w14:textId="77777777" w:rsidR="00FD1444" w:rsidRPr="00DD0828" w:rsidRDefault="00FD1444" w:rsidP="003A3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0.94</w:t>
            </w:r>
          </w:p>
        </w:tc>
      </w:tr>
      <w:tr w:rsidR="00FD1444" w:rsidRPr="00DD0828" w14:paraId="2359612C"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429EA33" w14:textId="77777777" w:rsidR="00FD1444" w:rsidRPr="00DD0828" w:rsidRDefault="00FD1444" w:rsidP="003A3B4A">
            <w:pP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25</w:t>
            </w:r>
          </w:p>
        </w:tc>
        <w:tc>
          <w:tcPr>
            <w:tcW w:w="0" w:type="auto"/>
            <w:hideMark/>
          </w:tcPr>
          <w:p w14:paraId="570A55CE"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0.91</w:t>
            </w:r>
          </w:p>
        </w:tc>
        <w:tc>
          <w:tcPr>
            <w:tcW w:w="0" w:type="auto"/>
            <w:hideMark/>
          </w:tcPr>
          <w:p w14:paraId="428AB147"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c>
          <w:tcPr>
            <w:tcW w:w="0" w:type="auto"/>
            <w:hideMark/>
          </w:tcPr>
          <w:p w14:paraId="5DBFCAC8"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50</w:t>
            </w:r>
          </w:p>
        </w:tc>
        <w:tc>
          <w:tcPr>
            <w:tcW w:w="0" w:type="auto"/>
            <w:hideMark/>
          </w:tcPr>
          <w:p w14:paraId="21D33A44"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0.90</w:t>
            </w:r>
          </w:p>
        </w:tc>
        <w:tc>
          <w:tcPr>
            <w:tcW w:w="0" w:type="auto"/>
            <w:hideMark/>
          </w:tcPr>
          <w:p w14:paraId="3F6F13DA" w14:textId="77777777" w:rsidR="00FD1444" w:rsidRPr="00DD0828" w:rsidRDefault="00FD1444" w:rsidP="003A3B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0.88</w:t>
            </w:r>
          </w:p>
        </w:tc>
      </w:tr>
      <w:tr w:rsidR="00CA1B2C" w:rsidRPr="00DD0828" w14:paraId="0F49EE4E"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56DF7795" w14:textId="3EC30D0E" w:rsidR="00CA1B2C" w:rsidRPr="00CA1B2C" w:rsidRDefault="00CA1B2C" w:rsidP="00CA1B2C">
            <w:pPr>
              <w:jc w:val="center"/>
              <w:rPr>
                <w:rFonts w:ascii="Times New Roman" w:hAnsi="Times New Roman" w:cs="Times New Roman"/>
                <w:color w:val="000000" w:themeColor="text1"/>
                <w:sz w:val="15"/>
                <w:szCs w:val="15"/>
                <w:lang w:val="en-US"/>
              </w:rPr>
            </w:pPr>
            <w:r w:rsidRPr="00CA1B2C">
              <w:rPr>
                <w:rFonts w:ascii="Times New Roman" w:hAnsi="Times New Roman" w:cs="Times New Roman"/>
                <w:color w:val="000000" w:themeColor="text1"/>
                <w:sz w:val="15"/>
                <w:szCs w:val="15"/>
                <w:lang w:val="en-US"/>
              </w:rPr>
              <w:t>Summary statistic</w:t>
            </w:r>
          </w:p>
        </w:tc>
        <w:tc>
          <w:tcPr>
            <w:tcW w:w="0" w:type="auto"/>
            <w:gridSpan w:val="2"/>
            <w:vAlign w:val="center"/>
          </w:tcPr>
          <w:p w14:paraId="2A94B125" w14:textId="515F98CA" w:rsidR="00CA1B2C" w:rsidRPr="00CA1B2C" w:rsidRDefault="00CA1B2C" w:rsidP="00CA1B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CA1B2C">
              <w:rPr>
                <w:rFonts w:ascii="Times New Roman" w:hAnsi="Times New Roman" w:cs="Times New Roman" w:hint="eastAsia"/>
                <w:b/>
                <w:bCs/>
                <w:color w:val="000000" w:themeColor="text1"/>
                <w:sz w:val="15"/>
                <w:szCs w:val="15"/>
                <w:lang w:val="en-US"/>
              </w:rPr>
              <w:t>Training AUC</w:t>
            </w:r>
          </w:p>
        </w:tc>
        <w:tc>
          <w:tcPr>
            <w:tcW w:w="0" w:type="auto"/>
            <w:gridSpan w:val="2"/>
            <w:vAlign w:val="center"/>
          </w:tcPr>
          <w:p w14:paraId="6D6D25A4" w14:textId="0C2DFE0A" w:rsidR="00CA1B2C" w:rsidRPr="00CA1B2C" w:rsidRDefault="00CA1B2C" w:rsidP="00CA1B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5"/>
                <w:szCs w:val="15"/>
                <w:lang w:val="en-US"/>
              </w:rPr>
            </w:pPr>
            <w:r w:rsidRPr="00CA1B2C">
              <w:rPr>
                <w:rFonts w:ascii="Times New Roman" w:hAnsi="Times New Roman" w:cs="Times New Roman" w:hint="eastAsia"/>
                <w:b/>
                <w:bCs/>
                <w:color w:val="000000" w:themeColor="text1"/>
                <w:sz w:val="15"/>
                <w:szCs w:val="15"/>
                <w:lang w:val="en-US"/>
              </w:rPr>
              <w:t>Internal test AUC</w:t>
            </w:r>
          </w:p>
        </w:tc>
      </w:tr>
      <w:tr w:rsidR="00CA1B2C" w:rsidRPr="00DD0828" w14:paraId="63326509" w14:textId="77777777" w:rsidTr="00CA1B2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3B30BE94" w14:textId="66BFED19" w:rsidR="00CA1B2C" w:rsidRPr="00DD0828" w:rsidRDefault="00CA1B2C" w:rsidP="00CA1B2C">
            <w:pPr>
              <w:jc w:val="center"/>
              <w:rPr>
                <w:rFonts w:ascii="Times New Roman" w:hAnsi="Times New Roman" w:cs="Times New Roman"/>
                <w:color w:val="000000" w:themeColor="text1"/>
                <w:sz w:val="15"/>
                <w:szCs w:val="15"/>
                <w:lang w:val="en-US"/>
              </w:rPr>
            </w:pPr>
            <w:r>
              <w:rPr>
                <w:rFonts w:ascii="Times New Roman" w:hAnsi="Times New Roman" w:cs="Times New Roman" w:hint="eastAsia"/>
                <w:color w:val="000000" w:themeColor="text1"/>
                <w:sz w:val="15"/>
                <w:szCs w:val="15"/>
                <w:lang w:val="en-US"/>
              </w:rPr>
              <w:t>Mean</w:t>
            </w:r>
          </w:p>
        </w:tc>
        <w:tc>
          <w:tcPr>
            <w:tcW w:w="0" w:type="auto"/>
            <w:gridSpan w:val="2"/>
            <w:vAlign w:val="center"/>
          </w:tcPr>
          <w:p w14:paraId="5F7E9B7B" w14:textId="1D16157B" w:rsidR="00CA1B2C" w:rsidRPr="00DD0828" w:rsidRDefault="00CA1B2C" w:rsidP="00CA1B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EA0206">
              <w:rPr>
                <w:rFonts w:ascii="Times New Roman" w:hAnsi="Times New Roman" w:cs="Times New Roman"/>
                <w:color w:val="000000" w:themeColor="text1"/>
                <w:sz w:val="15"/>
                <w:szCs w:val="15"/>
              </w:rPr>
              <w:t>0.90</w:t>
            </w:r>
            <w:r w:rsidR="009D05A2">
              <w:rPr>
                <w:rFonts w:ascii="Times New Roman" w:hAnsi="Times New Roman" w:cs="Times New Roman" w:hint="eastAsia"/>
                <w:color w:val="000000" w:themeColor="text1"/>
                <w:sz w:val="15"/>
                <w:szCs w:val="15"/>
              </w:rPr>
              <w:t>2</w:t>
            </w:r>
          </w:p>
        </w:tc>
        <w:tc>
          <w:tcPr>
            <w:tcW w:w="0" w:type="auto"/>
            <w:gridSpan w:val="2"/>
            <w:vAlign w:val="center"/>
          </w:tcPr>
          <w:p w14:paraId="35ED1459" w14:textId="51DF1936" w:rsidR="00CA1B2C" w:rsidRPr="00DD0828" w:rsidRDefault="00CA1B2C" w:rsidP="00CA1B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EA0206">
              <w:rPr>
                <w:rFonts w:ascii="Times New Roman" w:hAnsi="Times New Roman" w:cs="Times New Roman"/>
                <w:color w:val="000000" w:themeColor="text1"/>
                <w:sz w:val="15"/>
                <w:szCs w:val="15"/>
              </w:rPr>
              <w:t>0.85</w:t>
            </w:r>
            <w:r w:rsidR="009D05A2">
              <w:rPr>
                <w:rFonts w:ascii="Times New Roman" w:hAnsi="Times New Roman" w:cs="Times New Roman" w:hint="eastAsia"/>
                <w:color w:val="000000" w:themeColor="text1"/>
                <w:sz w:val="15"/>
                <w:szCs w:val="15"/>
              </w:rPr>
              <w:t>5</w:t>
            </w:r>
          </w:p>
        </w:tc>
      </w:tr>
      <w:tr w:rsidR="00CA1B2C" w:rsidRPr="00DD0828" w14:paraId="7D2776F3" w14:textId="77777777" w:rsidTr="00CA1B2C">
        <w:trPr>
          <w:trHeight w:val="312"/>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7D7AB181" w14:textId="10F89F8F" w:rsidR="00CA1B2C" w:rsidRPr="00DD0828" w:rsidRDefault="00CA1B2C" w:rsidP="00CA1B2C">
            <w:pPr>
              <w:jc w:val="center"/>
              <w:rPr>
                <w:rFonts w:ascii="Times New Roman" w:hAnsi="Times New Roman" w:cs="Times New Roman"/>
                <w:color w:val="000000" w:themeColor="text1"/>
                <w:sz w:val="15"/>
                <w:szCs w:val="15"/>
                <w:lang w:val="en-US"/>
              </w:rPr>
            </w:pPr>
            <w:r>
              <w:rPr>
                <w:rFonts w:ascii="Times New Roman" w:hAnsi="Times New Roman" w:cs="Times New Roman" w:hint="eastAsia"/>
                <w:color w:val="000000" w:themeColor="text1"/>
                <w:sz w:val="15"/>
                <w:szCs w:val="15"/>
                <w:lang w:val="en-US"/>
              </w:rPr>
              <w:t>SD</w:t>
            </w:r>
          </w:p>
        </w:tc>
        <w:tc>
          <w:tcPr>
            <w:tcW w:w="0" w:type="auto"/>
            <w:gridSpan w:val="2"/>
            <w:vAlign w:val="center"/>
          </w:tcPr>
          <w:p w14:paraId="69D8EA3B" w14:textId="7342C627" w:rsidR="00CA1B2C" w:rsidRPr="00DD0828" w:rsidRDefault="00CA1B2C" w:rsidP="00CA1B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EA0206">
              <w:rPr>
                <w:rFonts w:ascii="Times New Roman" w:hAnsi="Times New Roman" w:cs="Times New Roman"/>
                <w:color w:val="000000" w:themeColor="text1"/>
                <w:sz w:val="15"/>
                <w:szCs w:val="15"/>
              </w:rPr>
              <w:t>0.042</w:t>
            </w:r>
          </w:p>
        </w:tc>
        <w:tc>
          <w:tcPr>
            <w:tcW w:w="0" w:type="auto"/>
            <w:gridSpan w:val="2"/>
            <w:vAlign w:val="center"/>
          </w:tcPr>
          <w:p w14:paraId="032D5521" w14:textId="2942F845" w:rsidR="00CA1B2C" w:rsidRPr="00DD0828" w:rsidRDefault="00CA1B2C" w:rsidP="00CA1B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EA0206">
              <w:rPr>
                <w:rFonts w:ascii="Times New Roman" w:hAnsi="Times New Roman" w:cs="Times New Roman"/>
                <w:color w:val="000000" w:themeColor="text1"/>
                <w:sz w:val="15"/>
                <w:szCs w:val="15"/>
                <w:lang w:val="en-US"/>
              </w:rPr>
              <w:t>0.03</w:t>
            </w:r>
            <w:r w:rsidR="009D05A2">
              <w:rPr>
                <w:rFonts w:ascii="Times New Roman" w:hAnsi="Times New Roman" w:cs="Times New Roman" w:hint="eastAsia"/>
                <w:color w:val="000000" w:themeColor="text1"/>
                <w:sz w:val="15"/>
                <w:szCs w:val="15"/>
                <w:lang w:val="en-US"/>
              </w:rPr>
              <w:t>9</w:t>
            </w:r>
          </w:p>
        </w:tc>
      </w:tr>
    </w:tbl>
    <w:p w14:paraId="3BB0D571" w14:textId="2068FB8D" w:rsidR="001A37D7" w:rsidRPr="00EA0206" w:rsidRDefault="00EA0206" w:rsidP="004127CE">
      <w:pPr>
        <w:snapToGrid w:val="0"/>
        <w:spacing w:line="180" w:lineRule="atLeast"/>
        <w:rPr>
          <w:rFonts w:ascii="Times New Roman" w:hAnsi="Times New Roman" w:cs="Times New Roman"/>
          <w:color w:val="000000" w:themeColor="text1"/>
          <w:sz w:val="15"/>
          <w:szCs w:val="15"/>
          <w:lang w:val="en-US"/>
        </w:rPr>
      </w:pPr>
      <w:r w:rsidRPr="00EA0206">
        <w:rPr>
          <w:rFonts w:ascii="Times New Roman" w:hAnsi="Times New Roman" w:cs="Times New Roman"/>
          <w:color w:val="000000" w:themeColor="text1"/>
          <w:sz w:val="15"/>
          <w:szCs w:val="15"/>
          <w:lang w:val="en-US"/>
        </w:rPr>
        <w:t>AUCs are reported for each of the 50 repeated random splits. Summary performance is presented as the mean and standard deviation because the repeated training and internal test subsets contained overlapping patients.</w:t>
      </w:r>
    </w:p>
    <w:p w14:paraId="27A34F00" w14:textId="77777777" w:rsidR="00EA0206" w:rsidRPr="00DD0828" w:rsidRDefault="00EA0206" w:rsidP="003A3B4A">
      <w:pPr>
        <w:rPr>
          <w:rFonts w:ascii="Times New Roman" w:hAnsi="Times New Roman" w:cs="Times New Roman"/>
          <w:b/>
          <w:bCs/>
          <w:color w:val="000000" w:themeColor="text1"/>
          <w:sz w:val="15"/>
          <w:szCs w:val="15"/>
          <w:lang w:val="en-US"/>
        </w:rPr>
      </w:pPr>
    </w:p>
    <w:p w14:paraId="09C15B9B" w14:textId="1809E1FD" w:rsidR="003B2A10" w:rsidRPr="00DD0828" w:rsidRDefault="003B2A10" w:rsidP="003A3B4A">
      <w:pPr>
        <w:rPr>
          <w:rFonts w:ascii="Times New Roman" w:hAnsi="Times New Roman" w:cs="Times New Roman"/>
          <w:b/>
          <w:bCs/>
          <w:color w:val="000000" w:themeColor="text1"/>
          <w:sz w:val="15"/>
          <w:szCs w:val="15"/>
          <w:lang w:val="en-US"/>
        </w:rPr>
      </w:pPr>
      <w:r w:rsidRPr="00DD0828">
        <w:rPr>
          <w:rFonts w:ascii="Times New Roman" w:hAnsi="Times New Roman" w:cs="Times New Roman"/>
          <w:b/>
          <w:bCs/>
          <w:color w:val="000000" w:themeColor="text1"/>
          <w:sz w:val="15"/>
          <w:szCs w:val="15"/>
        </w:rPr>
        <w:t xml:space="preserve">Table </w:t>
      </w:r>
      <w:r w:rsidRPr="00DD0828">
        <w:rPr>
          <w:rFonts w:ascii="Times New Roman" w:hAnsi="Times New Roman" w:cs="Times New Roman" w:hint="eastAsia"/>
          <w:b/>
          <w:bCs/>
          <w:color w:val="000000" w:themeColor="text1"/>
          <w:sz w:val="15"/>
          <w:szCs w:val="15"/>
        </w:rPr>
        <w:t>E9</w:t>
      </w:r>
      <w:r w:rsidRPr="00DD0828">
        <w:rPr>
          <w:rFonts w:ascii="Times New Roman" w:hAnsi="Times New Roman" w:cs="Times New Roman"/>
          <w:b/>
          <w:bCs/>
          <w:color w:val="000000" w:themeColor="text1"/>
          <w:sz w:val="15"/>
          <w:szCs w:val="15"/>
        </w:rPr>
        <w:t>. Separate external validation performance of the final stable-feature XGBoost model in the Duke and I-SPY1 cohorts.</w:t>
      </w:r>
    </w:p>
    <w:tbl>
      <w:tblPr>
        <w:tblStyle w:val="11"/>
        <w:tblW w:w="8172" w:type="dxa"/>
        <w:jc w:val="center"/>
        <w:tblLook w:val="04A0" w:firstRow="1" w:lastRow="0" w:firstColumn="1" w:lastColumn="0" w:noHBand="0" w:noVBand="1"/>
      </w:tblPr>
      <w:tblGrid>
        <w:gridCol w:w="1630"/>
        <w:gridCol w:w="919"/>
        <w:gridCol w:w="1417"/>
        <w:gridCol w:w="1560"/>
        <w:gridCol w:w="1323"/>
        <w:gridCol w:w="1323"/>
      </w:tblGrid>
      <w:tr w:rsidR="003B2A10" w:rsidRPr="00DD0828" w14:paraId="23F3D104" w14:textId="77777777" w:rsidTr="00931970">
        <w:trPr>
          <w:cnfStyle w:val="100000000000" w:firstRow="1" w:lastRow="0" w:firstColumn="0" w:lastColumn="0" w:oddVBand="0" w:evenVBand="0" w:oddHBand="0" w:evenHBand="0" w:firstRowFirstColumn="0" w:firstRowLastColumn="0" w:lastRowFirstColumn="0" w:lastRowLastColumn="0"/>
          <w:trHeight w:val="35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0B55A8" w14:textId="77777777" w:rsidR="003B2A10" w:rsidRPr="00DD0828" w:rsidRDefault="003B2A10" w:rsidP="00931970">
            <w:pPr>
              <w:jc w:val="center"/>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Cohort</w:t>
            </w:r>
          </w:p>
        </w:tc>
        <w:tc>
          <w:tcPr>
            <w:tcW w:w="919" w:type="dxa"/>
            <w:vAlign w:val="center"/>
            <w:hideMark/>
          </w:tcPr>
          <w:p w14:paraId="0DE1E76D" w14:textId="77777777" w:rsidR="003B2A10" w:rsidRPr="00DD0828" w:rsidRDefault="003B2A10" w:rsidP="009319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N</w:t>
            </w:r>
          </w:p>
        </w:tc>
        <w:tc>
          <w:tcPr>
            <w:tcW w:w="1417" w:type="dxa"/>
            <w:vAlign w:val="center"/>
            <w:hideMark/>
          </w:tcPr>
          <w:p w14:paraId="2E77E876" w14:textId="77777777" w:rsidR="003B2A10" w:rsidRPr="00DD0828" w:rsidRDefault="003B2A10" w:rsidP="009319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Responders</w:t>
            </w:r>
          </w:p>
        </w:tc>
        <w:tc>
          <w:tcPr>
            <w:tcW w:w="1560" w:type="dxa"/>
            <w:vAlign w:val="center"/>
            <w:hideMark/>
          </w:tcPr>
          <w:p w14:paraId="491DC29F" w14:textId="77777777" w:rsidR="003B2A10" w:rsidRPr="00DD0828" w:rsidRDefault="003B2A10" w:rsidP="009319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AUC (95% CI)</w:t>
            </w:r>
          </w:p>
        </w:tc>
        <w:tc>
          <w:tcPr>
            <w:tcW w:w="0" w:type="auto"/>
            <w:vAlign w:val="center"/>
            <w:hideMark/>
          </w:tcPr>
          <w:p w14:paraId="15C019BE" w14:textId="77777777" w:rsidR="003B2A10" w:rsidRPr="00DD0828" w:rsidRDefault="003B2A10" w:rsidP="009319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Sensitivity</w:t>
            </w:r>
          </w:p>
        </w:tc>
        <w:tc>
          <w:tcPr>
            <w:tcW w:w="0" w:type="auto"/>
            <w:vAlign w:val="center"/>
            <w:hideMark/>
          </w:tcPr>
          <w:p w14:paraId="05A8488C" w14:textId="77777777" w:rsidR="003B2A10" w:rsidRPr="00DD0828" w:rsidRDefault="003B2A10" w:rsidP="0093197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Specificity</w:t>
            </w:r>
          </w:p>
        </w:tc>
      </w:tr>
      <w:tr w:rsidR="003B2A10" w:rsidRPr="00DD0828" w14:paraId="2BBC56EC" w14:textId="77777777" w:rsidTr="00931970">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A65C18" w14:textId="77777777" w:rsidR="003B2A10" w:rsidRPr="00DD0828" w:rsidRDefault="003B2A10" w:rsidP="00931970">
            <w:pPr>
              <w:jc w:val="cente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Duke cohort</w:t>
            </w:r>
          </w:p>
        </w:tc>
        <w:tc>
          <w:tcPr>
            <w:tcW w:w="919" w:type="dxa"/>
            <w:vAlign w:val="center"/>
            <w:hideMark/>
          </w:tcPr>
          <w:p w14:paraId="1827F62A" w14:textId="520167DE" w:rsidR="003B2A10" w:rsidRPr="00DD0828" w:rsidRDefault="00955FFD" w:rsidP="0093197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Pr>
                <w:rFonts w:ascii="Times New Roman" w:hAnsi="Times New Roman" w:cs="Times New Roman" w:hint="eastAsia"/>
                <w:color w:val="000000" w:themeColor="text1"/>
                <w:sz w:val="15"/>
                <w:szCs w:val="15"/>
                <w:lang w:val="en-US"/>
              </w:rPr>
              <w:t>98</w:t>
            </w:r>
          </w:p>
        </w:tc>
        <w:tc>
          <w:tcPr>
            <w:tcW w:w="1417" w:type="dxa"/>
            <w:vAlign w:val="center"/>
            <w:hideMark/>
          </w:tcPr>
          <w:p w14:paraId="501B5CE2" w14:textId="3087FF7E" w:rsidR="003B2A10" w:rsidRPr="00DD0828" w:rsidRDefault="003B2A10" w:rsidP="0093197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1</w:t>
            </w:r>
            <w:r w:rsidR="009C0EA9">
              <w:rPr>
                <w:rFonts w:ascii="Times New Roman" w:hAnsi="Times New Roman" w:cs="Times New Roman" w:hint="eastAsia"/>
                <w:color w:val="000000" w:themeColor="text1"/>
                <w:sz w:val="15"/>
                <w:szCs w:val="15"/>
                <w:lang w:val="en-US"/>
              </w:rPr>
              <w:t>8</w:t>
            </w:r>
          </w:p>
        </w:tc>
        <w:tc>
          <w:tcPr>
            <w:tcW w:w="1560" w:type="dxa"/>
            <w:vAlign w:val="center"/>
            <w:hideMark/>
          </w:tcPr>
          <w:p w14:paraId="44C729B6" w14:textId="27C3BEB6" w:rsidR="003B2A10" w:rsidRPr="00DD0828" w:rsidRDefault="003B2A10" w:rsidP="0093197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w:t>
            </w:r>
            <w:r w:rsidR="00C709A3">
              <w:rPr>
                <w:rFonts w:ascii="Times New Roman" w:hAnsi="Times New Roman" w:cs="Times New Roman" w:hint="eastAsia"/>
                <w:color w:val="000000" w:themeColor="text1"/>
                <w:sz w:val="15"/>
                <w:szCs w:val="15"/>
                <w:lang w:val="en-US"/>
              </w:rPr>
              <w:t>813</w:t>
            </w:r>
            <w:r w:rsidRPr="00DD0828">
              <w:rPr>
                <w:rFonts w:ascii="Times New Roman" w:hAnsi="Times New Roman" w:cs="Times New Roman"/>
                <w:color w:val="000000" w:themeColor="text1"/>
                <w:sz w:val="15"/>
                <w:szCs w:val="15"/>
                <w:lang w:val="en-US"/>
              </w:rPr>
              <w:t xml:space="preserve"> (0.6</w:t>
            </w:r>
            <w:r w:rsidR="00C709A3">
              <w:rPr>
                <w:rFonts w:ascii="Times New Roman" w:hAnsi="Times New Roman" w:cs="Times New Roman" w:hint="eastAsia"/>
                <w:color w:val="000000" w:themeColor="text1"/>
                <w:sz w:val="15"/>
                <w:szCs w:val="15"/>
                <w:lang w:val="en-US"/>
              </w:rPr>
              <w:t>8</w:t>
            </w:r>
            <w:r w:rsidR="00C16197" w:rsidRPr="00DD0828">
              <w:rPr>
                <w:rFonts w:ascii="Times New Roman" w:hAnsi="Times New Roman" w:cs="Times New Roman" w:hint="eastAsia"/>
                <w:color w:val="000000" w:themeColor="text1"/>
                <w:sz w:val="15"/>
                <w:szCs w:val="15"/>
                <w:lang w:val="en-US"/>
              </w:rPr>
              <w:t>-</w:t>
            </w:r>
            <w:r w:rsidRPr="00DD0828">
              <w:rPr>
                <w:rFonts w:ascii="Times New Roman" w:hAnsi="Times New Roman" w:cs="Times New Roman"/>
                <w:color w:val="000000" w:themeColor="text1"/>
                <w:sz w:val="15"/>
                <w:szCs w:val="15"/>
                <w:lang w:val="en-US"/>
              </w:rPr>
              <w:t>0.</w:t>
            </w:r>
            <w:r w:rsidR="00C709A3">
              <w:rPr>
                <w:rFonts w:ascii="Times New Roman" w:hAnsi="Times New Roman" w:cs="Times New Roman" w:hint="eastAsia"/>
                <w:color w:val="000000" w:themeColor="text1"/>
                <w:sz w:val="15"/>
                <w:szCs w:val="15"/>
                <w:lang w:val="en-US"/>
              </w:rPr>
              <w:t>91</w:t>
            </w:r>
            <w:r w:rsidRPr="00DD0828">
              <w:rPr>
                <w:rFonts w:ascii="Times New Roman" w:hAnsi="Times New Roman" w:cs="Times New Roman"/>
                <w:color w:val="000000" w:themeColor="text1"/>
                <w:sz w:val="15"/>
                <w:szCs w:val="15"/>
                <w:lang w:val="en-US"/>
              </w:rPr>
              <w:t>)</w:t>
            </w:r>
          </w:p>
        </w:tc>
        <w:tc>
          <w:tcPr>
            <w:tcW w:w="0" w:type="auto"/>
            <w:vAlign w:val="center"/>
            <w:hideMark/>
          </w:tcPr>
          <w:p w14:paraId="2797FC44" w14:textId="40F4D0F1" w:rsidR="003B2A10" w:rsidRPr="00DD0828" w:rsidRDefault="003B2A10" w:rsidP="0093197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w:t>
            </w:r>
            <w:r w:rsidR="00C709A3">
              <w:rPr>
                <w:rFonts w:ascii="Times New Roman" w:hAnsi="Times New Roman" w:cs="Times New Roman" w:hint="eastAsia"/>
                <w:color w:val="000000" w:themeColor="text1"/>
                <w:sz w:val="15"/>
                <w:szCs w:val="15"/>
                <w:lang w:val="en-US"/>
              </w:rPr>
              <w:t>78</w:t>
            </w:r>
          </w:p>
        </w:tc>
        <w:tc>
          <w:tcPr>
            <w:tcW w:w="0" w:type="auto"/>
            <w:vAlign w:val="center"/>
            <w:hideMark/>
          </w:tcPr>
          <w:p w14:paraId="0CB58BAE" w14:textId="76B94DDD" w:rsidR="003B2A10" w:rsidRPr="00DD0828" w:rsidRDefault="003B2A10" w:rsidP="0093197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w:t>
            </w:r>
            <w:r w:rsidR="00C709A3">
              <w:rPr>
                <w:rFonts w:ascii="Times New Roman" w:hAnsi="Times New Roman" w:cs="Times New Roman" w:hint="eastAsia"/>
                <w:color w:val="000000" w:themeColor="text1"/>
                <w:sz w:val="15"/>
                <w:szCs w:val="15"/>
                <w:lang w:val="en-US"/>
              </w:rPr>
              <w:t>73</w:t>
            </w:r>
          </w:p>
        </w:tc>
      </w:tr>
      <w:tr w:rsidR="003B2A10" w:rsidRPr="00DD0828" w14:paraId="65263C4E" w14:textId="77777777" w:rsidTr="00931970">
        <w:trPr>
          <w:trHeight w:val="357"/>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5F64DD" w14:textId="77777777" w:rsidR="003B2A10" w:rsidRPr="00DD0828" w:rsidRDefault="003B2A10" w:rsidP="00931970">
            <w:pPr>
              <w:jc w:val="center"/>
              <w:rPr>
                <w:rFonts w:ascii="Times New Roman" w:hAnsi="Times New Roman" w:cs="Times New Roman"/>
                <w:b w:val="0"/>
                <w:bCs w:val="0"/>
                <w:color w:val="000000" w:themeColor="text1"/>
                <w:sz w:val="15"/>
                <w:szCs w:val="15"/>
                <w:lang w:val="en-US"/>
              </w:rPr>
            </w:pPr>
            <w:r w:rsidRPr="00DD0828">
              <w:rPr>
                <w:rFonts w:ascii="Times New Roman" w:hAnsi="Times New Roman" w:cs="Times New Roman"/>
                <w:b w:val="0"/>
                <w:bCs w:val="0"/>
                <w:color w:val="000000" w:themeColor="text1"/>
                <w:sz w:val="15"/>
                <w:szCs w:val="15"/>
                <w:lang w:val="en-US"/>
              </w:rPr>
              <w:t>I-SPY1 cohort</w:t>
            </w:r>
          </w:p>
        </w:tc>
        <w:tc>
          <w:tcPr>
            <w:tcW w:w="919" w:type="dxa"/>
            <w:vAlign w:val="center"/>
            <w:hideMark/>
          </w:tcPr>
          <w:p w14:paraId="2DAD56EA" w14:textId="4B2E22A4" w:rsidR="003B2A10" w:rsidRPr="00DD0828" w:rsidRDefault="00955FFD" w:rsidP="0093197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Pr>
                <w:rFonts w:ascii="Times New Roman" w:hAnsi="Times New Roman" w:cs="Times New Roman" w:hint="eastAsia"/>
                <w:color w:val="000000" w:themeColor="text1"/>
                <w:sz w:val="15"/>
                <w:szCs w:val="15"/>
                <w:lang w:val="en-US"/>
              </w:rPr>
              <w:t>78</w:t>
            </w:r>
          </w:p>
        </w:tc>
        <w:tc>
          <w:tcPr>
            <w:tcW w:w="1417" w:type="dxa"/>
            <w:vAlign w:val="center"/>
            <w:hideMark/>
          </w:tcPr>
          <w:p w14:paraId="6DEC26BF" w14:textId="49CCD3EE" w:rsidR="003B2A10" w:rsidRPr="00DD0828" w:rsidRDefault="003B2A10" w:rsidP="0093197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1</w:t>
            </w:r>
            <w:r w:rsidR="009C0EA9">
              <w:rPr>
                <w:rFonts w:ascii="Times New Roman" w:hAnsi="Times New Roman" w:cs="Times New Roman" w:hint="eastAsia"/>
                <w:color w:val="000000" w:themeColor="text1"/>
                <w:sz w:val="15"/>
                <w:szCs w:val="15"/>
                <w:lang w:val="en-US"/>
              </w:rPr>
              <w:t>5</w:t>
            </w:r>
          </w:p>
        </w:tc>
        <w:tc>
          <w:tcPr>
            <w:tcW w:w="1560" w:type="dxa"/>
            <w:vAlign w:val="center"/>
            <w:hideMark/>
          </w:tcPr>
          <w:p w14:paraId="17976221" w14:textId="7A69BF40" w:rsidR="003B2A10" w:rsidRPr="00DD0828" w:rsidRDefault="003B2A10" w:rsidP="0093197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0.7</w:t>
            </w:r>
            <w:r w:rsidR="00C709A3">
              <w:rPr>
                <w:rFonts w:ascii="Times New Roman" w:hAnsi="Times New Roman" w:cs="Times New Roman" w:hint="eastAsia"/>
                <w:color w:val="000000" w:themeColor="text1"/>
                <w:sz w:val="15"/>
                <w:szCs w:val="15"/>
                <w:lang w:val="en-US"/>
              </w:rPr>
              <w:t>50</w:t>
            </w:r>
            <w:r w:rsidRPr="00DD0828">
              <w:rPr>
                <w:rFonts w:ascii="Times New Roman" w:hAnsi="Times New Roman" w:cs="Times New Roman"/>
                <w:color w:val="000000" w:themeColor="text1"/>
                <w:sz w:val="15"/>
                <w:szCs w:val="15"/>
                <w:lang w:val="en-US"/>
              </w:rPr>
              <w:t xml:space="preserve"> (0.</w:t>
            </w:r>
            <w:r w:rsidR="00C709A3">
              <w:rPr>
                <w:rFonts w:ascii="Times New Roman" w:hAnsi="Times New Roman" w:cs="Times New Roman" w:hint="eastAsia"/>
                <w:color w:val="000000" w:themeColor="text1"/>
                <w:sz w:val="15"/>
                <w:szCs w:val="15"/>
                <w:lang w:val="en-US"/>
              </w:rPr>
              <w:t>60</w:t>
            </w:r>
            <w:r w:rsidR="00C16197" w:rsidRPr="00DD0828">
              <w:rPr>
                <w:rFonts w:ascii="Times New Roman" w:hAnsi="Times New Roman" w:cs="Times New Roman" w:hint="eastAsia"/>
                <w:color w:val="000000" w:themeColor="text1"/>
                <w:sz w:val="15"/>
                <w:szCs w:val="15"/>
                <w:lang w:val="en-US"/>
              </w:rPr>
              <w:t>-</w:t>
            </w:r>
            <w:r w:rsidRPr="00DD0828">
              <w:rPr>
                <w:rFonts w:ascii="Times New Roman" w:hAnsi="Times New Roman" w:cs="Times New Roman"/>
                <w:color w:val="000000" w:themeColor="text1"/>
                <w:sz w:val="15"/>
                <w:szCs w:val="15"/>
                <w:lang w:val="en-US"/>
              </w:rPr>
              <w:t>0.87)</w:t>
            </w:r>
          </w:p>
        </w:tc>
        <w:tc>
          <w:tcPr>
            <w:tcW w:w="0" w:type="auto"/>
            <w:vAlign w:val="center"/>
            <w:hideMark/>
          </w:tcPr>
          <w:p w14:paraId="259C3F77" w14:textId="6691E700" w:rsidR="003B2A10" w:rsidRPr="00DD0828" w:rsidRDefault="003B2A10" w:rsidP="0093197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w:t>
            </w:r>
            <w:r w:rsidR="00C709A3">
              <w:rPr>
                <w:rFonts w:ascii="Times New Roman" w:hAnsi="Times New Roman" w:cs="Times New Roman" w:hint="eastAsia"/>
                <w:color w:val="000000" w:themeColor="text1"/>
                <w:sz w:val="15"/>
                <w:szCs w:val="15"/>
                <w:lang w:val="en-US"/>
              </w:rPr>
              <w:t>73</w:t>
            </w:r>
          </w:p>
        </w:tc>
        <w:tc>
          <w:tcPr>
            <w:tcW w:w="0" w:type="auto"/>
            <w:vAlign w:val="center"/>
            <w:hideMark/>
          </w:tcPr>
          <w:p w14:paraId="763B89E6" w14:textId="7A8E05D1" w:rsidR="003B2A10" w:rsidRPr="00DD0828" w:rsidRDefault="003B2A10" w:rsidP="0093197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5"/>
                <w:szCs w:val="15"/>
                <w:lang w:val="en-US"/>
              </w:rPr>
            </w:pPr>
            <w:r w:rsidRPr="00DD0828">
              <w:rPr>
                <w:rFonts w:ascii="Times New Roman" w:hAnsi="Times New Roman" w:cs="Times New Roman"/>
                <w:color w:val="000000" w:themeColor="text1"/>
                <w:sz w:val="15"/>
                <w:szCs w:val="15"/>
                <w:lang w:val="en-US"/>
              </w:rPr>
              <w:t>0.</w:t>
            </w:r>
            <w:r w:rsidR="00C709A3">
              <w:rPr>
                <w:rFonts w:ascii="Times New Roman" w:hAnsi="Times New Roman" w:cs="Times New Roman" w:hint="eastAsia"/>
                <w:color w:val="000000" w:themeColor="text1"/>
                <w:sz w:val="15"/>
                <w:szCs w:val="15"/>
                <w:lang w:val="en-US"/>
              </w:rPr>
              <w:t>68</w:t>
            </w:r>
          </w:p>
        </w:tc>
      </w:tr>
    </w:tbl>
    <w:p w14:paraId="19772C89" w14:textId="6D91CB9D" w:rsidR="003B2A10" w:rsidRPr="00DD0828" w:rsidRDefault="004127CE" w:rsidP="004127CE">
      <w:pPr>
        <w:snapToGrid w:val="0"/>
        <w:spacing w:line="180" w:lineRule="atLeast"/>
        <w:rPr>
          <w:rFonts w:ascii="Times New Roman" w:hAnsi="Times New Roman" w:cs="Times New Roman"/>
          <w:color w:val="000000" w:themeColor="text1"/>
          <w:sz w:val="15"/>
          <w:szCs w:val="15"/>
          <w:lang w:val="en-US"/>
        </w:rPr>
      </w:pPr>
      <w:r w:rsidRPr="004127CE">
        <w:rPr>
          <w:rFonts w:ascii="Times New Roman" w:hAnsi="Times New Roman" w:cs="Times New Roman"/>
          <w:color w:val="000000" w:themeColor="text1"/>
          <w:sz w:val="15"/>
          <w:szCs w:val="15"/>
          <w:lang w:val="en-US"/>
        </w:rPr>
        <w:t>When evaluated separately, the Stable Feature–XGBoost model demonstrated discriminatory performance in both the Duke and I-SPY1 cohorts. The relatively wide confidence intervals likely reflected the limited numbers of responders in the individual cohorts; therefore, the subgroup estimates should be interpreted cautiously. The pooled external imaging-validation cohort provided a more precise overall performance estimate.</w:t>
      </w:r>
    </w:p>
    <w:sectPr w:rsidR="003B2A10" w:rsidRPr="00DD0828" w:rsidSect="006773F4">
      <w:footerReference w:type="default" r:id="rId1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539C8" w14:textId="77777777" w:rsidR="00297C09" w:rsidRDefault="00297C09" w:rsidP="007A6777">
      <w:pPr>
        <w:rPr>
          <w:rFonts w:hint="eastAsia"/>
        </w:rPr>
      </w:pPr>
      <w:r>
        <w:separator/>
      </w:r>
    </w:p>
  </w:endnote>
  <w:endnote w:type="continuationSeparator" w:id="0">
    <w:p w14:paraId="7209ABE7" w14:textId="77777777" w:rsidR="00297C09" w:rsidRDefault="00297C09" w:rsidP="007A67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476588"/>
      <w:docPartObj>
        <w:docPartGallery w:val="Page Numbers (Bottom of Page)"/>
        <w:docPartUnique/>
      </w:docPartObj>
    </w:sdtPr>
    <w:sdtContent>
      <w:p w14:paraId="65417778" w14:textId="3A5B17C3" w:rsidR="006773F4" w:rsidRDefault="006773F4">
        <w:pPr>
          <w:pStyle w:val="af"/>
          <w:jc w:val="center"/>
          <w:rPr>
            <w:rFonts w:hint="eastAsia"/>
          </w:rPr>
        </w:pPr>
        <w:r>
          <w:fldChar w:fldCharType="begin"/>
        </w:r>
        <w:r>
          <w:instrText>PAGE   \* MERGEFORMAT</w:instrText>
        </w:r>
        <w:r>
          <w:fldChar w:fldCharType="separate"/>
        </w:r>
        <w:r>
          <w:rPr>
            <w:lang w:val="zh-CN"/>
          </w:rPr>
          <w:t>2</w:t>
        </w:r>
        <w:r>
          <w:fldChar w:fldCharType="end"/>
        </w:r>
      </w:p>
    </w:sdtContent>
  </w:sdt>
  <w:p w14:paraId="51E32CFB" w14:textId="77777777" w:rsidR="006773F4" w:rsidRDefault="006773F4">
    <w:pPr>
      <w:pStyle w:val="af"/>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30A1" w14:textId="77777777" w:rsidR="00297C09" w:rsidRDefault="00297C09" w:rsidP="007A6777">
      <w:pPr>
        <w:rPr>
          <w:rFonts w:hint="eastAsia"/>
        </w:rPr>
      </w:pPr>
      <w:r>
        <w:separator/>
      </w:r>
    </w:p>
  </w:footnote>
  <w:footnote w:type="continuationSeparator" w:id="0">
    <w:p w14:paraId="0C696377" w14:textId="77777777" w:rsidR="00297C09" w:rsidRDefault="00297C09" w:rsidP="007A677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147"/>
    <w:multiLevelType w:val="hybridMultilevel"/>
    <w:tmpl w:val="032AD77E"/>
    <w:lvl w:ilvl="0" w:tplc="94FAB96C">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137F17AF"/>
    <w:multiLevelType w:val="hybridMultilevel"/>
    <w:tmpl w:val="A3CAE444"/>
    <w:lvl w:ilvl="0" w:tplc="AC9AFD9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3216713"/>
    <w:multiLevelType w:val="multilevel"/>
    <w:tmpl w:val="2B501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2A4665"/>
    <w:multiLevelType w:val="hybridMultilevel"/>
    <w:tmpl w:val="9FE2214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61D5AD6"/>
    <w:multiLevelType w:val="hybridMultilevel"/>
    <w:tmpl w:val="BB02EBBA"/>
    <w:lvl w:ilvl="0" w:tplc="FFFFFFFF">
      <w:start w:val="1"/>
      <w:numFmt w:val="decimal"/>
      <w:lvlText w:val="(%1)"/>
      <w:lvlJc w:val="left"/>
      <w:pPr>
        <w:ind w:left="440" w:hanging="440"/>
      </w:pPr>
      <w:rPr>
        <w:rFonts w:ascii="Times New Roman" w:eastAsiaTheme="minorEastAsia" w:hAnsi="Times New Roman" w:cs="Times New Roman"/>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27077587"/>
    <w:multiLevelType w:val="hybridMultilevel"/>
    <w:tmpl w:val="1DE425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2D00158A"/>
    <w:multiLevelType w:val="hybridMultilevel"/>
    <w:tmpl w:val="2A78846C"/>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2E871C5D"/>
    <w:multiLevelType w:val="hybridMultilevel"/>
    <w:tmpl w:val="BC5C8A98"/>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307C4D87"/>
    <w:multiLevelType w:val="hybridMultilevel"/>
    <w:tmpl w:val="699E381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1F1319A"/>
    <w:multiLevelType w:val="multilevel"/>
    <w:tmpl w:val="33CC8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D94236"/>
    <w:multiLevelType w:val="hybridMultilevel"/>
    <w:tmpl w:val="8D6863DA"/>
    <w:lvl w:ilvl="0" w:tplc="94FAB96C">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3E0D3920"/>
    <w:multiLevelType w:val="multilevel"/>
    <w:tmpl w:val="5FA83B9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E17369A"/>
    <w:multiLevelType w:val="hybridMultilevel"/>
    <w:tmpl w:val="F480682A"/>
    <w:lvl w:ilvl="0" w:tplc="B1AEDA8E">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21969D1"/>
    <w:multiLevelType w:val="hybridMultilevel"/>
    <w:tmpl w:val="9B602F0A"/>
    <w:lvl w:ilvl="0" w:tplc="94FAB96C">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43B54B64"/>
    <w:multiLevelType w:val="hybridMultilevel"/>
    <w:tmpl w:val="EF008E7A"/>
    <w:lvl w:ilvl="0" w:tplc="77BCC87C">
      <w:start w:val="1"/>
      <w:numFmt w:val="decimal"/>
      <w:lvlText w:val="%1."/>
      <w:lvlJc w:val="left"/>
      <w:pPr>
        <w:ind w:left="440" w:hanging="440"/>
      </w:pPr>
      <w:rPr>
        <w:rFonts w:ascii="Times New Roman" w:eastAsiaTheme="minorEastAsia" w:hAnsi="Times New Roman" w:cs="Times New Roman"/>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5" w15:restartNumberingAfterBreak="0">
    <w:nsid w:val="44B80860"/>
    <w:multiLevelType w:val="hybridMultilevel"/>
    <w:tmpl w:val="4928D2D4"/>
    <w:lvl w:ilvl="0" w:tplc="0A5CD9A6">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66BB6560"/>
    <w:multiLevelType w:val="multilevel"/>
    <w:tmpl w:val="BC54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A55E49"/>
    <w:multiLevelType w:val="hybridMultilevel"/>
    <w:tmpl w:val="7390E3F6"/>
    <w:lvl w:ilvl="0" w:tplc="E662C43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DD0028B"/>
    <w:multiLevelType w:val="hybridMultilevel"/>
    <w:tmpl w:val="6806343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93670921">
    <w:abstractNumId w:val="18"/>
  </w:num>
  <w:num w:numId="2" w16cid:durableId="776564603">
    <w:abstractNumId w:val="3"/>
  </w:num>
  <w:num w:numId="3" w16cid:durableId="542837657">
    <w:abstractNumId w:val="8"/>
  </w:num>
  <w:num w:numId="4" w16cid:durableId="1913618426">
    <w:abstractNumId w:val="6"/>
  </w:num>
  <w:num w:numId="5" w16cid:durableId="1975138356">
    <w:abstractNumId w:val="14"/>
  </w:num>
  <w:num w:numId="6" w16cid:durableId="11417606">
    <w:abstractNumId w:val="4"/>
  </w:num>
  <w:num w:numId="7" w16cid:durableId="1620145291">
    <w:abstractNumId w:val="12"/>
  </w:num>
  <w:num w:numId="8" w16cid:durableId="512502148">
    <w:abstractNumId w:val="17"/>
  </w:num>
  <w:num w:numId="9" w16cid:durableId="1909341243">
    <w:abstractNumId w:val="1"/>
  </w:num>
  <w:num w:numId="10" w16cid:durableId="735251399">
    <w:abstractNumId w:val="15"/>
  </w:num>
  <w:num w:numId="11" w16cid:durableId="196427855">
    <w:abstractNumId w:val="5"/>
  </w:num>
  <w:num w:numId="12" w16cid:durableId="523179326">
    <w:abstractNumId w:val="7"/>
  </w:num>
  <w:num w:numId="13" w16cid:durableId="490412898">
    <w:abstractNumId w:val="13"/>
  </w:num>
  <w:num w:numId="14" w16cid:durableId="781387410">
    <w:abstractNumId w:val="10"/>
  </w:num>
  <w:num w:numId="15" w16cid:durableId="2058624058">
    <w:abstractNumId w:val="0"/>
  </w:num>
  <w:num w:numId="16" w16cid:durableId="1980374427">
    <w:abstractNumId w:val="2"/>
  </w:num>
  <w:num w:numId="17" w16cid:durableId="767458938">
    <w:abstractNumId w:val="11"/>
  </w:num>
  <w:num w:numId="18" w16cid:durableId="2132049879">
    <w:abstractNumId w:val="16"/>
  </w:num>
  <w:num w:numId="19" w16cid:durableId="8763526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CD"/>
    <w:rsid w:val="0000082B"/>
    <w:rsid w:val="00005A2C"/>
    <w:rsid w:val="00010029"/>
    <w:rsid w:val="00022F01"/>
    <w:rsid w:val="000230F0"/>
    <w:rsid w:val="000323B1"/>
    <w:rsid w:val="00033836"/>
    <w:rsid w:val="00034323"/>
    <w:rsid w:val="00037256"/>
    <w:rsid w:val="0004067E"/>
    <w:rsid w:val="00041508"/>
    <w:rsid w:val="00042AAE"/>
    <w:rsid w:val="0004541E"/>
    <w:rsid w:val="00045611"/>
    <w:rsid w:val="000459E5"/>
    <w:rsid w:val="00045F93"/>
    <w:rsid w:val="000508E5"/>
    <w:rsid w:val="00056DA6"/>
    <w:rsid w:val="00057631"/>
    <w:rsid w:val="00066636"/>
    <w:rsid w:val="000702E2"/>
    <w:rsid w:val="00071636"/>
    <w:rsid w:val="0008728C"/>
    <w:rsid w:val="00092062"/>
    <w:rsid w:val="000920CB"/>
    <w:rsid w:val="000954E6"/>
    <w:rsid w:val="0009612C"/>
    <w:rsid w:val="0009785C"/>
    <w:rsid w:val="00097971"/>
    <w:rsid w:val="000A4282"/>
    <w:rsid w:val="000A4786"/>
    <w:rsid w:val="000A563E"/>
    <w:rsid w:val="000A6375"/>
    <w:rsid w:val="000B3735"/>
    <w:rsid w:val="000B3F13"/>
    <w:rsid w:val="000B5434"/>
    <w:rsid w:val="000C4F7F"/>
    <w:rsid w:val="000C6F9F"/>
    <w:rsid w:val="000D4393"/>
    <w:rsid w:val="000D4422"/>
    <w:rsid w:val="000D6F74"/>
    <w:rsid w:val="000D787F"/>
    <w:rsid w:val="000F48D8"/>
    <w:rsid w:val="000F6F11"/>
    <w:rsid w:val="00106648"/>
    <w:rsid w:val="001112B8"/>
    <w:rsid w:val="00111F95"/>
    <w:rsid w:val="0011215B"/>
    <w:rsid w:val="0011261A"/>
    <w:rsid w:val="00113760"/>
    <w:rsid w:val="00113BC2"/>
    <w:rsid w:val="001147D9"/>
    <w:rsid w:val="00121834"/>
    <w:rsid w:val="001320AF"/>
    <w:rsid w:val="001353F0"/>
    <w:rsid w:val="00135B8B"/>
    <w:rsid w:val="00136478"/>
    <w:rsid w:val="001366CE"/>
    <w:rsid w:val="0014058A"/>
    <w:rsid w:val="00145207"/>
    <w:rsid w:val="0014753B"/>
    <w:rsid w:val="00150D44"/>
    <w:rsid w:val="001511ED"/>
    <w:rsid w:val="00152A91"/>
    <w:rsid w:val="00154150"/>
    <w:rsid w:val="00154353"/>
    <w:rsid w:val="00157D20"/>
    <w:rsid w:val="00157FDA"/>
    <w:rsid w:val="001636EC"/>
    <w:rsid w:val="00165EFB"/>
    <w:rsid w:val="00174ED5"/>
    <w:rsid w:val="00176948"/>
    <w:rsid w:val="00176C1C"/>
    <w:rsid w:val="001842B4"/>
    <w:rsid w:val="0018731B"/>
    <w:rsid w:val="00190D18"/>
    <w:rsid w:val="0019110A"/>
    <w:rsid w:val="00191769"/>
    <w:rsid w:val="00192AAC"/>
    <w:rsid w:val="001A314F"/>
    <w:rsid w:val="001A37D7"/>
    <w:rsid w:val="001A425C"/>
    <w:rsid w:val="001A5FD8"/>
    <w:rsid w:val="001A7744"/>
    <w:rsid w:val="001A7D5B"/>
    <w:rsid w:val="001B18EB"/>
    <w:rsid w:val="001B293C"/>
    <w:rsid w:val="001B3D7F"/>
    <w:rsid w:val="001C0615"/>
    <w:rsid w:val="001C1592"/>
    <w:rsid w:val="001C5B6C"/>
    <w:rsid w:val="001D3CB1"/>
    <w:rsid w:val="001D7811"/>
    <w:rsid w:val="001E185C"/>
    <w:rsid w:val="001E76DE"/>
    <w:rsid w:val="001F2D23"/>
    <w:rsid w:val="001F577A"/>
    <w:rsid w:val="001F7760"/>
    <w:rsid w:val="00204CDE"/>
    <w:rsid w:val="0021569A"/>
    <w:rsid w:val="00220299"/>
    <w:rsid w:val="002266B8"/>
    <w:rsid w:val="002279DA"/>
    <w:rsid w:val="00233568"/>
    <w:rsid w:val="00240314"/>
    <w:rsid w:val="00246917"/>
    <w:rsid w:val="00246EFF"/>
    <w:rsid w:val="00252654"/>
    <w:rsid w:val="00252B46"/>
    <w:rsid w:val="00253390"/>
    <w:rsid w:val="00263C73"/>
    <w:rsid w:val="00273AE1"/>
    <w:rsid w:val="00280792"/>
    <w:rsid w:val="00286B71"/>
    <w:rsid w:val="002902F0"/>
    <w:rsid w:val="002972D7"/>
    <w:rsid w:val="00297C09"/>
    <w:rsid w:val="002A4E51"/>
    <w:rsid w:val="002A6BB7"/>
    <w:rsid w:val="002B665B"/>
    <w:rsid w:val="002B76EE"/>
    <w:rsid w:val="002C209A"/>
    <w:rsid w:val="002C232D"/>
    <w:rsid w:val="002D030F"/>
    <w:rsid w:val="002D1DD2"/>
    <w:rsid w:val="002D4215"/>
    <w:rsid w:val="002D61E9"/>
    <w:rsid w:val="002D62A9"/>
    <w:rsid w:val="002D7674"/>
    <w:rsid w:val="002E05B7"/>
    <w:rsid w:val="002E47B0"/>
    <w:rsid w:val="002F1B03"/>
    <w:rsid w:val="002F1BAA"/>
    <w:rsid w:val="002F412B"/>
    <w:rsid w:val="00301117"/>
    <w:rsid w:val="00307CEB"/>
    <w:rsid w:val="0031668D"/>
    <w:rsid w:val="00321CE8"/>
    <w:rsid w:val="00335F72"/>
    <w:rsid w:val="003514E1"/>
    <w:rsid w:val="003530F9"/>
    <w:rsid w:val="00353B0E"/>
    <w:rsid w:val="00353D6E"/>
    <w:rsid w:val="003648DC"/>
    <w:rsid w:val="00376204"/>
    <w:rsid w:val="0037623B"/>
    <w:rsid w:val="00382AB6"/>
    <w:rsid w:val="003840CD"/>
    <w:rsid w:val="00387CA2"/>
    <w:rsid w:val="0039095E"/>
    <w:rsid w:val="0039270F"/>
    <w:rsid w:val="003939D1"/>
    <w:rsid w:val="003965E2"/>
    <w:rsid w:val="0039713C"/>
    <w:rsid w:val="003974DF"/>
    <w:rsid w:val="003A3B4A"/>
    <w:rsid w:val="003A7E57"/>
    <w:rsid w:val="003B2651"/>
    <w:rsid w:val="003B2A10"/>
    <w:rsid w:val="003B4270"/>
    <w:rsid w:val="003B4E93"/>
    <w:rsid w:val="003C05C7"/>
    <w:rsid w:val="003C4839"/>
    <w:rsid w:val="003C66F6"/>
    <w:rsid w:val="003D07C1"/>
    <w:rsid w:val="003D12B6"/>
    <w:rsid w:val="003D2910"/>
    <w:rsid w:val="003D4233"/>
    <w:rsid w:val="003D533E"/>
    <w:rsid w:val="003D6E18"/>
    <w:rsid w:val="003E07D5"/>
    <w:rsid w:val="003F23C5"/>
    <w:rsid w:val="003F720F"/>
    <w:rsid w:val="004011B3"/>
    <w:rsid w:val="00401D13"/>
    <w:rsid w:val="004054F2"/>
    <w:rsid w:val="004056DE"/>
    <w:rsid w:val="00406C75"/>
    <w:rsid w:val="004127CE"/>
    <w:rsid w:val="004127E6"/>
    <w:rsid w:val="00413D48"/>
    <w:rsid w:val="00454BB7"/>
    <w:rsid w:val="00457890"/>
    <w:rsid w:val="00461C8E"/>
    <w:rsid w:val="00462F26"/>
    <w:rsid w:val="00465981"/>
    <w:rsid w:val="0047728B"/>
    <w:rsid w:val="00477861"/>
    <w:rsid w:val="00491DB2"/>
    <w:rsid w:val="00493A9C"/>
    <w:rsid w:val="004959CF"/>
    <w:rsid w:val="004B251B"/>
    <w:rsid w:val="004C593F"/>
    <w:rsid w:val="004D555A"/>
    <w:rsid w:val="004D5AAA"/>
    <w:rsid w:val="004E28CF"/>
    <w:rsid w:val="004E539A"/>
    <w:rsid w:val="004E7B87"/>
    <w:rsid w:val="00502BC3"/>
    <w:rsid w:val="005120D8"/>
    <w:rsid w:val="00515B48"/>
    <w:rsid w:val="00523837"/>
    <w:rsid w:val="00525DD9"/>
    <w:rsid w:val="00544F7C"/>
    <w:rsid w:val="005502E8"/>
    <w:rsid w:val="00554D2B"/>
    <w:rsid w:val="00567EF1"/>
    <w:rsid w:val="005725C8"/>
    <w:rsid w:val="0057330A"/>
    <w:rsid w:val="00581059"/>
    <w:rsid w:val="00582669"/>
    <w:rsid w:val="00586EE9"/>
    <w:rsid w:val="00596AC4"/>
    <w:rsid w:val="005A5738"/>
    <w:rsid w:val="005A7B38"/>
    <w:rsid w:val="005B2361"/>
    <w:rsid w:val="005B3972"/>
    <w:rsid w:val="005B42D4"/>
    <w:rsid w:val="005C1E1F"/>
    <w:rsid w:val="005C20FB"/>
    <w:rsid w:val="005C4DE1"/>
    <w:rsid w:val="005D0EDB"/>
    <w:rsid w:val="005D478A"/>
    <w:rsid w:val="005E3C7E"/>
    <w:rsid w:val="005E5B65"/>
    <w:rsid w:val="005E7504"/>
    <w:rsid w:val="005E7A50"/>
    <w:rsid w:val="005F5151"/>
    <w:rsid w:val="00600300"/>
    <w:rsid w:val="0060295C"/>
    <w:rsid w:val="00606277"/>
    <w:rsid w:val="0060653F"/>
    <w:rsid w:val="006105A7"/>
    <w:rsid w:val="0061232F"/>
    <w:rsid w:val="00621566"/>
    <w:rsid w:val="00623A3D"/>
    <w:rsid w:val="00637A7F"/>
    <w:rsid w:val="00643625"/>
    <w:rsid w:val="00654B88"/>
    <w:rsid w:val="006773F4"/>
    <w:rsid w:val="00682BED"/>
    <w:rsid w:val="00683485"/>
    <w:rsid w:val="006841FD"/>
    <w:rsid w:val="00686B40"/>
    <w:rsid w:val="00691EED"/>
    <w:rsid w:val="006A38BE"/>
    <w:rsid w:val="006B0529"/>
    <w:rsid w:val="006B1761"/>
    <w:rsid w:val="006B74CC"/>
    <w:rsid w:val="006D2576"/>
    <w:rsid w:val="006E3805"/>
    <w:rsid w:val="006E4C8F"/>
    <w:rsid w:val="006E4E77"/>
    <w:rsid w:val="006E72A8"/>
    <w:rsid w:val="006F5E4C"/>
    <w:rsid w:val="00714C30"/>
    <w:rsid w:val="00714CA7"/>
    <w:rsid w:val="0071607D"/>
    <w:rsid w:val="0072160A"/>
    <w:rsid w:val="0072251C"/>
    <w:rsid w:val="00726293"/>
    <w:rsid w:val="00737F6D"/>
    <w:rsid w:val="0074521A"/>
    <w:rsid w:val="0075155D"/>
    <w:rsid w:val="00754BC6"/>
    <w:rsid w:val="00761321"/>
    <w:rsid w:val="0076665F"/>
    <w:rsid w:val="0077031D"/>
    <w:rsid w:val="00786573"/>
    <w:rsid w:val="00787F64"/>
    <w:rsid w:val="00792038"/>
    <w:rsid w:val="00796E2B"/>
    <w:rsid w:val="007A2649"/>
    <w:rsid w:val="007A6777"/>
    <w:rsid w:val="007A77AA"/>
    <w:rsid w:val="007B1027"/>
    <w:rsid w:val="007B69BE"/>
    <w:rsid w:val="007C2CB3"/>
    <w:rsid w:val="007C51FE"/>
    <w:rsid w:val="007C712E"/>
    <w:rsid w:val="007D0473"/>
    <w:rsid w:val="007D0E5E"/>
    <w:rsid w:val="007E3BF5"/>
    <w:rsid w:val="007E404E"/>
    <w:rsid w:val="007E5DEC"/>
    <w:rsid w:val="007F129A"/>
    <w:rsid w:val="007F144F"/>
    <w:rsid w:val="007F50A6"/>
    <w:rsid w:val="00800337"/>
    <w:rsid w:val="00805AFB"/>
    <w:rsid w:val="008115D1"/>
    <w:rsid w:val="008368DC"/>
    <w:rsid w:val="0083776B"/>
    <w:rsid w:val="00840DA9"/>
    <w:rsid w:val="0084373A"/>
    <w:rsid w:val="00844452"/>
    <w:rsid w:val="00846676"/>
    <w:rsid w:val="00857059"/>
    <w:rsid w:val="00861F90"/>
    <w:rsid w:val="00862CA4"/>
    <w:rsid w:val="00870959"/>
    <w:rsid w:val="008778FE"/>
    <w:rsid w:val="00885331"/>
    <w:rsid w:val="0089237B"/>
    <w:rsid w:val="0089314F"/>
    <w:rsid w:val="008A5B99"/>
    <w:rsid w:val="008A64EF"/>
    <w:rsid w:val="008B74B5"/>
    <w:rsid w:val="008C0577"/>
    <w:rsid w:val="008C3D03"/>
    <w:rsid w:val="008C56CF"/>
    <w:rsid w:val="008D04D2"/>
    <w:rsid w:val="008D22B3"/>
    <w:rsid w:val="008D2F42"/>
    <w:rsid w:val="008D7003"/>
    <w:rsid w:val="008E7EEF"/>
    <w:rsid w:val="008F06C4"/>
    <w:rsid w:val="008F3BBC"/>
    <w:rsid w:val="008F4951"/>
    <w:rsid w:val="009016B2"/>
    <w:rsid w:val="00903424"/>
    <w:rsid w:val="00906F9E"/>
    <w:rsid w:val="009072B4"/>
    <w:rsid w:val="00920C07"/>
    <w:rsid w:val="009259D5"/>
    <w:rsid w:val="009269E9"/>
    <w:rsid w:val="00926B16"/>
    <w:rsid w:val="00931970"/>
    <w:rsid w:val="00936057"/>
    <w:rsid w:val="0094382A"/>
    <w:rsid w:val="00955FFD"/>
    <w:rsid w:val="0096311C"/>
    <w:rsid w:val="009634D3"/>
    <w:rsid w:val="009639DB"/>
    <w:rsid w:val="00965E5E"/>
    <w:rsid w:val="0097088F"/>
    <w:rsid w:val="00974F79"/>
    <w:rsid w:val="00975842"/>
    <w:rsid w:val="00977E3A"/>
    <w:rsid w:val="009824AC"/>
    <w:rsid w:val="00985B20"/>
    <w:rsid w:val="00986EF2"/>
    <w:rsid w:val="0099013C"/>
    <w:rsid w:val="00993790"/>
    <w:rsid w:val="00996784"/>
    <w:rsid w:val="009A1A3D"/>
    <w:rsid w:val="009A31B4"/>
    <w:rsid w:val="009A6C45"/>
    <w:rsid w:val="009B05B4"/>
    <w:rsid w:val="009B0EBC"/>
    <w:rsid w:val="009B13DF"/>
    <w:rsid w:val="009B2A18"/>
    <w:rsid w:val="009B34BE"/>
    <w:rsid w:val="009B3764"/>
    <w:rsid w:val="009B55AF"/>
    <w:rsid w:val="009C0EA9"/>
    <w:rsid w:val="009C19C5"/>
    <w:rsid w:val="009C503B"/>
    <w:rsid w:val="009C52BD"/>
    <w:rsid w:val="009C619B"/>
    <w:rsid w:val="009C7985"/>
    <w:rsid w:val="009C7AD4"/>
    <w:rsid w:val="009D05A2"/>
    <w:rsid w:val="009D79E6"/>
    <w:rsid w:val="009E274A"/>
    <w:rsid w:val="009F0BC6"/>
    <w:rsid w:val="009F1E43"/>
    <w:rsid w:val="009F6D80"/>
    <w:rsid w:val="00A1346E"/>
    <w:rsid w:val="00A14639"/>
    <w:rsid w:val="00A274CE"/>
    <w:rsid w:val="00A40C34"/>
    <w:rsid w:val="00A510A5"/>
    <w:rsid w:val="00A510F9"/>
    <w:rsid w:val="00A5138E"/>
    <w:rsid w:val="00A54C34"/>
    <w:rsid w:val="00A54F5F"/>
    <w:rsid w:val="00A626C4"/>
    <w:rsid w:val="00A71C80"/>
    <w:rsid w:val="00A730B0"/>
    <w:rsid w:val="00A77DDF"/>
    <w:rsid w:val="00A8221C"/>
    <w:rsid w:val="00A82AD8"/>
    <w:rsid w:val="00A92F73"/>
    <w:rsid w:val="00A930A5"/>
    <w:rsid w:val="00AA179A"/>
    <w:rsid w:val="00AA2877"/>
    <w:rsid w:val="00AA336F"/>
    <w:rsid w:val="00AA4168"/>
    <w:rsid w:val="00AB0FD2"/>
    <w:rsid w:val="00AC6791"/>
    <w:rsid w:val="00AD33D1"/>
    <w:rsid w:val="00AD6E39"/>
    <w:rsid w:val="00AE2467"/>
    <w:rsid w:val="00AE28CE"/>
    <w:rsid w:val="00AF0CC2"/>
    <w:rsid w:val="00AF1EFD"/>
    <w:rsid w:val="00B00494"/>
    <w:rsid w:val="00B01211"/>
    <w:rsid w:val="00B0477B"/>
    <w:rsid w:val="00B07C9B"/>
    <w:rsid w:val="00B26625"/>
    <w:rsid w:val="00B269E6"/>
    <w:rsid w:val="00B349A5"/>
    <w:rsid w:val="00B40560"/>
    <w:rsid w:val="00B41BBC"/>
    <w:rsid w:val="00B4298F"/>
    <w:rsid w:val="00B4299E"/>
    <w:rsid w:val="00B55D8C"/>
    <w:rsid w:val="00B66B49"/>
    <w:rsid w:val="00B73198"/>
    <w:rsid w:val="00B73AB4"/>
    <w:rsid w:val="00B770FF"/>
    <w:rsid w:val="00B83919"/>
    <w:rsid w:val="00B83B2F"/>
    <w:rsid w:val="00B847DD"/>
    <w:rsid w:val="00B85E3F"/>
    <w:rsid w:val="00B87A44"/>
    <w:rsid w:val="00BA029D"/>
    <w:rsid w:val="00BA4EA1"/>
    <w:rsid w:val="00BA58B1"/>
    <w:rsid w:val="00BB0F19"/>
    <w:rsid w:val="00BB2152"/>
    <w:rsid w:val="00BC1E6D"/>
    <w:rsid w:val="00BC3460"/>
    <w:rsid w:val="00BC4833"/>
    <w:rsid w:val="00BC4B06"/>
    <w:rsid w:val="00BD6D7A"/>
    <w:rsid w:val="00BE0257"/>
    <w:rsid w:val="00BE2644"/>
    <w:rsid w:val="00BE2DB0"/>
    <w:rsid w:val="00BE59C2"/>
    <w:rsid w:val="00BF0F64"/>
    <w:rsid w:val="00BF51D8"/>
    <w:rsid w:val="00BF547B"/>
    <w:rsid w:val="00C03C21"/>
    <w:rsid w:val="00C051F0"/>
    <w:rsid w:val="00C06A0D"/>
    <w:rsid w:val="00C0725F"/>
    <w:rsid w:val="00C11BA3"/>
    <w:rsid w:val="00C129C7"/>
    <w:rsid w:val="00C14544"/>
    <w:rsid w:val="00C16197"/>
    <w:rsid w:val="00C17983"/>
    <w:rsid w:val="00C2368B"/>
    <w:rsid w:val="00C262B7"/>
    <w:rsid w:val="00C32385"/>
    <w:rsid w:val="00C37286"/>
    <w:rsid w:val="00C40475"/>
    <w:rsid w:val="00C4646F"/>
    <w:rsid w:val="00C52D15"/>
    <w:rsid w:val="00C56401"/>
    <w:rsid w:val="00C56985"/>
    <w:rsid w:val="00C603D4"/>
    <w:rsid w:val="00C67002"/>
    <w:rsid w:val="00C709A3"/>
    <w:rsid w:val="00C70AA4"/>
    <w:rsid w:val="00C7324D"/>
    <w:rsid w:val="00C76340"/>
    <w:rsid w:val="00C84820"/>
    <w:rsid w:val="00C86892"/>
    <w:rsid w:val="00C90CA8"/>
    <w:rsid w:val="00C9281F"/>
    <w:rsid w:val="00C95708"/>
    <w:rsid w:val="00C96E3A"/>
    <w:rsid w:val="00C97921"/>
    <w:rsid w:val="00CA02CE"/>
    <w:rsid w:val="00CA056A"/>
    <w:rsid w:val="00CA1B2C"/>
    <w:rsid w:val="00CA7187"/>
    <w:rsid w:val="00CB5371"/>
    <w:rsid w:val="00CC569F"/>
    <w:rsid w:val="00CD0FCB"/>
    <w:rsid w:val="00CD2A11"/>
    <w:rsid w:val="00CD6EF5"/>
    <w:rsid w:val="00CE43C3"/>
    <w:rsid w:val="00CF00F2"/>
    <w:rsid w:val="00CF043F"/>
    <w:rsid w:val="00CF284A"/>
    <w:rsid w:val="00CF3AD2"/>
    <w:rsid w:val="00CF66F3"/>
    <w:rsid w:val="00CF6C76"/>
    <w:rsid w:val="00D04608"/>
    <w:rsid w:val="00D23249"/>
    <w:rsid w:val="00D37A3D"/>
    <w:rsid w:val="00D41241"/>
    <w:rsid w:val="00D44F7C"/>
    <w:rsid w:val="00D52D1B"/>
    <w:rsid w:val="00D55850"/>
    <w:rsid w:val="00D565FE"/>
    <w:rsid w:val="00D56719"/>
    <w:rsid w:val="00D5718C"/>
    <w:rsid w:val="00D65162"/>
    <w:rsid w:val="00D778BC"/>
    <w:rsid w:val="00D82368"/>
    <w:rsid w:val="00D8353B"/>
    <w:rsid w:val="00D92FC3"/>
    <w:rsid w:val="00D96E80"/>
    <w:rsid w:val="00D974A9"/>
    <w:rsid w:val="00DA16F1"/>
    <w:rsid w:val="00DA433E"/>
    <w:rsid w:val="00DB703E"/>
    <w:rsid w:val="00DC5728"/>
    <w:rsid w:val="00DD0828"/>
    <w:rsid w:val="00DE43D5"/>
    <w:rsid w:val="00DF0237"/>
    <w:rsid w:val="00DF78DC"/>
    <w:rsid w:val="00DF7B7E"/>
    <w:rsid w:val="00E077A0"/>
    <w:rsid w:val="00E13A4D"/>
    <w:rsid w:val="00E154FA"/>
    <w:rsid w:val="00E15E51"/>
    <w:rsid w:val="00E27BEF"/>
    <w:rsid w:val="00E304BA"/>
    <w:rsid w:val="00E365B2"/>
    <w:rsid w:val="00E40F23"/>
    <w:rsid w:val="00E41174"/>
    <w:rsid w:val="00E4510B"/>
    <w:rsid w:val="00E5282A"/>
    <w:rsid w:val="00E5342D"/>
    <w:rsid w:val="00E6217C"/>
    <w:rsid w:val="00E64412"/>
    <w:rsid w:val="00E81180"/>
    <w:rsid w:val="00EA0206"/>
    <w:rsid w:val="00EA057F"/>
    <w:rsid w:val="00EA2119"/>
    <w:rsid w:val="00EB3F62"/>
    <w:rsid w:val="00EB4625"/>
    <w:rsid w:val="00EB49DD"/>
    <w:rsid w:val="00EB4DFA"/>
    <w:rsid w:val="00EC21D9"/>
    <w:rsid w:val="00EC3401"/>
    <w:rsid w:val="00ED0CD9"/>
    <w:rsid w:val="00EE4C6C"/>
    <w:rsid w:val="00EE6BA2"/>
    <w:rsid w:val="00EF098D"/>
    <w:rsid w:val="00EF5374"/>
    <w:rsid w:val="00EF63C6"/>
    <w:rsid w:val="00F102C1"/>
    <w:rsid w:val="00F12C3D"/>
    <w:rsid w:val="00F15872"/>
    <w:rsid w:val="00F16B65"/>
    <w:rsid w:val="00F21E2B"/>
    <w:rsid w:val="00F24827"/>
    <w:rsid w:val="00F27B43"/>
    <w:rsid w:val="00F34A3D"/>
    <w:rsid w:val="00F3531B"/>
    <w:rsid w:val="00F3648F"/>
    <w:rsid w:val="00F36783"/>
    <w:rsid w:val="00F40F7D"/>
    <w:rsid w:val="00F4420E"/>
    <w:rsid w:val="00F51183"/>
    <w:rsid w:val="00F523F1"/>
    <w:rsid w:val="00F53BC2"/>
    <w:rsid w:val="00F625E5"/>
    <w:rsid w:val="00F648ED"/>
    <w:rsid w:val="00F65D25"/>
    <w:rsid w:val="00F71435"/>
    <w:rsid w:val="00F72AAD"/>
    <w:rsid w:val="00F758B3"/>
    <w:rsid w:val="00F83235"/>
    <w:rsid w:val="00F850C0"/>
    <w:rsid w:val="00F86842"/>
    <w:rsid w:val="00F94972"/>
    <w:rsid w:val="00F94A2B"/>
    <w:rsid w:val="00FA19A9"/>
    <w:rsid w:val="00FA2370"/>
    <w:rsid w:val="00FA3381"/>
    <w:rsid w:val="00FB3717"/>
    <w:rsid w:val="00FB55D3"/>
    <w:rsid w:val="00FC7BB6"/>
    <w:rsid w:val="00FD1444"/>
    <w:rsid w:val="00FD75A5"/>
    <w:rsid w:val="00FE374F"/>
    <w:rsid w:val="00FF1613"/>
    <w:rsid w:val="00FF27F0"/>
    <w:rsid w:val="00FF2ED0"/>
    <w:rsid w:val="00FF335D"/>
    <w:rsid w:val="00FF4B03"/>
    <w:rsid w:val="00FF69DA"/>
    <w:rsid w:val="00FF6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EEBAB4"/>
  <w15:chartTrackingRefBased/>
  <w15:docId w15:val="{7E32C567-5EA1-4CEF-9EAE-E33E4B5F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719"/>
    <w:pPr>
      <w:widowControl w:val="0"/>
      <w:jc w:val="both"/>
    </w:pPr>
    <w:rPr>
      <w:lang w:val="en-GB"/>
    </w:rPr>
  </w:style>
  <w:style w:type="paragraph" w:styleId="1">
    <w:name w:val="heading 1"/>
    <w:basedOn w:val="a"/>
    <w:next w:val="a"/>
    <w:link w:val="10"/>
    <w:uiPriority w:val="9"/>
    <w:qFormat/>
    <w:rsid w:val="00D56719"/>
    <w:pPr>
      <w:keepNext/>
      <w:keepLines/>
      <w:spacing w:line="480" w:lineRule="auto"/>
      <w:outlineLvl w:val="0"/>
    </w:pPr>
    <w:rPr>
      <w:rFonts w:ascii="Times New Roman" w:eastAsia="Times New Roman" w:hAnsi="Times New Roman"/>
      <w:b/>
      <w:bCs/>
      <w:kern w:val="44"/>
      <w:sz w:val="24"/>
      <w:szCs w:val="44"/>
    </w:rPr>
  </w:style>
  <w:style w:type="paragraph" w:styleId="3">
    <w:name w:val="heading 3"/>
    <w:basedOn w:val="a"/>
    <w:next w:val="a"/>
    <w:link w:val="30"/>
    <w:uiPriority w:val="9"/>
    <w:semiHidden/>
    <w:unhideWhenUsed/>
    <w:qFormat/>
    <w:rsid w:val="00B87A4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56719"/>
    <w:rPr>
      <w:rFonts w:ascii="Times New Roman" w:eastAsia="Times New Roman" w:hAnsi="Times New Roman"/>
      <w:b/>
      <w:bCs/>
      <w:kern w:val="44"/>
      <w:sz w:val="24"/>
      <w:szCs w:val="44"/>
      <w:lang w:val="en-GB"/>
    </w:rPr>
  </w:style>
  <w:style w:type="character" w:styleId="a3">
    <w:name w:val="Hyperlink"/>
    <w:basedOn w:val="a0"/>
    <w:uiPriority w:val="99"/>
    <w:unhideWhenUsed/>
    <w:rsid w:val="00714CA7"/>
    <w:rPr>
      <w:color w:val="0563C1" w:themeColor="hyperlink"/>
      <w:u w:val="single"/>
    </w:rPr>
  </w:style>
  <w:style w:type="character" w:styleId="a4">
    <w:name w:val="Unresolved Mention"/>
    <w:basedOn w:val="a0"/>
    <w:uiPriority w:val="99"/>
    <w:semiHidden/>
    <w:unhideWhenUsed/>
    <w:rsid w:val="00714CA7"/>
    <w:rPr>
      <w:color w:val="605E5C"/>
      <w:shd w:val="clear" w:color="auto" w:fill="E1DFDD"/>
    </w:rPr>
  </w:style>
  <w:style w:type="paragraph" w:styleId="a5">
    <w:name w:val="List Paragraph"/>
    <w:basedOn w:val="a"/>
    <w:uiPriority w:val="34"/>
    <w:qFormat/>
    <w:rsid w:val="00406C75"/>
    <w:pPr>
      <w:ind w:firstLineChars="200" w:firstLine="420"/>
    </w:pPr>
  </w:style>
  <w:style w:type="table" w:styleId="a6">
    <w:name w:val="Table Grid"/>
    <w:basedOn w:val="a1"/>
    <w:uiPriority w:val="39"/>
    <w:rsid w:val="00EB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EB4625"/>
    <w:rPr>
      <w:sz w:val="21"/>
      <w:szCs w:val="21"/>
    </w:rPr>
  </w:style>
  <w:style w:type="paragraph" w:styleId="a8">
    <w:name w:val="annotation text"/>
    <w:basedOn w:val="a"/>
    <w:link w:val="a9"/>
    <w:uiPriority w:val="99"/>
    <w:semiHidden/>
    <w:unhideWhenUsed/>
    <w:rsid w:val="00EB4625"/>
    <w:pPr>
      <w:jc w:val="left"/>
    </w:pPr>
    <w:rPr>
      <w:lang w:val="en-US"/>
    </w:rPr>
  </w:style>
  <w:style w:type="character" w:customStyle="1" w:styleId="a9">
    <w:name w:val="批注文字 字符"/>
    <w:basedOn w:val="a0"/>
    <w:link w:val="a8"/>
    <w:uiPriority w:val="99"/>
    <w:semiHidden/>
    <w:rsid w:val="00EB4625"/>
  </w:style>
  <w:style w:type="paragraph" w:styleId="aa">
    <w:name w:val="annotation subject"/>
    <w:basedOn w:val="a8"/>
    <w:next w:val="a8"/>
    <w:link w:val="ab"/>
    <w:uiPriority w:val="99"/>
    <w:semiHidden/>
    <w:unhideWhenUsed/>
    <w:rsid w:val="00EB4625"/>
    <w:rPr>
      <w:b/>
      <w:bCs/>
    </w:rPr>
  </w:style>
  <w:style w:type="character" w:customStyle="1" w:styleId="ab">
    <w:name w:val="批注主题 字符"/>
    <w:basedOn w:val="a9"/>
    <w:link w:val="aa"/>
    <w:uiPriority w:val="99"/>
    <w:semiHidden/>
    <w:rsid w:val="00EB4625"/>
    <w:rPr>
      <w:b/>
      <w:bCs/>
    </w:rPr>
  </w:style>
  <w:style w:type="paragraph" w:styleId="ac">
    <w:name w:val="caption"/>
    <w:basedOn w:val="a"/>
    <w:next w:val="a"/>
    <w:uiPriority w:val="35"/>
    <w:unhideWhenUsed/>
    <w:qFormat/>
    <w:rsid w:val="00EB4625"/>
    <w:pPr>
      <w:widowControl/>
      <w:jc w:val="left"/>
    </w:pPr>
    <w:rPr>
      <w:rFonts w:asciiTheme="majorHAnsi" w:eastAsia="黑体" w:hAnsiTheme="majorHAnsi" w:cstheme="majorBidi"/>
      <w:kern w:val="0"/>
      <w:sz w:val="20"/>
      <w:szCs w:val="20"/>
      <w:lang w:val="en-US"/>
    </w:rPr>
  </w:style>
  <w:style w:type="paragraph" w:styleId="ad">
    <w:name w:val="header"/>
    <w:basedOn w:val="a"/>
    <w:link w:val="ae"/>
    <w:uiPriority w:val="99"/>
    <w:unhideWhenUsed/>
    <w:rsid w:val="007A6777"/>
    <w:pPr>
      <w:tabs>
        <w:tab w:val="center" w:pos="4153"/>
        <w:tab w:val="right" w:pos="8306"/>
      </w:tabs>
      <w:snapToGrid w:val="0"/>
      <w:jc w:val="center"/>
    </w:pPr>
    <w:rPr>
      <w:sz w:val="18"/>
      <w:szCs w:val="18"/>
    </w:rPr>
  </w:style>
  <w:style w:type="character" w:customStyle="1" w:styleId="ae">
    <w:name w:val="页眉 字符"/>
    <w:basedOn w:val="a0"/>
    <w:link w:val="ad"/>
    <w:uiPriority w:val="99"/>
    <w:rsid w:val="007A6777"/>
    <w:rPr>
      <w:sz w:val="18"/>
      <w:szCs w:val="18"/>
      <w:lang w:val="en-GB"/>
    </w:rPr>
  </w:style>
  <w:style w:type="paragraph" w:styleId="af">
    <w:name w:val="footer"/>
    <w:basedOn w:val="a"/>
    <w:link w:val="af0"/>
    <w:uiPriority w:val="99"/>
    <w:unhideWhenUsed/>
    <w:rsid w:val="007A6777"/>
    <w:pPr>
      <w:tabs>
        <w:tab w:val="center" w:pos="4153"/>
        <w:tab w:val="right" w:pos="8306"/>
      </w:tabs>
      <w:snapToGrid w:val="0"/>
      <w:jc w:val="left"/>
    </w:pPr>
    <w:rPr>
      <w:sz w:val="18"/>
      <w:szCs w:val="18"/>
    </w:rPr>
  </w:style>
  <w:style w:type="character" w:customStyle="1" w:styleId="af0">
    <w:name w:val="页脚 字符"/>
    <w:basedOn w:val="a0"/>
    <w:link w:val="af"/>
    <w:uiPriority w:val="99"/>
    <w:rsid w:val="007A6777"/>
    <w:rPr>
      <w:sz w:val="18"/>
      <w:szCs w:val="18"/>
      <w:lang w:val="en-GB"/>
    </w:rPr>
  </w:style>
  <w:style w:type="character" w:styleId="af1">
    <w:name w:val="line number"/>
    <w:basedOn w:val="a0"/>
    <w:uiPriority w:val="99"/>
    <w:semiHidden/>
    <w:unhideWhenUsed/>
    <w:rsid w:val="006773F4"/>
  </w:style>
  <w:style w:type="table" w:styleId="2">
    <w:name w:val="Plain Table 2"/>
    <w:basedOn w:val="a1"/>
    <w:uiPriority w:val="42"/>
    <w:rsid w:val="00C52D1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0">
    <w:name w:val="标题 3 字符"/>
    <w:basedOn w:val="a0"/>
    <w:link w:val="3"/>
    <w:uiPriority w:val="9"/>
    <w:semiHidden/>
    <w:rsid w:val="00B87A44"/>
    <w:rPr>
      <w:b/>
      <w:bCs/>
      <w:sz w:val="32"/>
      <w:szCs w:val="32"/>
      <w:lang w:val="en-GB"/>
    </w:rPr>
  </w:style>
  <w:style w:type="table" w:styleId="11">
    <w:name w:val="Plain Table 1"/>
    <w:basedOn w:val="a1"/>
    <w:uiPriority w:val="41"/>
    <w:rsid w:val="00E8118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2">
    <w:name w:val="Strong"/>
    <w:basedOn w:val="a0"/>
    <w:uiPriority w:val="22"/>
    <w:qFormat/>
    <w:rsid w:val="000343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5462">
      <w:bodyDiv w:val="1"/>
      <w:marLeft w:val="0"/>
      <w:marRight w:val="0"/>
      <w:marTop w:val="0"/>
      <w:marBottom w:val="0"/>
      <w:divBdr>
        <w:top w:val="none" w:sz="0" w:space="0" w:color="auto"/>
        <w:left w:val="none" w:sz="0" w:space="0" w:color="auto"/>
        <w:bottom w:val="none" w:sz="0" w:space="0" w:color="auto"/>
        <w:right w:val="none" w:sz="0" w:space="0" w:color="auto"/>
      </w:divBdr>
      <w:divsChild>
        <w:div w:id="875658015">
          <w:marLeft w:val="0"/>
          <w:marRight w:val="0"/>
          <w:marTop w:val="0"/>
          <w:marBottom w:val="0"/>
          <w:divBdr>
            <w:top w:val="single" w:sz="2" w:space="0" w:color="auto"/>
            <w:left w:val="single" w:sz="2" w:space="0" w:color="auto"/>
            <w:bottom w:val="single" w:sz="6" w:space="0" w:color="auto"/>
            <w:right w:val="single" w:sz="2" w:space="0" w:color="auto"/>
          </w:divBdr>
          <w:divsChild>
            <w:div w:id="2121140132">
              <w:marLeft w:val="0"/>
              <w:marRight w:val="0"/>
              <w:marTop w:val="100"/>
              <w:marBottom w:val="100"/>
              <w:divBdr>
                <w:top w:val="single" w:sz="2" w:space="0" w:color="D9D9E3"/>
                <w:left w:val="single" w:sz="2" w:space="0" w:color="D9D9E3"/>
                <w:bottom w:val="single" w:sz="2" w:space="0" w:color="D9D9E3"/>
                <w:right w:val="single" w:sz="2" w:space="0" w:color="D9D9E3"/>
              </w:divBdr>
              <w:divsChild>
                <w:div w:id="1133057155">
                  <w:marLeft w:val="0"/>
                  <w:marRight w:val="0"/>
                  <w:marTop w:val="0"/>
                  <w:marBottom w:val="0"/>
                  <w:divBdr>
                    <w:top w:val="single" w:sz="2" w:space="0" w:color="D9D9E3"/>
                    <w:left w:val="single" w:sz="2" w:space="0" w:color="D9D9E3"/>
                    <w:bottom w:val="single" w:sz="2" w:space="0" w:color="D9D9E3"/>
                    <w:right w:val="single" w:sz="2" w:space="0" w:color="D9D9E3"/>
                  </w:divBdr>
                  <w:divsChild>
                    <w:div w:id="966662471">
                      <w:marLeft w:val="0"/>
                      <w:marRight w:val="0"/>
                      <w:marTop w:val="0"/>
                      <w:marBottom w:val="0"/>
                      <w:divBdr>
                        <w:top w:val="single" w:sz="2" w:space="0" w:color="D9D9E3"/>
                        <w:left w:val="single" w:sz="2" w:space="0" w:color="D9D9E3"/>
                        <w:bottom w:val="single" w:sz="2" w:space="0" w:color="D9D9E3"/>
                        <w:right w:val="single" w:sz="2" w:space="0" w:color="D9D9E3"/>
                      </w:divBdr>
                      <w:divsChild>
                        <w:div w:id="1514341134">
                          <w:marLeft w:val="0"/>
                          <w:marRight w:val="0"/>
                          <w:marTop w:val="0"/>
                          <w:marBottom w:val="0"/>
                          <w:divBdr>
                            <w:top w:val="single" w:sz="2" w:space="0" w:color="D9D9E3"/>
                            <w:left w:val="single" w:sz="2" w:space="0" w:color="D9D9E3"/>
                            <w:bottom w:val="single" w:sz="2" w:space="0" w:color="D9D9E3"/>
                            <w:right w:val="single" w:sz="2" w:space="0" w:color="D9D9E3"/>
                          </w:divBdr>
                          <w:divsChild>
                            <w:div w:id="98795251">
                              <w:marLeft w:val="0"/>
                              <w:marRight w:val="0"/>
                              <w:marTop w:val="0"/>
                              <w:marBottom w:val="0"/>
                              <w:divBdr>
                                <w:top w:val="single" w:sz="2" w:space="0" w:color="D9D9E3"/>
                                <w:left w:val="single" w:sz="2" w:space="0" w:color="D9D9E3"/>
                                <w:bottom w:val="single" w:sz="2" w:space="0" w:color="D9D9E3"/>
                                <w:right w:val="single" w:sz="2" w:space="0" w:color="D9D9E3"/>
                              </w:divBdr>
                              <w:divsChild>
                                <w:div w:id="1616057702">
                                  <w:marLeft w:val="0"/>
                                  <w:marRight w:val="0"/>
                                  <w:marTop w:val="0"/>
                                  <w:marBottom w:val="0"/>
                                  <w:divBdr>
                                    <w:top w:val="single" w:sz="2" w:space="0" w:color="D9D9E3"/>
                                    <w:left w:val="single" w:sz="2" w:space="0" w:color="D9D9E3"/>
                                    <w:bottom w:val="single" w:sz="2" w:space="0" w:color="D9D9E3"/>
                                    <w:right w:val="single" w:sz="2" w:space="0" w:color="D9D9E3"/>
                                  </w:divBdr>
                                  <w:divsChild>
                                    <w:div w:id="12955957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20725688">
      <w:bodyDiv w:val="1"/>
      <w:marLeft w:val="0"/>
      <w:marRight w:val="0"/>
      <w:marTop w:val="0"/>
      <w:marBottom w:val="0"/>
      <w:divBdr>
        <w:top w:val="none" w:sz="0" w:space="0" w:color="auto"/>
        <w:left w:val="none" w:sz="0" w:space="0" w:color="auto"/>
        <w:bottom w:val="none" w:sz="0" w:space="0" w:color="auto"/>
        <w:right w:val="none" w:sz="0" w:space="0" w:color="auto"/>
      </w:divBdr>
    </w:div>
    <w:div w:id="195271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7937/K9/TCIA.2016.HdHpgJL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48CAF-46E8-4943-B279-C906E0B10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2065</TotalTime>
  <Pages>21</Pages>
  <Words>5014</Words>
  <Characters>33900</Characters>
  <Application>Microsoft Office Word</Application>
  <DocSecurity>0</DocSecurity>
  <Lines>1303</Lines>
  <Paragraphs>864</Paragraphs>
  <ScaleCrop>false</ScaleCrop>
  <Company/>
  <LinksUpToDate>false</LinksUpToDate>
  <CharactersWithSpaces>38050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Shiyun Sun</dc:creator>
  <cp:keywords/>
  <dc:description/>
  <cp:lastModifiedBy>Shiyun Sun</cp:lastModifiedBy>
  <cp:revision>33</cp:revision>
  <dcterms:created xsi:type="dcterms:W3CDTF">2026-08-16T05:57:00Z</dcterms:created>
  <dcterms:modified xsi:type="dcterms:W3CDTF">2026-08-22T16:31:00Z</dcterms:modified>
</cp:coreProperties>
</file>