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Table S1. Univariable analysis using clinical factors for early recurrence-free survival (N=332)</w:t>
      </w:r>
    </w:p>
    <w:tbl>
      <w:tblPr>
        <w:tblStyle w:val="Table1"/>
        <w:tblW w:w="9026.0" w:type="dxa"/>
        <w:jc w:val="left"/>
        <w:tblLayout w:type="fixed"/>
        <w:tblLook w:val="0400"/>
      </w:tblPr>
      <w:tblGrid>
        <w:gridCol w:w="2960"/>
        <w:gridCol w:w="2382"/>
        <w:gridCol w:w="3684"/>
        <w:tblGridChange w:id="0">
          <w:tblGrid>
            <w:gridCol w:w="2960"/>
            <w:gridCol w:w="2382"/>
            <w:gridCol w:w="3684"/>
          </w:tblGrid>
        </w:tblGridChange>
      </w:tblGrid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Hazard ratio (95% CI)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value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0.97 (0.90-1.04)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0.37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Family history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2.87 (0.53-15.66)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0.22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Body mass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0.96 (0.76-1.2)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0.69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Menopause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1.26 (0.25-6.23)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0.78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Neoadjuvant chemotherapy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0.04 (0.0-12532.26)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0.63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SUV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subscript"/>
                <w:rtl w:val="0"/>
              </w:rPr>
              <w:t xml:space="preserve">max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1.71 (1.38-2.12)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&lt;0.01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Tumor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1.03 (0.97-1.09)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0.42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2.52 (0.93-6.82)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0.07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1.63 (0.56-4.70)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0.37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7.67 (2.46-23.89)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&lt;0.01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Vascular invasion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0.98 (0.22-4.42)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0.98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Lymphatic invasion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3.21 (1.26-8.16)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Nuclear 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5.74 (1.89-17.43)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&lt;0.01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PgR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0.40 (0.08-1.99)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0.26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Ki-67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22.6 (2.64-193.3)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&lt;0.01</w:t>
            </w:r>
          </w:p>
        </w:tc>
      </w:tr>
    </w:tbl>
    <w:p w:rsidR="00000000" w:rsidDel="00000000" w:rsidP="00000000" w:rsidRDefault="00000000" w:rsidRPr="00000000" w14:paraId="00000032">
      <w:pPr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Table S2 Univariable and multivariable Cox regression analyses for late recurrence-free survival (N=332)</w:t>
      </w:r>
    </w:p>
    <w:tbl>
      <w:tblPr>
        <w:tblStyle w:val="Table2"/>
        <w:tblW w:w="9026.000000000002" w:type="dxa"/>
        <w:jc w:val="left"/>
        <w:tblLayout w:type="fixed"/>
        <w:tblLook w:val="0400"/>
      </w:tblPr>
      <w:tblGrid>
        <w:gridCol w:w="2139"/>
        <w:gridCol w:w="1721"/>
        <w:gridCol w:w="1722"/>
        <w:gridCol w:w="1722"/>
        <w:gridCol w:w="1722"/>
        <w:tblGridChange w:id="0">
          <w:tblGrid>
            <w:gridCol w:w="2139"/>
            <w:gridCol w:w="1721"/>
            <w:gridCol w:w="1722"/>
            <w:gridCol w:w="1722"/>
            <w:gridCol w:w="1722"/>
          </w:tblGrid>
        </w:tblGridChange>
      </w:tblGrid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Univariable  hazard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ratio (95% CI)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Multivariable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azard ratio (95% CI)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value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1.04 (1.01-1.07)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1.04 (1.01-1.07)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Family history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0.95 (0.33-1.75)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Body mass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1.08 (0.99-1.18)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Menopause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0.71 (0.33-1.56)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Neoadjuvant chemotherapy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0.75 (0.18-3.17)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SUV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subscript"/>
                <w:rtl w:val="0"/>
              </w:rPr>
              <w:t xml:space="preserve">max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1.51 (1.38-1.66)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&lt;0.01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1.50 (1.35-1.68)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&lt;0.01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Tumor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1.01 (0.98-1.04)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2.14 (1.31-3.48)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&lt;0.01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1.75 (0.70-4.35)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0.23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1.86 (1.08-3.20)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1.18 (0.56-2.49)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Vascular invasion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1.38 (0.69-2.78)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Lymphatic invasion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2.07 (1.29-3.34)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&lt;0.01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Nuclear 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1.01 (0.56-1.84)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PgR status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0.71 (0.31-1.59)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Ki-67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1.09 (0.41-2.90)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84">
      <w:pPr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ungsuh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