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13D4" w:rsidRDefault="00231F52">
      <w:pPr>
        <w:rPr>
          <w:lang w:val="en-US"/>
        </w:rPr>
      </w:pPr>
      <w:r w:rsidRPr="00231F52">
        <w:rPr>
          <w:b/>
          <w:i/>
          <w:lang w:val="en-US"/>
        </w:rPr>
        <w:t>Scoary Performance:</w:t>
      </w:r>
      <w:r w:rsidRPr="00231F52">
        <w:rPr>
          <w:i/>
          <w:lang w:val="en-US"/>
        </w:rPr>
        <w:t xml:space="preserve"> Pairwise comparisons to control clonal sampling.</w:t>
      </w:r>
    </w:p>
    <w:p w:rsidR="00231F52" w:rsidRDefault="00231F52">
      <w:pPr>
        <w:rPr>
          <w:lang w:val="en-US"/>
        </w:rPr>
      </w:pPr>
      <w:r>
        <w:rPr>
          <w:lang w:val="en-US"/>
        </w:rPr>
        <w:t>To further the case for pairwise comparisons as a way of controlling spurious results, we verify that it, as opposed to naïve tests such as Fisher’s exact test or other methods that don’t control for pseudo-replication of lineage-specific factors, is unaffected by clonal sampling.</w:t>
      </w:r>
    </w:p>
    <w:p w:rsidR="008E615F" w:rsidRDefault="00231F52">
      <w:pPr>
        <w:rPr>
          <w:lang w:val="en-US"/>
        </w:rPr>
      </w:pPr>
      <w:r>
        <w:rPr>
          <w:lang w:val="en-US"/>
        </w:rPr>
        <w:t xml:space="preserve">Commonly in WGS experiments, the sample phylogeny is not known </w:t>
      </w:r>
      <w:r w:rsidRPr="00231F52">
        <w:rPr>
          <w:i/>
          <w:lang w:val="en-US"/>
        </w:rPr>
        <w:t>a priori</w:t>
      </w:r>
      <w:r>
        <w:rPr>
          <w:lang w:val="en-US"/>
        </w:rPr>
        <w:t xml:space="preserve">. In many cases, a large number of samples may belong to a relatively clonal lineage, while others are more distantly related. The clonal sampling can drive results if association analysis is performed in a population-agnostic manner. As an easy example, consider a situation where </w:t>
      </w:r>
      <w:r w:rsidR="008E615F">
        <w:rPr>
          <w:lang w:val="en-US"/>
        </w:rPr>
        <w:t xml:space="preserve">a gene –trait association is </w:t>
      </w:r>
      <w:r w:rsidR="008E615F" w:rsidRPr="008E615F">
        <w:rPr>
          <w:i/>
          <w:lang w:val="en-US"/>
        </w:rPr>
        <w:t>near</w:t>
      </w:r>
      <w:r w:rsidR="008E615F">
        <w:rPr>
          <w:lang w:val="en-US"/>
        </w:rPr>
        <w:t xml:space="preserve"> significance by Fisher’s exact test, demonstrated by the following 2x2 table:</w:t>
      </w:r>
    </w:p>
    <w:tbl>
      <w:tblPr>
        <w:tblStyle w:val="Lysskyggelegging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8E615F" w:rsidTr="008E615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</w:tcPr>
          <w:p w:rsidR="008E615F" w:rsidRDefault="008E615F">
            <w:pPr>
              <w:rPr>
                <w:lang w:val="en-US"/>
              </w:rPr>
            </w:pPr>
          </w:p>
        </w:tc>
        <w:tc>
          <w:tcPr>
            <w:tcW w:w="3071" w:type="dxa"/>
          </w:tcPr>
          <w:p w:rsidR="008E615F" w:rsidRDefault="008E615F" w:rsidP="008E615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Gene positive</w:t>
            </w:r>
          </w:p>
        </w:tc>
        <w:tc>
          <w:tcPr>
            <w:tcW w:w="3071" w:type="dxa"/>
          </w:tcPr>
          <w:p w:rsidR="008E615F" w:rsidRDefault="008E615F" w:rsidP="008E615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Gene negative</w:t>
            </w:r>
          </w:p>
        </w:tc>
      </w:tr>
      <w:tr w:rsidR="008E615F" w:rsidTr="008E61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</w:tcPr>
          <w:p w:rsidR="008E615F" w:rsidRDefault="008E615F">
            <w:pPr>
              <w:rPr>
                <w:lang w:val="en-US"/>
              </w:rPr>
            </w:pPr>
            <w:r>
              <w:rPr>
                <w:lang w:val="en-US"/>
              </w:rPr>
              <w:t>Trait positive</w:t>
            </w:r>
          </w:p>
        </w:tc>
        <w:tc>
          <w:tcPr>
            <w:tcW w:w="3071" w:type="dxa"/>
          </w:tcPr>
          <w:p w:rsidR="008E615F" w:rsidRDefault="008E615F" w:rsidP="008E61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3071" w:type="dxa"/>
          </w:tcPr>
          <w:p w:rsidR="008E615F" w:rsidRDefault="008E615F" w:rsidP="008E61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8E615F" w:rsidTr="008E61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</w:tcPr>
          <w:p w:rsidR="008E615F" w:rsidRDefault="008E615F">
            <w:pPr>
              <w:rPr>
                <w:lang w:val="en-US"/>
              </w:rPr>
            </w:pPr>
            <w:r>
              <w:rPr>
                <w:lang w:val="en-US"/>
              </w:rPr>
              <w:t>Trait negative</w:t>
            </w:r>
          </w:p>
        </w:tc>
        <w:tc>
          <w:tcPr>
            <w:tcW w:w="3071" w:type="dxa"/>
          </w:tcPr>
          <w:p w:rsidR="008E615F" w:rsidRDefault="008E615F" w:rsidP="008E61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3071" w:type="dxa"/>
          </w:tcPr>
          <w:p w:rsidR="008E615F" w:rsidRDefault="008E615F" w:rsidP="008E61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</w:tr>
    </w:tbl>
    <w:p w:rsidR="008E615F" w:rsidRDefault="008E615F">
      <w:pPr>
        <w:rPr>
          <w:lang w:val="en-US"/>
        </w:rPr>
      </w:pPr>
    </w:p>
    <w:p w:rsidR="008E615F" w:rsidRDefault="008E615F">
      <w:pPr>
        <w:rPr>
          <w:lang w:val="en-US"/>
        </w:rPr>
      </w:pPr>
      <w:r>
        <w:rPr>
          <w:lang w:val="en-US"/>
        </w:rPr>
        <w:t>In this case, Fisher’s exact test gives a p-value of 0.08. However, note that we if we take one of the gene- and trait-negative isolates and sample it two more times, the p-value drops to 0.03. Thus, by simply sampling the same or a highly related isolate we have now reached a state where it looks like there is a true association between this gene and the trait.</w:t>
      </w:r>
    </w:p>
    <w:p w:rsidR="008E615F" w:rsidRDefault="008E615F">
      <w:pPr>
        <w:rPr>
          <w:lang w:val="en-US"/>
        </w:rPr>
      </w:pPr>
      <w:r>
        <w:rPr>
          <w:lang w:val="en-US"/>
        </w:rPr>
        <w:t>Contrarily, the pairwise comparisons p-value would be unchanged by this type of sampling regardless of how many extra isolates are included, since this does not inflate the number of evolutionary transitions in the tree.</w:t>
      </w:r>
    </w:p>
    <w:p w:rsidR="00E339DB" w:rsidRDefault="00E339DB">
      <w:pPr>
        <w:rPr>
          <w:lang w:val="en-US"/>
        </w:rPr>
      </w:pPr>
      <w:r>
        <w:rPr>
          <w:lang w:val="en-US"/>
        </w:rPr>
        <w:t xml:space="preserve">We can show this by again using the </w:t>
      </w:r>
      <w:r w:rsidRPr="00E339DB">
        <w:rPr>
          <w:i/>
          <w:lang w:val="en-US"/>
        </w:rPr>
        <w:t>Staphylococcus epidermidis</w:t>
      </w:r>
      <w:r>
        <w:rPr>
          <w:lang w:val="en-US"/>
        </w:rPr>
        <w:t xml:space="preserve"> genomes and the data on linezolid resistance</w:t>
      </w:r>
      <w:r w:rsidR="00B00908">
        <w:rPr>
          <w:lang w:val="en-US"/>
        </w:rPr>
        <w:t xml:space="preserve"> </w:t>
      </w:r>
      <w:r w:rsidR="00B00908">
        <w:rPr>
          <w:lang w:val="en-US"/>
        </w:rPr>
        <w:fldChar w:fldCharType="begin"/>
      </w:r>
      <w:r w:rsidR="00B00908">
        <w:rPr>
          <w:lang w:val="en-US"/>
        </w:rPr>
        <w:instrText xml:space="preserve"> ADDIN EN.CITE &lt;EndNote&gt;&lt;Cite&gt;&lt;Author&gt;Tewhey&lt;/Author&gt;&lt;Year&gt;2014&lt;/Year&gt;&lt;RecNum&gt;11&lt;/RecNum&gt;&lt;DisplayText&gt;[1]&lt;/DisplayText&gt;&lt;record&gt;&lt;rec-number&gt;11&lt;/rec-number&gt;&lt;foreign-keys&gt;&lt;key app="EN" db-id="20etaa59lw0s9ue500vpvz05ffr09vtvpvtx" timestamp="1455619055"&gt;11&lt;/key&gt;&lt;/foreign-keys&gt;&lt;ref-type name="Journal Article"&gt;17&lt;/ref-type&gt;&lt;contributors&gt;&lt;authors&gt;&lt;author&gt;Tewhey, Ryan&lt;/author&gt;&lt;author&gt;Gu, Bing&lt;/author&gt;&lt;author&gt;Kelesidis, Theodoros&lt;/author&gt;&lt;author&gt;Charlton, Carmen&lt;/author&gt;&lt;author&gt;Bobenchik, April&lt;/author&gt;&lt;author&gt;Hindler, Janet&lt;/author&gt;&lt;author&gt;Schork, Nicholas J&lt;/author&gt;&lt;author&gt;Humphries, Romney M&lt;/author&gt;&lt;/authors&gt;&lt;/contributors&gt;&lt;titles&gt;&lt;title&gt;Mechanisms of linezolid resistance among coagulase-negative staphylococci determined by whole-genome sequencing&lt;/title&gt;&lt;secondary-title&gt;MBio&lt;/secondary-title&gt;&lt;/titles&gt;&lt;periodical&gt;&lt;full-title&gt;MBio&lt;/full-title&gt;&lt;/periodical&gt;&lt;pages&gt;e00894-14&lt;/pages&gt;&lt;volume&gt;5&lt;/volume&gt;&lt;number&gt;3&lt;/number&gt;&lt;dates&gt;&lt;year&gt;2014&lt;/year&gt;&lt;/dates&gt;&lt;isbn&gt;2150-7511&lt;/isbn&gt;&lt;urls&gt;&lt;/urls&gt;&lt;/record&gt;&lt;/Cite&gt;&lt;/EndNote&gt;</w:instrText>
      </w:r>
      <w:r w:rsidR="00B00908">
        <w:rPr>
          <w:lang w:val="en-US"/>
        </w:rPr>
        <w:fldChar w:fldCharType="separate"/>
      </w:r>
      <w:r w:rsidR="00B00908">
        <w:rPr>
          <w:noProof/>
          <w:lang w:val="en-US"/>
        </w:rPr>
        <w:t>[1]</w:t>
      </w:r>
      <w:r w:rsidR="00B00908">
        <w:rPr>
          <w:lang w:val="en-US"/>
        </w:rPr>
        <w:fldChar w:fldCharType="end"/>
      </w:r>
      <w:r>
        <w:rPr>
          <w:lang w:val="en-US"/>
        </w:rPr>
        <w:t xml:space="preserve">. We inflated the sample number ten-fold to 210 by clonal re-sampling. For each original isolate, we randomly let each gene have a 99.5% chance of appearing in the clonally re-sampled isolate as well. </w:t>
      </w:r>
    </w:p>
    <w:p w:rsidR="009F407F" w:rsidRDefault="009F407F">
      <w:pPr>
        <w:rPr>
          <w:lang w:val="en-US"/>
        </w:rPr>
      </w:pPr>
      <w:r>
        <w:rPr>
          <w:lang w:val="en-US"/>
        </w:rPr>
        <w:t xml:space="preserve">In this run, 1136 genes have Fisher’s test p-values lower than 0.05, 1022 after Benjamini-Hochberg correction. Only the </w:t>
      </w:r>
      <w:r w:rsidRPr="009F407F">
        <w:rPr>
          <w:i/>
          <w:lang w:val="en-US"/>
        </w:rPr>
        <w:t>cfr</w:t>
      </w:r>
      <w:r>
        <w:rPr>
          <w:lang w:val="en-US"/>
        </w:rPr>
        <w:t xml:space="preserve"> and </w:t>
      </w:r>
      <w:r w:rsidRPr="009F407F">
        <w:rPr>
          <w:i/>
          <w:lang w:val="en-US"/>
        </w:rPr>
        <w:t>cueR</w:t>
      </w:r>
      <w:r>
        <w:rPr>
          <w:lang w:val="en-US"/>
        </w:rPr>
        <w:t xml:space="preserve"> genes have pairwise comparison p-values lower than 0.05.</w:t>
      </w:r>
    </w:p>
    <w:p w:rsidR="008E615F" w:rsidRDefault="00E339DB">
      <w:pPr>
        <w:rPr>
          <w:lang w:val="en-US"/>
        </w:rPr>
      </w:pPr>
      <w:r>
        <w:rPr>
          <w:lang w:val="en-US"/>
        </w:rPr>
        <w:t xml:space="preserve">The results demonstrate that while the p-values from Fisher’s exact test indicate a high degree of association, </w:t>
      </w:r>
      <w:r w:rsidR="00AB6D89">
        <w:rPr>
          <w:lang w:val="en-US"/>
        </w:rPr>
        <w:t xml:space="preserve">the pairwise comparisons </w:t>
      </w:r>
      <w:r w:rsidR="00FB49A9">
        <w:rPr>
          <w:lang w:val="en-US"/>
        </w:rPr>
        <w:t xml:space="preserve">based </w:t>
      </w:r>
      <w:bookmarkStart w:id="0" w:name="_GoBack"/>
      <w:bookmarkEnd w:id="0"/>
      <w:r w:rsidR="00AB6D89">
        <w:rPr>
          <w:lang w:val="en-US"/>
        </w:rPr>
        <w:t>p-values are virtually unaffected. We conclude that the method is appropriate to control false positive results from clonal sampling.</w:t>
      </w:r>
    </w:p>
    <w:p w:rsidR="00B00908" w:rsidRDefault="00B00908">
      <w:pPr>
        <w:rPr>
          <w:lang w:val="en-US"/>
        </w:rPr>
      </w:pPr>
      <w:r>
        <w:rPr>
          <w:lang w:val="en-US"/>
        </w:rPr>
        <w:t>The data underlying this analysis is publicly available at https://github.com/AdmiralenOla/datasets</w:t>
      </w:r>
    </w:p>
    <w:p w:rsidR="00B00908" w:rsidRDefault="00B00908">
      <w:pPr>
        <w:rPr>
          <w:lang w:val="en-US"/>
        </w:rPr>
      </w:pPr>
    </w:p>
    <w:p w:rsidR="00B00908" w:rsidRDefault="00B00908">
      <w:pPr>
        <w:rPr>
          <w:lang w:val="en-US"/>
        </w:rPr>
      </w:pPr>
    </w:p>
    <w:p w:rsidR="00B00908" w:rsidRPr="00B00908" w:rsidRDefault="00B00908" w:rsidP="00B00908">
      <w:pPr>
        <w:pStyle w:val="EndNoteBibliography"/>
        <w:ind w:left="720" w:hanging="720"/>
      </w:pPr>
      <w:r>
        <w:fldChar w:fldCharType="begin"/>
      </w:r>
      <w:r>
        <w:instrText xml:space="preserve"> ADDIN EN.REFLIST </w:instrText>
      </w:r>
      <w:r>
        <w:fldChar w:fldCharType="separate"/>
      </w:r>
      <w:r w:rsidRPr="00B00908">
        <w:t>1.</w:t>
      </w:r>
      <w:r w:rsidRPr="00B00908">
        <w:tab/>
        <w:t xml:space="preserve">Tewhey R, Gu B, Kelesidis T, Charlton C, Bobenchik A, Hindler J, Schork NJ, Humphries RM: </w:t>
      </w:r>
      <w:r w:rsidRPr="00B00908">
        <w:rPr>
          <w:b/>
        </w:rPr>
        <w:t>Mechanisms of linezolid resistance among coagulase-negative staphylococci determined by whole-genome sequencing</w:t>
      </w:r>
      <w:r w:rsidRPr="00B00908">
        <w:t xml:space="preserve">. </w:t>
      </w:r>
      <w:r w:rsidRPr="00B00908">
        <w:rPr>
          <w:i/>
        </w:rPr>
        <w:t xml:space="preserve">MBio </w:t>
      </w:r>
      <w:r w:rsidRPr="00B00908">
        <w:t xml:space="preserve">2014, </w:t>
      </w:r>
      <w:r w:rsidRPr="00B00908">
        <w:rPr>
          <w:b/>
        </w:rPr>
        <w:t>5</w:t>
      </w:r>
      <w:r w:rsidRPr="00B00908">
        <w:t>(3):e00894-00814.</w:t>
      </w:r>
    </w:p>
    <w:p w:rsidR="00AB6D89" w:rsidRPr="00231F52" w:rsidRDefault="00B00908">
      <w:pPr>
        <w:rPr>
          <w:lang w:val="en-US"/>
        </w:rPr>
      </w:pPr>
      <w:r>
        <w:rPr>
          <w:lang w:val="en-US"/>
        </w:rPr>
        <w:fldChar w:fldCharType="end"/>
      </w:r>
    </w:p>
    <w:sectPr w:rsidR="00AB6D89" w:rsidRPr="00231F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MC Genomics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20etaa59lw0s9ue500vpvz05ffr09vtvpvtx&quot;&gt;Scoary&lt;record-ids&gt;&lt;item&gt;11&lt;/item&gt;&lt;/record-ids&gt;&lt;/item&gt;&lt;/Libraries&gt;"/>
  </w:docVars>
  <w:rsids>
    <w:rsidRoot w:val="00231F52"/>
    <w:rsid w:val="00231F52"/>
    <w:rsid w:val="0031092F"/>
    <w:rsid w:val="004A4221"/>
    <w:rsid w:val="008E615F"/>
    <w:rsid w:val="009F407F"/>
    <w:rsid w:val="00A212AF"/>
    <w:rsid w:val="00AB6D89"/>
    <w:rsid w:val="00B00908"/>
    <w:rsid w:val="00E339DB"/>
    <w:rsid w:val="00E3782E"/>
    <w:rsid w:val="00F013D4"/>
    <w:rsid w:val="00FB4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8E61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ysskyggelegging">
    <w:name w:val="Light Shading"/>
    <w:basedOn w:val="Vanligtabell"/>
    <w:uiPriority w:val="60"/>
    <w:rsid w:val="008E615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EndNoteBibliographyTitle">
    <w:name w:val="EndNote Bibliography Title"/>
    <w:basedOn w:val="Normal"/>
    <w:link w:val="EndNoteBibliographyTitleTegn"/>
    <w:rsid w:val="00B00908"/>
    <w:pPr>
      <w:spacing w:after="0"/>
      <w:jc w:val="center"/>
    </w:pPr>
    <w:rPr>
      <w:rFonts w:ascii="Calibri" w:hAnsi="Calibri"/>
      <w:noProof/>
      <w:lang w:val="en-US"/>
    </w:rPr>
  </w:style>
  <w:style w:type="character" w:customStyle="1" w:styleId="EndNoteBibliographyTitleTegn">
    <w:name w:val="EndNote Bibliography Title Tegn"/>
    <w:basedOn w:val="Standardskriftforavsnitt"/>
    <w:link w:val="EndNoteBibliographyTitle"/>
    <w:rsid w:val="00B00908"/>
    <w:rPr>
      <w:rFonts w:ascii="Calibri" w:hAnsi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Tegn"/>
    <w:rsid w:val="00B00908"/>
    <w:pPr>
      <w:spacing w:line="240" w:lineRule="auto"/>
    </w:pPr>
    <w:rPr>
      <w:rFonts w:ascii="Calibri" w:hAnsi="Calibri"/>
      <w:noProof/>
      <w:lang w:val="en-US"/>
    </w:rPr>
  </w:style>
  <w:style w:type="character" w:customStyle="1" w:styleId="EndNoteBibliographyTegn">
    <w:name w:val="EndNote Bibliography Tegn"/>
    <w:basedOn w:val="Standardskriftforavsnitt"/>
    <w:link w:val="EndNoteBibliography"/>
    <w:rsid w:val="00B00908"/>
    <w:rPr>
      <w:rFonts w:ascii="Calibri" w:hAnsi="Calibri"/>
      <w:noProof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8E61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ysskyggelegging">
    <w:name w:val="Light Shading"/>
    <w:basedOn w:val="Vanligtabell"/>
    <w:uiPriority w:val="60"/>
    <w:rsid w:val="008E615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EndNoteBibliographyTitle">
    <w:name w:val="EndNote Bibliography Title"/>
    <w:basedOn w:val="Normal"/>
    <w:link w:val="EndNoteBibliographyTitleTegn"/>
    <w:rsid w:val="00B00908"/>
    <w:pPr>
      <w:spacing w:after="0"/>
      <w:jc w:val="center"/>
    </w:pPr>
    <w:rPr>
      <w:rFonts w:ascii="Calibri" w:hAnsi="Calibri"/>
      <w:noProof/>
      <w:lang w:val="en-US"/>
    </w:rPr>
  </w:style>
  <w:style w:type="character" w:customStyle="1" w:styleId="EndNoteBibliographyTitleTegn">
    <w:name w:val="EndNote Bibliography Title Tegn"/>
    <w:basedOn w:val="Standardskriftforavsnitt"/>
    <w:link w:val="EndNoteBibliographyTitle"/>
    <w:rsid w:val="00B00908"/>
    <w:rPr>
      <w:rFonts w:ascii="Calibri" w:hAnsi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Tegn"/>
    <w:rsid w:val="00B00908"/>
    <w:pPr>
      <w:spacing w:line="240" w:lineRule="auto"/>
    </w:pPr>
    <w:rPr>
      <w:rFonts w:ascii="Calibri" w:hAnsi="Calibri"/>
      <w:noProof/>
      <w:lang w:val="en-US"/>
    </w:rPr>
  </w:style>
  <w:style w:type="character" w:customStyle="1" w:styleId="EndNoteBibliographyTegn">
    <w:name w:val="EndNote Bibliography Tegn"/>
    <w:basedOn w:val="Standardskriftforavsnitt"/>
    <w:link w:val="EndNoteBibliography"/>
    <w:rsid w:val="00B00908"/>
    <w:rPr>
      <w:rFonts w:ascii="Calibri" w:hAnsi="Calibri"/>
      <w:noProof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97E0AE-4FB3-4C22-A61A-C46E966334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1</Pages>
  <Words>576</Words>
  <Characters>3055</Characters>
  <Application>Microsoft Office Word</Application>
  <DocSecurity>0</DocSecurity>
  <Lines>25</Lines>
  <Paragraphs>7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FHI</Company>
  <LinksUpToDate>false</LinksUpToDate>
  <CharactersWithSpaces>3624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Ola Brynildsrud</dc:creator>
  <cp:lastModifiedBy>Ola Brynildsrud</cp:lastModifiedBy>
  <cp:revision>4</cp:revision>
  <dcterms:created xsi:type="dcterms:W3CDTF">2016-11-01T15:15:00Z</dcterms:created>
  <dcterms:modified xsi:type="dcterms:W3CDTF">2016-11-02T15:50:00Z</dcterms:modified>
</cp:coreProperties>
</file>