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40" w:rsidRPr="001074F6" w:rsidRDefault="00074840" w:rsidP="00074840">
      <w:pPr>
        <w:pStyle w:val="Heading1"/>
      </w:pPr>
      <w:bookmarkStart w:id="0" w:name="_Toc329440098"/>
      <w:r w:rsidRPr="001074F6">
        <w:t>RT-qPCR validation</w:t>
      </w:r>
      <w:bookmarkEnd w:id="0"/>
    </w:p>
    <w:p w:rsidR="00074840" w:rsidRDefault="00074840" w:rsidP="00074840">
      <w:pPr>
        <w:pStyle w:val="ColorfulList-Accent21"/>
        <w:spacing w:line="360" w:lineRule="auto"/>
        <w:jc w:val="both"/>
        <w:rPr>
          <w:rFonts w:asciiTheme="minorHAnsi" w:hAnsiTheme="minorHAnsi"/>
          <w:sz w:val="24"/>
          <w:szCs w:val="24"/>
        </w:rPr>
      </w:pPr>
      <w:r w:rsidRPr="00B77AC2">
        <w:rPr>
          <w:rFonts w:asciiTheme="minorHAnsi" w:hAnsiTheme="minorHAnsi"/>
          <w:sz w:val="24"/>
          <w:szCs w:val="24"/>
        </w:rPr>
        <w:t xml:space="preserve">The coverage across retained introns is often much lower than across exons and thus small changes in </w:t>
      </w:r>
      <w:proofErr w:type="spellStart"/>
      <w:r w:rsidRPr="00B77AC2">
        <w:rPr>
          <w:rFonts w:asciiTheme="minorHAnsi" w:hAnsiTheme="minorHAnsi"/>
          <w:sz w:val="24"/>
          <w:szCs w:val="24"/>
        </w:rPr>
        <w:t>mappability</w:t>
      </w:r>
      <w:proofErr w:type="spellEnd"/>
      <w:r w:rsidRPr="00B77AC2">
        <w:rPr>
          <w:rFonts w:asciiTheme="minorHAnsi" w:hAnsiTheme="minorHAnsi"/>
          <w:sz w:val="24"/>
          <w:szCs w:val="24"/>
        </w:rPr>
        <w:t xml:space="preserve">, the presence of poorly trimmed reads or contaminating features can confound commonly used measures of transcript abundance. As described in the methods, </w:t>
      </w:r>
      <w:proofErr w:type="spellStart"/>
      <w:r w:rsidRPr="00B77AC2">
        <w:rPr>
          <w:rFonts w:asciiTheme="minorHAnsi" w:hAnsiTheme="minorHAnsi"/>
          <w:sz w:val="24"/>
          <w:szCs w:val="24"/>
        </w:rPr>
        <w:t>IRFinder</w:t>
      </w:r>
      <w:proofErr w:type="spellEnd"/>
      <w:r w:rsidRPr="00B77AC2">
        <w:rPr>
          <w:rFonts w:asciiTheme="minorHAnsi" w:hAnsiTheme="minorHAnsi"/>
          <w:sz w:val="24"/>
          <w:szCs w:val="24"/>
        </w:rPr>
        <w:t xml:space="preserve"> attempts to correct many of these factors to report reliable IR ratios. Our algorithm has been successfully used to dissect the function of IR in a model of granulocytic differentia-</w:t>
      </w:r>
      <w:proofErr w:type="spellStart"/>
      <w:r w:rsidRPr="00B77AC2">
        <w:rPr>
          <w:rFonts w:asciiTheme="minorHAnsi" w:hAnsiTheme="minorHAnsi"/>
          <w:sz w:val="24"/>
          <w:szCs w:val="24"/>
        </w:rPr>
        <w:t>tion</w:t>
      </w:r>
      <w:proofErr w:type="spellEnd"/>
      <w:r w:rsidRPr="00B77AC2">
        <w:rPr>
          <w:rFonts w:asciiTheme="minorHAnsi" w:hAnsiTheme="minorHAnsi"/>
          <w:sz w:val="24"/>
          <w:szCs w:val="24"/>
        </w:rPr>
        <w:t xml:space="preserve"> and in </w:t>
      </w:r>
      <w:r>
        <w:rPr>
          <w:rFonts w:asciiTheme="minorHAnsi" w:hAnsiTheme="minorHAnsi"/>
          <w:sz w:val="24"/>
          <w:szCs w:val="24"/>
        </w:rPr>
        <w:t>a</w:t>
      </w:r>
      <w:r w:rsidRPr="00B77AC2">
        <w:rPr>
          <w:rFonts w:asciiTheme="minorHAnsi" w:hAnsiTheme="minorHAnsi"/>
          <w:sz w:val="24"/>
          <w:szCs w:val="24"/>
        </w:rPr>
        <w:t xml:space="preserve"> model of induced pluripotent stem cell differentiation (Wong et al., 2013, Hussein</w:t>
      </w:r>
      <w:r>
        <w:rPr>
          <w:rFonts w:asciiTheme="minorHAnsi" w:hAnsiTheme="minorHAnsi"/>
          <w:sz w:val="24"/>
          <w:szCs w:val="24"/>
        </w:rPr>
        <w:t xml:space="preserve"> et al., 2014). </w:t>
      </w:r>
    </w:p>
    <w:p w:rsidR="00074840" w:rsidRDefault="00074840" w:rsidP="00074840">
      <w:pPr>
        <w:pStyle w:val="ColorfulList-Accent21"/>
        <w:spacing w:line="360" w:lineRule="auto"/>
        <w:jc w:val="both"/>
        <w:rPr>
          <w:rFonts w:asciiTheme="minorHAnsi" w:hAnsiTheme="minorHAnsi"/>
          <w:sz w:val="24"/>
          <w:szCs w:val="24"/>
        </w:rPr>
      </w:pPr>
      <w:r w:rsidRPr="00123C78">
        <w:rPr>
          <w:rFonts w:asciiTheme="minorHAnsi" w:hAnsiTheme="minorHAnsi" w:hint="eastAsia"/>
          <w:sz w:val="24"/>
          <w:szCs w:val="24"/>
        </w:rPr>
        <w:t>Here we specifically validate our approach using RT-</w:t>
      </w:r>
      <w:proofErr w:type="spellStart"/>
      <w:r w:rsidRPr="00123C78">
        <w:rPr>
          <w:rFonts w:asciiTheme="minorHAnsi" w:hAnsiTheme="minorHAnsi" w:hint="eastAsia"/>
          <w:sz w:val="24"/>
          <w:szCs w:val="24"/>
        </w:rPr>
        <w:t>qPCR</w:t>
      </w:r>
      <w:proofErr w:type="spellEnd"/>
      <w:r w:rsidRPr="00123C78">
        <w:rPr>
          <w:rFonts w:asciiTheme="minorHAnsi" w:hAnsiTheme="minorHAnsi" w:hint="eastAsia"/>
          <w:sz w:val="24"/>
          <w:szCs w:val="24"/>
        </w:rPr>
        <w:t xml:space="preserve"> on 2 </w:t>
      </w:r>
      <w:proofErr w:type="spellStart"/>
      <w:r w:rsidRPr="00123C78">
        <w:rPr>
          <w:rFonts w:asciiTheme="minorHAnsi" w:hAnsiTheme="minorHAnsi" w:hint="eastAsia"/>
          <w:sz w:val="24"/>
          <w:szCs w:val="24"/>
        </w:rPr>
        <w:t>introns</w:t>
      </w:r>
      <w:proofErr w:type="spellEnd"/>
      <w:r w:rsidRPr="00123C78">
        <w:rPr>
          <w:rFonts w:asciiTheme="minorHAnsi" w:hAnsiTheme="minorHAnsi" w:hint="eastAsia"/>
          <w:sz w:val="24"/>
          <w:szCs w:val="24"/>
        </w:rPr>
        <w:t xml:space="preserve"> where IR detection can often be problematic: an intron with low coverage and an intron with </w:t>
      </w:r>
      <w:r>
        <w:rPr>
          <w:rFonts w:asciiTheme="minorHAnsi" w:hAnsiTheme="minorHAnsi" w:hint="eastAsia"/>
          <w:sz w:val="24"/>
          <w:szCs w:val="24"/>
        </w:rPr>
        <w:t xml:space="preserve">regions of low </w:t>
      </w:r>
      <w:proofErr w:type="spellStart"/>
      <w:r>
        <w:rPr>
          <w:rFonts w:asciiTheme="minorHAnsi" w:hAnsiTheme="minorHAnsi" w:hint="eastAsia"/>
          <w:sz w:val="24"/>
          <w:szCs w:val="24"/>
        </w:rPr>
        <w:t>mappability</w:t>
      </w:r>
      <w:proofErr w:type="spellEnd"/>
      <w:r>
        <w:rPr>
          <w:rFonts w:asciiTheme="minorHAnsi" w:hAnsiTheme="minorHAnsi" w:hint="eastAsia"/>
          <w:sz w:val="24"/>
          <w:szCs w:val="24"/>
        </w:rPr>
        <w:t xml:space="preserve"> (Figure </w:t>
      </w:r>
      <w:r w:rsidR="004C4634">
        <w:rPr>
          <w:rFonts w:asciiTheme="minorHAnsi" w:hAnsiTheme="minorHAnsi"/>
          <w:sz w:val="24"/>
          <w:szCs w:val="24"/>
        </w:rPr>
        <w:t>S</w:t>
      </w:r>
      <w:r>
        <w:rPr>
          <w:rFonts w:asciiTheme="minorHAnsi" w:hAnsiTheme="minorHAnsi"/>
          <w:sz w:val="24"/>
          <w:szCs w:val="24"/>
        </w:rPr>
        <w:t>1</w:t>
      </w:r>
      <w:r w:rsidRPr="00123C78">
        <w:rPr>
          <w:rFonts w:asciiTheme="minorHAnsi" w:hAnsiTheme="minorHAnsi" w:hint="eastAsia"/>
          <w:sz w:val="24"/>
          <w:szCs w:val="24"/>
        </w:rPr>
        <w:t>). We used probes spanning the 5</w:t>
      </w:r>
      <w:r w:rsidRPr="00123C78">
        <w:rPr>
          <w:rFonts w:asciiTheme="minorHAnsi" w:hAnsiTheme="minorHAnsi" w:hint="eastAsia"/>
          <w:sz w:val="24"/>
          <w:szCs w:val="24"/>
        </w:rPr>
        <w:t>′</w:t>
      </w:r>
      <w:r w:rsidRPr="00123C78">
        <w:rPr>
          <w:rFonts w:asciiTheme="minorHAnsi" w:hAnsiTheme="minorHAnsi" w:hint="eastAsia"/>
          <w:sz w:val="24"/>
          <w:szCs w:val="24"/>
        </w:rPr>
        <w:t xml:space="preserve"> and 3</w:t>
      </w:r>
      <w:r w:rsidRPr="00123C78">
        <w:rPr>
          <w:rFonts w:asciiTheme="minorHAnsi" w:hAnsiTheme="minorHAnsi" w:hint="eastAsia"/>
          <w:sz w:val="24"/>
          <w:szCs w:val="24"/>
        </w:rPr>
        <w:t>′</w:t>
      </w:r>
      <w:r w:rsidRPr="00123C78">
        <w:rPr>
          <w:rFonts w:asciiTheme="minorHAnsi" w:hAnsiTheme="minorHAnsi" w:hint="eastAsia"/>
          <w:sz w:val="24"/>
          <w:szCs w:val="24"/>
        </w:rPr>
        <w:t xml:space="preserve"> exon-intron boun</w:t>
      </w:r>
      <w:r>
        <w:rPr>
          <w:rFonts w:asciiTheme="minorHAnsi" w:hAnsiTheme="minorHAnsi"/>
          <w:sz w:val="24"/>
          <w:szCs w:val="24"/>
        </w:rPr>
        <w:t>da</w:t>
      </w:r>
      <w:r w:rsidRPr="00123C78">
        <w:rPr>
          <w:rFonts w:asciiTheme="minorHAnsi" w:hAnsiTheme="minorHAnsi"/>
          <w:sz w:val="24"/>
          <w:szCs w:val="24"/>
        </w:rPr>
        <w:t xml:space="preserve">ries as well as a probe in the middle of the intron for both </w:t>
      </w:r>
      <w:proofErr w:type="spellStart"/>
      <w:r w:rsidRPr="00123C78">
        <w:rPr>
          <w:rFonts w:asciiTheme="minorHAnsi" w:hAnsiTheme="minorHAnsi"/>
          <w:sz w:val="24"/>
          <w:szCs w:val="24"/>
        </w:rPr>
        <w:t>introns</w:t>
      </w:r>
      <w:proofErr w:type="spellEnd"/>
      <w:r>
        <w:rPr>
          <w:rFonts w:asciiTheme="minorHAnsi" w:hAnsiTheme="minorHAnsi"/>
          <w:sz w:val="24"/>
          <w:szCs w:val="24"/>
        </w:rPr>
        <w:t xml:space="preserve"> (Table </w:t>
      </w:r>
      <w:r w:rsidR="004C4634">
        <w:rPr>
          <w:rFonts w:asciiTheme="minorHAnsi" w:hAnsiTheme="minorHAnsi"/>
          <w:sz w:val="24"/>
          <w:szCs w:val="24"/>
        </w:rPr>
        <w:t>S</w:t>
      </w:r>
      <w:r>
        <w:rPr>
          <w:rFonts w:asciiTheme="minorHAnsi" w:hAnsiTheme="minorHAnsi"/>
          <w:sz w:val="24"/>
          <w:szCs w:val="24"/>
        </w:rPr>
        <w:t>1)</w:t>
      </w:r>
      <w:r w:rsidRPr="00123C78">
        <w:rPr>
          <w:rFonts w:asciiTheme="minorHAnsi" w:hAnsiTheme="minorHAnsi"/>
          <w:sz w:val="24"/>
          <w:szCs w:val="24"/>
        </w:rPr>
        <w:t xml:space="preserve">. We first compared </w:t>
      </w:r>
      <w:proofErr w:type="spellStart"/>
      <w:r w:rsidRPr="00123C78">
        <w:rPr>
          <w:rFonts w:asciiTheme="minorHAnsi" w:hAnsiTheme="minorHAnsi"/>
          <w:sz w:val="24"/>
          <w:szCs w:val="24"/>
        </w:rPr>
        <w:t>IRFinder</w:t>
      </w:r>
      <w:proofErr w:type="spellEnd"/>
      <w:r w:rsidRPr="00123C78">
        <w:rPr>
          <w:rFonts w:asciiTheme="minorHAnsi" w:hAnsiTheme="minorHAnsi"/>
          <w:sz w:val="24"/>
          <w:szCs w:val="24"/>
        </w:rPr>
        <w:t xml:space="preserve"> results with RT-</w:t>
      </w:r>
      <w:proofErr w:type="spellStart"/>
      <w:r w:rsidRPr="00123C78">
        <w:rPr>
          <w:rFonts w:asciiTheme="minorHAnsi" w:hAnsiTheme="minorHAnsi"/>
          <w:sz w:val="24"/>
          <w:szCs w:val="24"/>
        </w:rPr>
        <w:t>qPCR</w:t>
      </w:r>
      <w:proofErr w:type="spellEnd"/>
      <w:r w:rsidRPr="00123C78">
        <w:rPr>
          <w:rFonts w:asciiTheme="minorHAnsi" w:hAnsiTheme="minorHAnsi"/>
          <w:sz w:val="24"/>
          <w:szCs w:val="24"/>
        </w:rPr>
        <w:t xml:space="preserve"> for a retained intron expressed at a low level in the ZMIZ2 gene in human testes, K562 cells and HT29 cells (</w:t>
      </w:r>
      <w:r>
        <w:rPr>
          <w:rFonts w:asciiTheme="minorHAnsi" w:hAnsiTheme="minorHAnsi"/>
          <w:sz w:val="24"/>
          <w:szCs w:val="24"/>
        </w:rPr>
        <w:t xml:space="preserve">Figure </w:t>
      </w:r>
      <w:r w:rsidR="004C4634">
        <w:rPr>
          <w:rFonts w:asciiTheme="minorHAnsi" w:hAnsiTheme="minorHAnsi"/>
          <w:sz w:val="24"/>
          <w:szCs w:val="24"/>
        </w:rPr>
        <w:t>S</w:t>
      </w:r>
      <w:r>
        <w:rPr>
          <w:rFonts w:asciiTheme="minorHAnsi" w:hAnsiTheme="minorHAnsi"/>
          <w:sz w:val="24"/>
          <w:szCs w:val="24"/>
        </w:rPr>
        <w:t>1</w:t>
      </w:r>
      <w:r w:rsidRPr="00123C78">
        <w:rPr>
          <w:rFonts w:asciiTheme="minorHAnsi" w:hAnsiTheme="minorHAnsi"/>
          <w:sz w:val="24"/>
          <w:szCs w:val="24"/>
        </w:rPr>
        <w:t>A-C). We found that the RT-</w:t>
      </w:r>
      <w:proofErr w:type="spellStart"/>
      <w:r w:rsidRPr="00123C78">
        <w:rPr>
          <w:rFonts w:asciiTheme="minorHAnsi" w:hAnsiTheme="minorHAnsi"/>
          <w:sz w:val="24"/>
          <w:szCs w:val="24"/>
        </w:rPr>
        <w:t>qPCR</w:t>
      </w:r>
      <w:proofErr w:type="spellEnd"/>
      <w:r w:rsidRPr="00123C78">
        <w:rPr>
          <w:rFonts w:asciiTheme="minorHAnsi" w:hAnsiTheme="minorHAnsi"/>
          <w:sz w:val="24"/>
          <w:szCs w:val="24"/>
        </w:rPr>
        <w:t xml:space="preserve"> results agreed with </w:t>
      </w:r>
      <w:proofErr w:type="spellStart"/>
      <w:r w:rsidRPr="00123C78">
        <w:rPr>
          <w:rFonts w:asciiTheme="minorHAnsi" w:hAnsiTheme="minorHAnsi"/>
          <w:sz w:val="24"/>
          <w:szCs w:val="24"/>
        </w:rPr>
        <w:t>IRFinder</w:t>
      </w:r>
      <w:proofErr w:type="spellEnd"/>
      <w:r w:rsidRPr="00123C78">
        <w:rPr>
          <w:rFonts w:asciiTheme="minorHAnsi" w:hAnsiTheme="minorHAnsi"/>
          <w:sz w:val="24"/>
          <w:szCs w:val="24"/>
        </w:rPr>
        <w:t xml:space="preserve"> in all 3 tissues where a low level of IR was predicted in all 3 tissues. We then tested the last intron of PRKCA that has multiple regions of low </w:t>
      </w:r>
      <w:proofErr w:type="spellStart"/>
      <w:r w:rsidRPr="00123C78">
        <w:rPr>
          <w:rFonts w:asciiTheme="minorHAnsi" w:hAnsiTheme="minorHAnsi"/>
          <w:sz w:val="24"/>
          <w:szCs w:val="24"/>
        </w:rPr>
        <w:t>mappability</w:t>
      </w:r>
      <w:proofErr w:type="spellEnd"/>
      <w:r w:rsidRPr="00123C78">
        <w:rPr>
          <w:rFonts w:asciiTheme="minorHAnsi" w:hAnsiTheme="minorHAnsi"/>
          <w:sz w:val="24"/>
          <w:szCs w:val="24"/>
        </w:rPr>
        <w:t xml:space="preserve"> (</w:t>
      </w:r>
      <w:r>
        <w:rPr>
          <w:rFonts w:asciiTheme="minorHAnsi" w:hAnsiTheme="minorHAnsi"/>
          <w:sz w:val="24"/>
          <w:szCs w:val="24"/>
        </w:rPr>
        <w:t xml:space="preserve">Figure </w:t>
      </w:r>
      <w:r w:rsidR="004C4634">
        <w:rPr>
          <w:rFonts w:asciiTheme="minorHAnsi" w:hAnsiTheme="minorHAnsi"/>
          <w:sz w:val="24"/>
          <w:szCs w:val="24"/>
        </w:rPr>
        <w:t>S</w:t>
      </w:r>
      <w:r>
        <w:rPr>
          <w:rFonts w:asciiTheme="minorHAnsi" w:hAnsiTheme="minorHAnsi"/>
          <w:sz w:val="24"/>
          <w:szCs w:val="24"/>
        </w:rPr>
        <w:t>1</w:t>
      </w:r>
      <w:r w:rsidRPr="00123C78">
        <w:rPr>
          <w:rFonts w:asciiTheme="minorHAnsi" w:hAnsiTheme="minorHAnsi"/>
          <w:sz w:val="24"/>
          <w:szCs w:val="24"/>
        </w:rPr>
        <w:t xml:space="preserve">D-E). These regions of low </w:t>
      </w:r>
      <w:proofErr w:type="spellStart"/>
      <w:r w:rsidRPr="00123C78">
        <w:rPr>
          <w:rFonts w:asciiTheme="minorHAnsi" w:hAnsiTheme="minorHAnsi"/>
          <w:sz w:val="24"/>
          <w:szCs w:val="24"/>
        </w:rPr>
        <w:t>mappability</w:t>
      </w:r>
      <w:proofErr w:type="spellEnd"/>
      <w:r w:rsidRPr="00123C78">
        <w:rPr>
          <w:rFonts w:asciiTheme="minorHAnsi" w:hAnsiTheme="minorHAnsi"/>
          <w:sz w:val="24"/>
          <w:szCs w:val="24"/>
        </w:rPr>
        <w:t xml:space="preserve"> are visible in </w:t>
      </w:r>
      <w:r>
        <w:rPr>
          <w:rFonts w:asciiTheme="minorHAnsi" w:hAnsiTheme="minorHAnsi"/>
          <w:sz w:val="24"/>
          <w:szCs w:val="24"/>
        </w:rPr>
        <w:t xml:space="preserve">Figure </w:t>
      </w:r>
      <w:r w:rsidR="004C4634">
        <w:rPr>
          <w:rFonts w:asciiTheme="minorHAnsi" w:hAnsiTheme="minorHAnsi"/>
          <w:sz w:val="24"/>
          <w:szCs w:val="24"/>
        </w:rPr>
        <w:t>S</w:t>
      </w:r>
      <w:r>
        <w:rPr>
          <w:rFonts w:asciiTheme="minorHAnsi" w:hAnsiTheme="minorHAnsi"/>
          <w:sz w:val="24"/>
          <w:szCs w:val="24"/>
        </w:rPr>
        <w:t>1</w:t>
      </w:r>
      <w:r w:rsidRPr="00123C78">
        <w:rPr>
          <w:rFonts w:asciiTheme="minorHAnsi" w:hAnsiTheme="minorHAnsi"/>
          <w:sz w:val="24"/>
          <w:szCs w:val="24"/>
        </w:rPr>
        <w:t>D (highlighted in red) where sudden drops in coverage occur in the last intron. This intron was predicted to be retained in HT29 but not in testis or K562. These predictions were verified by RT-</w:t>
      </w:r>
      <w:proofErr w:type="spellStart"/>
      <w:r w:rsidRPr="00123C78">
        <w:rPr>
          <w:rFonts w:asciiTheme="minorHAnsi" w:hAnsiTheme="minorHAnsi"/>
          <w:sz w:val="24"/>
          <w:szCs w:val="24"/>
        </w:rPr>
        <w:t>qPCR</w:t>
      </w:r>
      <w:proofErr w:type="spellEnd"/>
      <w:r w:rsidRPr="00123C78">
        <w:rPr>
          <w:rFonts w:asciiTheme="minorHAnsi" w:hAnsiTheme="minorHAnsi"/>
          <w:sz w:val="24"/>
          <w:szCs w:val="24"/>
        </w:rPr>
        <w:t>.</w:t>
      </w:r>
    </w:p>
    <w:p w:rsidR="00074840" w:rsidRPr="001074F6" w:rsidRDefault="00074840" w:rsidP="00074840">
      <w:pPr>
        <w:pStyle w:val="ColorfulList-Accent21"/>
        <w:spacing w:line="360" w:lineRule="auto"/>
        <w:jc w:val="both"/>
        <w:rPr>
          <w:rFonts w:asciiTheme="minorHAnsi" w:hAnsiTheme="minorHAnsi"/>
          <w:sz w:val="24"/>
          <w:szCs w:val="24"/>
        </w:rPr>
      </w:pPr>
      <w:r w:rsidRPr="0050523F">
        <w:rPr>
          <w:noProof/>
          <w:lang w:val="en-NZ" w:eastAsia="en-NZ"/>
        </w:rPr>
        <w:drawing>
          <wp:anchor distT="0" distB="0" distL="114300" distR="114300" simplePos="0" relativeHeight="251659264" behindDoc="0" locked="0" layoutInCell="1" allowOverlap="1">
            <wp:simplePos x="0" y="0"/>
            <wp:positionH relativeFrom="column">
              <wp:posOffset>0</wp:posOffset>
            </wp:positionH>
            <wp:positionV relativeFrom="paragraph">
              <wp:posOffset>97155</wp:posOffset>
            </wp:positionV>
            <wp:extent cx="3429000" cy="3429635"/>
            <wp:effectExtent l="0" t="0" r="0" b="0"/>
            <wp:wrapTight wrapText="bothSides">
              <wp:wrapPolygon edited="0">
                <wp:start x="0" y="0"/>
                <wp:lineTo x="0" y="21436"/>
                <wp:lineTo x="21440" y="21436"/>
                <wp:lineTo x="214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615 IRFinder 2.2-AA5.pdf"/>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429000" cy="3429635"/>
                    </a:xfrm>
                    <a:prstGeom prst="rect">
                      <a:avLst/>
                    </a:prstGeom>
                    <a:ln>
                      <a:noFill/>
                    </a:ln>
                    <a:extLst>
                      <a:ext uri="{53640926-AAD7-44d8-BBD7-CCE9431645EC}">
                        <a14:shadowObscured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074840" w:rsidRPr="006B0D4F" w:rsidRDefault="00074840" w:rsidP="00985862">
      <w:pPr>
        <w:pStyle w:val="Caption"/>
        <w:rPr>
          <w:b w:val="0"/>
        </w:rPr>
      </w:pPr>
      <w:r>
        <w:rPr>
          <w:rFonts w:asciiTheme="minorHAnsi" w:hAnsiTheme="minorHAnsi"/>
          <w:color w:val="auto"/>
          <w:sz w:val="24"/>
          <w:szCs w:val="24"/>
        </w:rPr>
        <w:t xml:space="preserve">Figure </w:t>
      </w:r>
      <w:r w:rsidR="00985862">
        <w:rPr>
          <w:rFonts w:asciiTheme="minorHAnsi" w:hAnsiTheme="minorHAnsi"/>
          <w:color w:val="auto"/>
          <w:sz w:val="24"/>
          <w:szCs w:val="24"/>
        </w:rPr>
        <w:t>S</w:t>
      </w:r>
      <w:r>
        <w:rPr>
          <w:rFonts w:asciiTheme="minorHAnsi" w:hAnsiTheme="minorHAnsi"/>
          <w:color w:val="auto"/>
          <w:sz w:val="24"/>
          <w:szCs w:val="24"/>
        </w:rPr>
        <w:t>1</w:t>
      </w:r>
      <w:r w:rsidRPr="00921131">
        <w:rPr>
          <w:rFonts w:asciiTheme="minorHAnsi" w:hAnsiTheme="minorHAnsi"/>
          <w:color w:val="auto"/>
          <w:sz w:val="24"/>
          <w:szCs w:val="24"/>
        </w:rPr>
        <w:t xml:space="preserve">: </w:t>
      </w:r>
      <w:r w:rsidRPr="006B0D4F">
        <w:rPr>
          <w:rFonts w:asciiTheme="minorHAnsi" w:hAnsiTheme="minorHAnsi"/>
          <w:b w:val="0"/>
          <w:color w:val="auto"/>
          <w:sz w:val="24"/>
          <w:szCs w:val="24"/>
        </w:rPr>
        <w:t>mRNA-</w:t>
      </w:r>
      <w:proofErr w:type="spellStart"/>
      <w:r w:rsidRPr="006B0D4F">
        <w:rPr>
          <w:rFonts w:asciiTheme="minorHAnsi" w:hAnsiTheme="minorHAnsi"/>
          <w:b w:val="0"/>
          <w:color w:val="auto"/>
          <w:sz w:val="24"/>
          <w:szCs w:val="24"/>
        </w:rPr>
        <w:t>seq</w:t>
      </w:r>
      <w:proofErr w:type="spellEnd"/>
      <w:r w:rsidRPr="006B0D4F">
        <w:rPr>
          <w:rFonts w:asciiTheme="minorHAnsi" w:hAnsiTheme="minorHAnsi"/>
          <w:b w:val="0"/>
          <w:color w:val="auto"/>
          <w:sz w:val="24"/>
          <w:szCs w:val="24"/>
        </w:rPr>
        <w:t xml:space="preserve"> reads (</w:t>
      </w:r>
      <w:proofErr w:type="spellStart"/>
      <w:r w:rsidRPr="006B0D4F">
        <w:rPr>
          <w:rFonts w:asciiTheme="minorHAnsi" w:hAnsiTheme="minorHAnsi"/>
          <w:b w:val="0"/>
          <w:color w:val="auto"/>
          <w:sz w:val="24"/>
          <w:szCs w:val="24"/>
        </w:rPr>
        <w:t>normalised</w:t>
      </w:r>
      <w:proofErr w:type="spellEnd"/>
      <w:r w:rsidRPr="006B0D4F">
        <w:rPr>
          <w:rFonts w:asciiTheme="minorHAnsi" w:hAnsiTheme="minorHAnsi"/>
          <w:b w:val="0"/>
          <w:color w:val="auto"/>
          <w:sz w:val="24"/>
          <w:szCs w:val="24"/>
        </w:rPr>
        <w:t xml:space="preserve"> per total number of </w:t>
      </w:r>
      <w:proofErr w:type="spellStart"/>
      <w:r w:rsidRPr="006B0D4F">
        <w:rPr>
          <w:rFonts w:asciiTheme="minorHAnsi" w:hAnsiTheme="minorHAnsi"/>
          <w:b w:val="0"/>
          <w:color w:val="auto"/>
          <w:sz w:val="24"/>
          <w:szCs w:val="24"/>
        </w:rPr>
        <w:t>mappable</w:t>
      </w:r>
      <w:proofErr w:type="spellEnd"/>
      <w:r w:rsidRPr="006B0D4F">
        <w:rPr>
          <w:rFonts w:asciiTheme="minorHAnsi" w:hAnsiTheme="minorHAnsi"/>
          <w:b w:val="0"/>
          <w:color w:val="auto"/>
          <w:sz w:val="24"/>
          <w:szCs w:val="24"/>
        </w:rPr>
        <w:t xml:space="preserve"> reads, RPM) in human testes, K562 cells and HT29 cells represented on the same scale using IGV v2.1 </w:t>
      </w:r>
      <w:r>
        <w:rPr>
          <w:rFonts w:asciiTheme="minorHAnsi" w:hAnsiTheme="minorHAnsi"/>
          <w:b w:val="0"/>
          <w:color w:val="auto"/>
          <w:sz w:val="24"/>
          <w:szCs w:val="24"/>
        </w:rPr>
        <w:t xml:space="preserve">for </w:t>
      </w:r>
      <w:r w:rsidRPr="006B0D4F">
        <w:rPr>
          <w:rFonts w:asciiTheme="minorHAnsi" w:hAnsiTheme="minorHAnsi"/>
          <w:b w:val="0"/>
          <w:i/>
          <w:color w:val="auto"/>
          <w:sz w:val="24"/>
          <w:szCs w:val="24"/>
        </w:rPr>
        <w:t>ZMIZ2</w:t>
      </w:r>
      <w:r w:rsidRPr="006B0D4F">
        <w:rPr>
          <w:rFonts w:asciiTheme="minorHAnsi" w:hAnsiTheme="minorHAnsi"/>
          <w:b w:val="0"/>
          <w:color w:val="auto"/>
          <w:sz w:val="24"/>
          <w:szCs w:val="24"/>
        </w:rPr>
        <w:t xml:space="preserve"> (A) and </w:t>
      </w:r>
      <w:r w:rsidRPr="006B0D4F">
        <w:rPr>
          <w:rFonts w:asciiTheme="minorHAnsi" w:hAnsiTheme="minorHAnsi"/>
          <w:b w:val="0"/>
          <w:i/>
          <w:color w:val="auto"/>
          <w:sz w:val="24"/>
          <w:szCs w:val="24"/>
        </w:rPr>
        <w:t>PRKCA</w:t>
      </w:r>
      <w:r w:rsidRPr="006B0D4F">
        <w:rPr>
          <w:rFonts w:asciiTheme="minorHAnsi" w:hAnsiTheme="minorHAnsi"/>
          <w:b w:val="0"/>
          <w:color w:val="auto"/>
          <w:sz w:val="24"/>
          <w:szCs w:val="24"/>
        </w:rPr>
        <w:t xml:space="preserve"> (D). (B, E) Insert of region showing IR and primer positions to detect the exon-intron junction, P1; intron-retaining region, P2; and intron-exon junction, P3, expression. The IR ratio detected by </w:t>
      </w:r>
      <w:proofErr w:type="spellStart"/>
      <w:r w:rsidRPr="006B0D4F">
        <w:rPr>
          <w:rFonts w:asciiTheme="minorHAnsi" w:hAnsiTheme="minorHAnsi"/>
          <w:b w:val="0"/>
          <w:color w:val="auto"/>
          <w:sz w:val="24"/>
          <w:szCs w:val="24"/>
        </w:rPr>
        <w:t>IRFinder</w:t>
      </w:r>
      <w:proofErr w:type="spellEnd"/>
      <w:r w:rsidRPr="006B0D4F">
        <w:rPr>
          <w:rFonts w:asciiTheme="minorHAnsi" w:hAnsiTheme="minorHAnsi"/>
          <w:b w:val="0"/>
          <w:color w:val="auto"/>
          <w:sz w:val="24"/>
          <w:szCs w:val="24"/>
        </w:rPr>
        <w:t xml:space="preserve"> is indicated on the IGV plot. (C, F) Expression of retained introns and flanking junctions for each gene. RT-</w:t>
      </w:r>
      <w:proofErr w:type="spellStart"/>
      <w:r w:rsidRPr="006B0D4F">
        <w:rPr>
          <w:rFonts w:asciiTheme="minorHAnsi" w:hAnsiTheme="minorHAnsi"/>
          <w:b w:val="0"/>
          <w:color w:val="auto"/>
          <w:sz w:val="24"/>
          <w:szCs w:val="24"/>
        </w:rPr>
        <w:t>qPCR</w:t>
      </w:r>
      <w:proofErr w:type="spellEnd"/>
      <w:r w:rsidRPr="006B0D4F">
        <w:rPr>
          <w:rFonts w:asciiTheme="minorHAnsi" w:hAnsiTheme="minorHAnsi"/>
          <w:b w:val="0"/>
          <w:color w:val="auto"/>
          <w:sz w:val="24"/>
          <w:szCs w:val="24"/>
        </w:rPr>
        <w:t xml:space="preserve"> data are from three independent </w:t>
      </w:r>
      <w:r w:rsidRPr="006B0D4F">
        <w:rPr>
          <w:rFonts w:asciiTheme="minorHAnsi" w:hAnsiTheme="minorHAnsi"/>
          <w:b w:val="0"/>
          <w:color w:val="auto"/>
          <w:sz w:val="24"/>
          <w:szCs w:val="24"/>
        </w:rPr>
        <w:lastRenderedPageBreak/>
        <w:t>experiments each in triplicate (mean ± SEM).</w:t>
      </w:r>
    </w:p>
    <w:p w:rsidR="00074840" w:rsidRDefault="00074840" w:rsidP="00074840">
      <w:pPr>
        <w:rPr>
          <w:rFonts w:ascii="Times New Roman" w:hAnsi="Times New Roman" w:cs="Times New Roman"/>
        </w:rPr>
      </w:pPr>
    </w:p>
    <w:p w:rsidR="00074840" w:rsidRDefault="00074840" w:rsidP="00074840">
      <w:pPr>
        <w:rPr>
          <w:rFonts w:ascii="Times New Roman" w:hAnsi="Times New Roman" w:cs="Times New Roman"/>
        </w:rPr>
      </w:pPr>
    </w:p>
    <w:p w:rsidR="00074840" w:rsidRDefault="00074840" w:rsidP="00074840">
      <w:pPr>
        <w:rPr>
          <w:rFonts w:ascii="Times New Roman" w:hAnsi="Times New Roman" w:cs="Times New Roman"/>
        </w:rPr>
      </w:pPr>
    </w:p>
    <w:p w:rsidR="00074840" w:rsidRDefault="00074840" w:rsidP="00074840">
      <w:pPr>
        <w:rPr>
          <w:rFonts w:ascii="Times New Roman" w:hAnsi="Times New Roman" w:cs="Times New Roman"/>
        </w:rPr>
      </w:pPr>
      <w:r>
        <w:rPr>
          <w:rFonts w:ascii="Times New Roman" w:hAnsi="Times New Roman" w:cs="Times New Roman"/>
        </w:rPr>
        <w:t xml:space="preserve">Table </w:t>
      </w:r>
      <w:r w:rsidR="00985862">
        <w:rPr>
          <w:rFonts w:ascii="Times New Roman" w:hAnsi="Times New Roman" w:cs="Times New Roman"/>
        </w:rPr>
        <w:t>S</w:t>
      </w:r>
      <w:r>
        <w:rPr>
          <w:rFonts w:ascii="Times New Roman" w:hAnsi="Times New Roman" w:cs="Times New Roman"/>
        </w:rPr>
        <w:t>1 : Primer sequences and locations</w:t>
      </w:r>
    </w:p>
    <w:tbl>
      <w:tblPr>
        <w:tblW w:w="7730" w:type="dxa"/>
        <w:tblInd w:w="93" w:type="dxa"/>
        <w:tblLook w:val="04A0"/>
      </w:tblPr>
      <w:tblGrid>
        <w:gridCol w:w="983"/>
        <w:gridCol w:w="960"/>
        <w:gridCol w:w="3127"/>
        <w:gridCol w:w="2660"/>
      </w:tblGrid>
      <w:tr w:rsidR="00074840" w:rsidRPr="006F1C68" w:rsidTr="00BD7BAD">
        <w:trPr>
          <w:trHeight w:val="30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b/>
                <w:bCs/>
                <w:color w:val="000000"/>
                <w:sz w:val="20"/>
                <w:szCs w:val="20"/>
                <w:lang w:val="en-AU"/>
              </w:rPr>
            </w:pPr>
            <w:r w:rsidRPr="006F1C68">
              <w:rPr>
                <w:rFonts w:ascii="Times New Roman" w:eastAsia="Times New Roman" w:hAnsi="Times New Roman" w:cs="Times New Roman"/>
                <w:b/>
                <w:bCs/>
                <w:color w:val="000000"/>
                <w:sz w:val="20"/>
                <w:szCs w:val="20"/>
                <w:lang w:val="en-AU"/>
              </w:rPr>
              <w:t>Gene</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b/>
                <w:bCs/>
                <w:sz w:val="20"/>
                <w:szCs w:val="20"/>
                <w:lang w:val="en-AU"/>
              </w:rPr>
            </w:pPr>
            <w:r w:rsidRPr="006F1C68">
              <w:rPr>
                <w:rFonts w:ascii="Times New Roman" w:eastAsia="Times New Roman" w:hAnsi="Times New Roman" w:cs="Times New Roman"/>
                <w:b/>
                <w:bCs/>
                <w:sz w:val="20"/>
                <w:szCs w:val="20"/>
                <w:lang w:val="en-AU"/>
              </w:rPr>
              <w:t>Position</w:t>
            </w:r>
          </w:p>
        </w:tc>
        <w:tc>
          <w:tcPr>
            <w:tcW w:w="3127" w:type="dxa"/>
            <w:tcBorders>
              <w:top w:val="single" w:sz="4" w:space="0" w:color="auto"/>
              <w:left w:val="nil"/>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b/>
                <w:bCs/>
                <w:sz w:val="20"/>
                <w:szCs w:val="20"/>
                <w:lang w:val="en-AU"/>
              </w:rPr>
            </w:pPr>
            <w:r w:rsidRPr="006F1C68">
              <w:rPr>
                <w:rFonts w:ascii="Times New Roman" w:eastAsia="Times New Roman" w:hAnsi="Times New Roman" w:cs="Times New Roman"/>
                <w:b/>
                <w:bCs/>
                <w:sz w:val="20"/>
                <w:szCs w:val="20"/>
                <w:lang w:val="en-AU"/>
              </w:rPr>
              <w:t>Primer Sequence</w:t>
            </w:r>
          </w:p>
        </w:tc>
        <w:tc>
          <w:tcPr>
            <w:tcW w:w="26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b/>
                <w:bCs/>
                <w:color w:val="000000"/>
                <w:sz w:val="20"/>
                <w:szCs w:val="20"/>
                <w:lang w:val="en-AU"/>
              </w:rPr>
            </w:pPr>
            <w:r w:rsidRPr="006F1C68">
              <w:rPr>
                <w:rFonts w:ascii="Times New Roman" w:eastAsia="Times New Roman" w:hAnsi="Times New Roman" w:cs="Times New Roman"/>
                <w:b/>
                <w:bCs/>
                <w:color w:val="000000"/>
                <w:sz w:val="20"/>
                <w:szCs w:val="20"/>
                <w:lang w:val="en-AU"/>
              </w:rPr>
              <w:t>Location</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ZMIZ2</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Ex-In</w:t>
            </w:r>
          </w:p>
        </w:tc>
        <w:tc>
          <w:tcPr>
            <w:tcW w:w="3127" w:type="dxa"/>
            <w:tcBorders>
              <w:top w:val="nil"/>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TGGCTGTAAGCAACCATGTC</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7:44801133-44801250</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GTGTGGGAGGAGGAACAGAG</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In-Ex</w:t>
            </w:r>
          </w:p>
        </w:tc>
        <w:tc>
          <w:tcPr>
            <w:tcW w:w="3127" w:type="dxa"/>
            <w:tcBorders>
              <w:top w:val="nil"/>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TGTTCCTCCTCCCACACTCT</w:t>
            </w:r>
          </w:p>
        </w:tc>
        <w:tc>
          <w:tcPr>
            <w:tcW w:w="2660"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7:44801234-44801334</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CTCGTGGTGGTAGCACTTGA</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In-In</w:t>
            </w:r>
          </w:p>
        </w:tc>
        <w:tc>
          <w:tcPr>
            <w:tcW w:w="3127" w:type="dxa"/>
            <w:tcBorders>
              <w:top w:val="single" w:sz="4" w:space="0" w:color="auto"/>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GACCCTGATAATGAGGTGAGC</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7:44801179-44801298</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AGGCCTGCTCAGGAAGATG</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808080"/>
                <w:sz w:val="20"/>
                <w:szCs w:val="20"/>
                <w:lang w:val="en-AU"/>
              </w:rPr>
            </w:pPr>
            <w:r w:rsidRPr="006F1C68">
              <w:rPr>
                <w:rFonts w:ascii="Times New Roman" w:eastAsia="Times New Roman" w:hAnsi="Times New Roman" w:cs="Times New Roman"/>
                <w:color w:val="80808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Ex-Ex</w:t>
            </w:r>
          </w:p>
        </w:tc>
        <w:tc>
          <w:tcPr>
            <w:tcW w:w="3127" w:type="dxa"/>
            <w:tcBorders>
              <w:top w:val="single" w:sz="4" w:space="0" w:color="auto"/>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TGGCTGTAAGCAACCATGTC</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7:44801133-44801334</w:t>
            </w:r>
          </w:p>
        </w:tc>
      </w:tr>
      <w:tr w:rsidR="00074840" w:rsidRPr="006F1C68" w:rsidTr="00BD7BAD">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808080"/>
                <w:sz w:val="20"/>
                <w:szCs w:val="20"/>
                <w:lang w:val="en-AU"/>
              </w:rPr>
            </w:pPr>
            <w:r w:rsidRPr="006F1C68">
              <w:rPr>
                <w:rFonts w:ascii="Times New Roman" w:eastAsia="Times New Roman" w:hAnsi="Times New Roman" w:cs="Times New Roman"/>
                <w:color w:val="808080"/>
                <w:sz w:val="20"/>
                <w:szCs w:val="20"/>
                <w:lang w:val="en-AU"/>
              </w:rPr>
              <w:t> </w:t>
            </w:r>
          </w:p>
        </w:tc>
        <w:tc>
          <w:tcPr>
            <w:tcW w:w="960" w:type="dxa"/>
            <w:tcBorders>
              <w:top w:val="nil"/>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CTCGTGGTGGTAGCACTTGA</w:t>
            </w:r>
          </w:p>
        </w:tc>
        <w:tc>
          <w:tcPr>
            <w:tcW w:w="2660"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PRKCA</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Ex-In</w:t>
            </w:r>
          </w:p>
        </w:tc>
        <w:tc>
          <w:tcPr>
            <w:tcW w:w="3127" w:type="dxa"/>
            <w:tcBorders>
              <w:top w:val="nil"/>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CTTCTTCCGGAGGATCGACT</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17:64785028-64785122</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AAACAGGCTGCTTTTCTGGA</w:t>
            </w:r>
          </w:p>
        </w:tc>
        <w:tc>
          <w:tcPr>
            <w:tcW w:w="2660"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In-Ex</w:t>
            </w:r>
          </w:p>
        </w:tc>
        <w:tc>
          <w:tcPr>
            <w:tcW w:w="3127" w:type="dxa"/>
            <w:tcBorders>
              <w:top w:val="single" w:sz="4" w:space="0" w:color="auto"/>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CCGCATTGTCATGTTGACTG</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17:64799940-64800054</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GTGGTGTTAAGACGGGCTGT</w:t>
            </w:r>
          </w:p>
        </w:tc>
        <w:tc>
          <w:tcPr>
            <w:tcW w:w="2660"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In-In</w:t>
            </w:r>
          </w:p>
        </w:tc>
        <w:tc>
          <w:tcPr>
            <w:tcW w:w="3127" w:type="dxa"/>
            <w:tcBorders>
              <w:top w:val="single" w:sz="4" w:space="0" w:color="auto"/>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CTGGTCTCAGGGAGTTCAGC</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17:64793857-64793950</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ACGATGGGTATGGGACAGAG</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r w:rsidR="00074840" w:rsidRPr="006F1C68" w:rsidTr="00BD7BAD">
        <w:trPr>
          <w:trHeight w:val="300"/>
        </w:trPr>
        <w:tc>
          <w:tcPr>
            <w:tcW w:w="983" w:type="dxa"/>
            <w:tcBorders>
              <w:top w:val="nil"/>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single" w:sz="4" w:space="0" w:color="auto"/>
              <w:left w:val="nil"/>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Ex-Ex</w:t>
            </w:r>
          </w:p>
        </w:tc>
        <w:tc>
          <w:tcPr>
            <w:tcW w:w="3127" w:type="dxa"/>
            <w:tcBorders>
              <w:top w:val="single" w:sz="4" w:space="0" w:color="auto"/>
              <w:left w:val="nil"/>
              <w:bottom w:val="nil"/>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TGGAGAACAGGGAGATCCAG</w:t>
            </w:r>
          </w:p>
        </w:tc>
        <w:tc>
          <w:tcPr>
            <w:tcW w:w="2660" w:type="dxa"/>
            <w:tcBorders>
              <w:top w:val="single" w:sz="4" w:space="0" w:color="auto"/>
              <w:left w:val="single" w:sz="4" w:space="0" w:color="auto"/>
              <w:bottom w:val="nil"/>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17:64785057-64800054</w:t>
            </w:r>
          </w:p>
        </w:tc>
      </w:tr>
      <w:tr w:rsidR="00074840" w:rsidRPr="006F1C68" w:rsidTr="00BD7BAD">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c>
          <w:tcPr>
            <w:tcW w:w="960" w:type="dxa"/>
            <w:tcBorders>
              <w:top w:val="nil"/>
              <w:left w:val="nil"/>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 </w:t>
            </w:r>
          </w:p>
        </w:tc>
        <w:tc>
          <w:tcPr>
            <w:tcW w:w="3127" w:type="dxa"/>
            <w:tcBorders>
              <w:top w:val="nil"/>
              <w:left w:val="nil"/>
              <w:bottom w:val="single" w:sz="4" w:space="0" w:color="auto"/>
              <w:right w:val="nil"/>
            </w:tcBorders>
            <w:shd w:val="clear" w:color="auto" w:fill="auto"/>
            <w:noWrap/>
            <w:vAlign w:val="bottom"/>
            <w:hideMark/>
          </w:tcPr>
          <w:p w:rsidR="00074840" w:rsidRPr="006F1C68" w:rsidRDefault="00074840" w:rsidP="00BD7BAD">
            <w:pPr>
              <w:rPr>
                <w:rFonts w:ascii="Times New Roman" w:eastAsia="Times New Roman" w:hAnsi="Times New Roman" w:cs="Times New Roman"/>
                <w:sz w:val="20"/>
                <w:szCs w:val="20"/>
                <w:lang w:val="en-AU"/>
              </w:rPr>
            </w:pPr>
            <w:r w:rsidRPr="006F1C68">
              <w:rPr>
                <w:rFonts w:ascii="Times New Roman" w:eastAsia="Times New Roman" w:hAnsi="Times New Roman" w:cs="Times New Roman"/>
                <w:sz w:val="20"/>
                <w:szCs w:val="20"/>
                <w:lang w:val="en-AU"/>
              </w:rPr>
              <w:t>GTGGTGTTAAGACGGGCTGT</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074840" w:rsidRPr="006F1C68" w:rsidRDefault="00074840" w:rsidP="00BD7BAD">
            <w:pPr>
              <w:rPr>
                <w:rFonts w:ascii="Times New Roman" w:eastAsia="Times New Roman" w:hAnsi="Times New Roman" w:cs="Times New Roman"/>
                <w:color w:val="000000"/>
                <w:sz w:val="20"/>
                <w:szCs w:val="20"/>
                <w:lang w:val="en-AU"/>
              </w:rPr>
            </w:pPr>
            <w:r w:rsidRPr="006F1C68">
              <w:rPr>
                <w:rFonts w:ascii="Times New Roman" w:eastAsia="Times New Roman" w:hAnsi="Times New Roman" w:cs="Times New Roman"/>
                <w:color w:val="000000"/>
                <w:sz w:val="20"/>
                <w:szCs w:val="20"/>
                <w:lang w:val="en-AU"/>
              </w:rPr>
              <w:t> </w:t>
            </w:r>
          </w:p>
        </w:tc>
      </w:tr>
    </w:tbl>
    <w:p w:rsidR="00074840" w:rsidRDefault="00074840" w:rsidP="00074840">
      <w:pPr>
        <w:rPr>
          <w:rFonts w:ascii="Times New Roman" w:hAnsi="Times New Roman" w:cs="Times New Roman"/>
        </w:rPr>
      </w:pPr>
    </w:p>
    <w:p w:rsidR="00074840" w:rsidRDefault="00074840" w:rsidP="00074840">
      <w:pPr>
        <w:rPr>
          <w:rFonts w:ascii="Times New Roman" w:hAnsi="Times New Roman" w:cs="Times New Roman"/>
        </w:rPr>
      </w:pPr>
    </w:p>
    <w:p w:rsidR="00074840" w:rsidRDefault="00074840" w:rsidP="00074840">
      <w:pPr>
        <w:spacing w:line="360" w:lineRule="auto"/>
        <w:jc w:val="both"/>
        <w:rPr>
          <w:rFonts w:cs="Times New Roman"/>
          <w:b/>
        </w:rPr>
      </w:pPr>
    </w:p>
    <w:p w:rsidR="00074840" w:rsidRDefault="00074840" w:rsidP="00074840">
      <w:pPr>
        <w:spacing w:line="360" w:lineRule="auto"/>
        <w:jc w:val="both"/>
        <w:rPr>
          <w:rFonts w:cs="Times New Roman"/>
          <w:b/>
        </w:rPr>
      </w:pPr>
    </w:p>
    <w:p w:rsidR="00074840" w:rsidRDefault="00074840" w:rsidP="00074840">
      <w:pPr>
        <w:rPr>
          <w:rFonts w:cs="Times New Roman"/>
          <w:b/>
        </w:rPr>
      </w:pPr>
      <w:r>
        <w:rPr>
          <w:rFonts w:cs="Times New Roman"/>
          <w:b/>
        </w:rPr>
        <w:br w:type="page"/>
      </w:r>
    </w:p>
    <w:p w:rsidR="0015494B" w:rsidRDefault="0015494B">
      <w:bookmarkStart w:id="1" w:name="_GoBack"/>
      <w:bookmarkEnd w:id="1"/>
    </w:p>
    <w:sectPr w:rsidR="0015494B" w:rsidSect="00A229C7">
      <w:pgSz w:w="11900" w:h="16840"/>
      <w:pgMar w:top="1134" w:right="1134" w:bottom="1712" w:left="1134" w:header="720" w:footer="1134" w:gutter="0"/>
      <w:cols w:space="708"/>
      <w:docGrid w:linePitch="312" w:charSpace="3276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P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ＭＳ ゴシック">
    <w:altName w:val="MS PMincho"/>
    <w:charset w:val="4E"/>
    <w:family w:val="auto"/>
    <w:pitch w:val="variable"/>
    <w:sig w:usb0="00000000" w:usb1="6AC7FDFB" w:usb2="00000012" w:usb3="00000000" w:csb0="0002009F" w:csb1="00000000"/>
  </w:font>
  <w:font w:name="宋体">
    <w:altName w:val="Arial Unicode MS"/>
    <w:charset w:val="50"/>
    <w:family w:val="auto"/>
    <w:pitch w:val="variable"/>
    <w:sig w:usb0="00000000"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efaultTabStop w:val="720"/>
  <w:drawingGridHorizontalSpacing w:val="360"/>
  <w:drawingGridVerticalSpacing w:val="360"/>
  <w:displayHorizontalDrawingGridEvery w:val="0"/>
  <w:displayVerticalDrawingGridEvery w:val="0"/>
  <w:characterSpacingControl w:val="doNotCompress"/>
  <w:compat>
    <w:useFELayout/>
  </w:compat>
  <w:rsids>
    <w:rsidRoot w:val="00074840"/>
    <w:rsid w:val="00074840"/>
    <w:rsid w:val="0015494B"/>
    <w:rsid w:val="00186956"/>
    <w:rsid w:val="003849AB"/>
    <w:rsid w:val="003F6691"/>
    <w:rsid w:val="004C4634"/>
    <w:rsid w:val="006A1C7D"/>
    <w:rsid w:val="00985862"/>
    <w:rsid w:val="00A229C7"/>
  </w:rsids>
  <m:mathPr>
    <m:mathFont m:val="Cambria Math"/>
    <m:brkBin m:val="before"/>
    <m:brkBinSub m:val="--"/>
    <m:smallFrac m:val="off"/>
    <m:dispDef m:val="off"/>
    <m:lMargin m:val="0"/>
    <m:rMargin m:val="0"/>
    <m:defJc m:val="centerGroup"/>
    <m:wrapRight/>
    <m:intLim m:val="subSup"/>
    <m:naryLim m:val="subSup"/>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840"/>
    <w:rPr>
      <w:noProof/>
      <w:lang w:val="fr-FR"/>
    </w:rPr>
  </w:style>
  <w:style w:type="paragraph" w:styleId="Heading1">
    <w:name w:val="heading 1"/>
    <w:basedOn w:val="Normal"/>
    <w:next w:val="Normal"/>
    <w:link w:val="Heading1Char"/>
    <w:uiPriority w:val="9"/>
    <w:qFormat/>
    <w:rsid w:val="0007484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840"/>
    <w:rPr>
      <w:rFonts w:asciiTheme="majorHAnsi" w:eastAsiaTheme="majorEastAsia" w:hAnsiTheme="majorHAnsi" w:cstheme="majorBidi"/>
      <w:b/>
      <w:bCs/>
      <w:noProof/>
      <w:color w:val="345A8A" w:themeColor="accent1" w:themeShade="B5"/>
      <w:sz w:val="32"/>
      <w:szCs w:val="32"/>
      <w:lang w:val="fr-FR"/>
    </w:rPr>
  </w:style>
  <w:style w:type="paragraph" w:styleId="Caption">
    <w:name w:val="caption"/>
    <w:basedOn w:val="Normal"/>
    <w:next w:val="Normal"/>
    <w:unhideWhenUsed/>
    <w:qFormat/>
    <w:rsid w:val="00074840"/>
    <w:pPr>
      <w:spacing w:after="200"/>
    </w:pPr>
    <w:rPr>
      <w:rFonts w:ascii="Calibri" w:eastAsia="宋体" w:hAnsi="Calibri" w:cs="Times New Roman"/>
      <w:b/>
      <w:bCs/>
      <w:noProof w:val="0"/>
      <w:color w:val="4F81BD" w:themeColor="accent1"/>
      <w:sz w:val="18"/>
      <w:szCs w:val="18"/>
      <w:lang w:val="en-US" w:eastAsia="zh-CN"/>
    </w:rPr>
  </w:style>
  <w:style w:type="paragraph" w:customStyle="1" w:styleId="ColorfulList-Accent21">
    <w:name w:val="Colorful List - Accent 21"/>
    <w:uiPriority w:val="1"/>
    <w:qFormat/>
    <w:rsid w:val="00074840"/>
    <w:rPr>
      <w:rFonts w:ascii="Calibri" w:eastAsia="宋体" w:hAnsi="Calibri" w:cs="Times New Roman"/>
      <w:sz w:val="22"/>
      <w:szCs w:val="22"/>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840"/>
    <w:rPr>
      <w:noProof/>
      <w:lang w:val="fr-FR"/>
    </w:rPr>
  </w:style>
  <w:style w:type="paragraph" w:styleId="Heading1">
    <w:name w:val="heading 1"/>
    <w:basedOn w:val="Normal"/>
    <w:next w:val="Normal"/>
    <w:link w:val="Heading1Char"/>
    <w:uiPriority w:val="9"/>
    <w:qFormat/>
    <w:rsid w:val="0007484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840"/>
    <w:rPr>
      <w:rFonts w:asciiTheme="majorHAnsi" w:eastAsiaTheme="majorEastAsia" w:hAnsiTheme="majorHAnsi" w:cstheme="majorBidi"/>
      <w:b/>
      <w:bCs/>
      <w:noProof/>
      <w:color w:val="345A8A" w:themeColor="accent1" w:themeShade="B5"/>
      <w:sz w:val="32"/>
      <w:szCs w:val="32"/>
      <w:lang w:val="fr-FR"/>
    </w:rPr>
  </w:style>
  <w:style w:type="paragraph" w:styleId="Caption">
    <w:name w:val="caption"/>
    <w:basedOn w:val="Normal"/>
    <w:next w:val="Normal"/>
    <w:unhideWhenUsed/>
    <w:qFormat/>
    <w:rsid w:val="00074840"/>
    <w:pPr>
      <w:spacing w:after="200"/>
    </w:pPr>
    <w:rPr>
      <w:rFonts w:ascii="Calibri" w:eastAsia="宋体" w:hAnsi="Calibri" w:cs="Times New Roman"/>
      <w:b/>
      <w:bCs/>
      <w:noProof w:val="0"/>
      <w:color w:val="4F81BD" w:themeColor="accent1"/>
      <w:sz w:val="18"/>
      <w:szCs w:val="18"/>
      <w:lang w:val="en-US" w:eastAsia="zh-CN"/>
    </w:rPr>
  </w:style>
  <w:style w:type="paragraph" w:customStyle="1" w:styleId="ColorfulList-Accent21">
    <w:name w:val="Colorful List - Accent 21"/>
    <w:uiPriority w:val="1"/>
    <w:qFormat/>
    <w:rsid w:val="00074840"/>
    <w:rPr>
      <w:rFonts w:ascii="Calibri" w:eastAsia="宋体" w:hAnsi="Calibri" w:cs="Times New Roman"/>
      <w:sz w:val="22"/>
      <w:szCs w:val="22"/>
      <w:lang w:eastAsia="zh-C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433</Words>
  <Characters>2472</Characters>
  <Application>Microsoft Office Word</Application>
  <DocSecurity>0</DocSecurity>
  <Lines>20</Lines>
  <Paragraphs>5</Paragraphs>
  <ScaleCrop>false</ScaleCrop>
  <Company>Centenary Institute</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Ordibble</cp:lastModifiedBy>
  <cp:revision>2</cp:revision>
  <dcterms:created xsi:type="dcterms:W3CDTF">2017-03-07T21:53:00Z</dcterms:created>
  <dcterms:modified xsi:type="dcterms:W3CDTF">2017-03-07T21:53:00Z</dcterms:modified>
</cp:coreProperties>
</file>