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3E" w:rsidRDefault="00A2263E" w:rsidP="00A2263E">
      <w:pPr>
        <w:pStyle w:val="Heading1"/>
      </w:pPr>
      <w:bookmarkStart w:id="0" w:name="_Toc329440104"/>
      <w:r>
        <w:t>IR enhancer motifs</w:t>
      </w:r>
      <w:bookmarkEnd w:id="0"/>
      <w:r>
        <w:t xml:space="preserve"> and splicing site strength</w:t>
      </w:r>
    </w:p>
    <w:p w:rsidR="00A2263E" w:rsidRDefault="00A2263E" w:rsidP="00A2263E"/>
    <w:p w:rsidR="00A2263E" w:rsidRPr="00A5049F" w:rsidRDefault="00A2263E" w:rsidP="00A2263E">
      <w:pPr>
        <w:jc w:val="both"/>
        <w:rPr>
          <w:lang w:val="en-AU"/>
        </w:rPr>
      </w:pPr>
      <w:r>
        <w:rPr>
          <w:lang w:val="en-NZ" w:eastAsia="en-N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55880</wp:posOffset>
            </wp:positionH>
            <wp:positionV relativeFrom="margin">
              <wp:posOffset>1850390</wp:posOffset>
            </wp:positionV>
            <wp:extent cx="6116320" cy="432181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Ent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49F">
        <w:rPr>
          <w:lang w:val="en-AU"/>
        </w:rPr>
        <w:t>We analysed splice site strength using MaxEntScan</w:t>
      </w:r>
      <w:r w:rsidR="00DB01F0">
        <w:rPr>
          <w:lang w:val="en-AU"/>
        </w:rPr>
        <w:fldChar w:fldCharType="begin"/>
      </w:r>
      <w:r>
        <w:rPr>
          <w:lang w:val="en-AU"/>
        </w:rPr>
        <w:instrText xml:space="preserve"> ADDIN EN.CITE &lt;EndNote&gt;&lt;Cite&gt;&lt;Author&gt;Yeo&lt;/Author&gt;&lt;Year&gt;2004&lt;/Year&gt;&lt;RecNum&gt;117&lt;/RecNum&gt;&lt;DisplayText&gt;(1)&lt;/DisplayText&gt;&lt;record&gt;&lt;rec-number&gt;117&lt;/rec-number&gt;&lt;foreign-keys&gt;&lt;key app="EN" db-id="s9wdtzpf4s0s9tet0a8vfa2laa2zpppzwrv9" timestamp="1479394876"&gt;117&lt;/key&gt;&lt;/foreign-keys&gt;&lt;ref-type name="Journal Article"&gt;17&lt;/ref-type&gt;&lt;contributors&gt;&lt;authors&gt;&lt;author&gt;Yeo, G.&lt;/author&gt;&lt;author&gt;Burge, C. B.&lt;/author&gt;&lt;/authors&gt;&lt;/contributors&gt;&lt;auth-address&gt;Department of Biology, Massachusetts Institute of Technology, 77 Massachusetts Avenue Building 68-223, Cambridge, MA 02319, USA.&lt;/auth-address&gt;&lt;titles&gt;&lt;title&gt;Maximum entropy modeling of short sequence motifs with applications to RNA splicing signals&lt;/title&gt;&lt;secondary-title&gt;J Comput Biol&lt;/secondary-title&gt;&lt;/titles&gt;&lt;periodical&gt;&lt;full-title&gt;J Comput Biol&lt;/full-title&gt;&lt;/periodical&gt;&lt;pages&gt;377-94&lt;/pages&gt;&lt;volume&gt;11&lt;/volume&gt;&lt;number&gt;2-3&lt;/number&gt;&lt;keywords&gt;&lt;keyword&gt;Base Sequence&lt;/keyword&gt;&lt;keyword&gt;*Computational Biology&lt;/keyword&gt;&lt;keyword&gt;Consensus Sequence&lt;/keyword&gt;&lt;keyword&gt;Introns&lt;/keyword&gt;&lt;keyword&gt;Markov Chains&lt;/keyword&gt;&lt;keyword&gt;Models, Genetic&lt;/keyword&gt;&lt;keyword&gt;Phylogeny&lt;/keyword&gt;&lt;keyword&gt;*RNA Splice Sites&lt;/keyword&gt;&lt;keyword&gt;ROC Curve&lt;/keyword&gt;&lt;/keywords&gt;&lt;dates&gt;&lt;year&gt;2004&lt;/year&gt;&lt;/dates&gt;&lt;isbn&gt;1066-5277 (Print)&amp;#xD;1066-5277 (Linking)&lt;/isbn&gt;&lt;accession-num&gt;15285897&lt;/accession-num&gt;&lt;urls&gt;&lt;related-urls&gt;&lt;url&gt;https://www.ncbi.nlm.nih.gov/pubmed/15285897&lt;/url&gt;&lt;/related-urls&gt;&lt;/urls&gt;&lt;electronic-resource-num&gt;10.1089/1066527041410418&lt;/electronic-resource-num&gt;&lt;/record&gt;&lt;/Cite&gt;&lt;/EndNote&gt;</w:instrText>
      </w:r>
      <w:r w:rsidR="00DB01F0">
        <w:rPr>
          <w:lang w:val="en-AU"/>
        </w:rPr>
        <w:fldChar w:fldCharType="separate"/>
      </w:r>
      <w:r>
        <w:rPr>
          <w:lang w:val="en-AU"/>
        </w:rPr>
        <w:t>(1)</w:t>
      </w:r>
      <w:r w:rsidR="00DB01F0">
        <w:rPr>
          <w:lang w:val="en-AU"/>
        </w:rPr>
        <w:fldChar w:fldCharType="end"/>
      </w:r>
      <w:r>
        <w:rPr>
          <w:lang w:val="en-AU"/>
        </w:rPr>
        <w:t xml:space="preserve"> </w:t>
      </w:r>
      <w:r w:rsidRPr="00A5049F">
        <w:rPr>
          <w:lang w:val="en-AU"/>
        </w:rPr>
        <w:t>. Following the authors recommendations we calculated a MaxEntScore based on maximum entropy of 9bp at the 5’ (donor) sites and 23 bases at the 3’ (acceptor) sites. The 3’ acceptor site scores were weakly significantly different (P=0.002; Kolmogorov-Smirnov test) and the 5’ donor sites displayed a significant difference (P=5.10</w:t>
      </w:r>
      <w:r w:rsidRPr="00A5049F">
        <w:rPr>
          <w:vertAlign w:val="superscript"/>
          <w:lang w:val="en-AU"/>
        </w:rPr>
        <w:t>-7</w:t>
      </w:r>
      <w:r w:rsidRPr="00A5049F">
        <w:rPr>
          <w:lang w:val="en-AU"/>
        </w:rPr>
        <w:t xml:space="preserve">; Kolmogorov-Smirnov test), between retained and non-retained groups (medians of 8.5 and 9 respectively). </w:t>
      </w:r>
    </w:p>
    <w:p w:rsidR="00A2263E" w:rsidRPr="00A5049F" w:rsidRDefault="00A2263E" w:rsidP="00A2263E"/>
    <w:p w:rsidR="00A2263E" w:rsidRDefault="00A2263E" w:rsidP="00A2263E"/>
    <w:p w:rsidR="00A2263E" w:rsidRDefault="00A2263E" w:rsidP="00A2263E">
      <w:pPr>
        <w:ind w:firstLine="2127"/>
        <w:jc w:val="both"/>
        <w:rPr>
          <w:lang w:val="en-US"/>
        </w:rPr>
      </w:pPr>
    </w:p>
    <w:p w:rsidR="00A2263E" w:rsidRPr="00A5049F" w:rsidRDefault="00DD5EB6" w:rsidP="00A2263E">
      <w:pPr>
        <w:tabs>
          <w:tab w:val="left" w:pos="8789"/>
        </w:tabs>
        <w:ind w:left="851" w:right="560"/>
        <w:jc w:val="center"/>
        <w:rPr>
          <w:b/>
          <w:lang w:val="en-US"/>
        </w:rPr>
      </w:pPr>
      <w:bookmarkStart w:id="1" w:name="_GoBack"/>
      <w:bookmarkEnd w:id="1"/>
      <w:r>
        <w:rPr>
          <w:b/>
          <w:lang w:val="en-US"/>
        </w:rPr>
        <w:t xml:space="preserve">Figure </w:t>
      </w:r>
      <w:r w:rsidR="004D4497">
        <w:rPr>
          <w:b/>
          <w:lang w:val="en-US"/>
        </w:rPr>
        <w:t>S</w:t>
      </w:r>
      <w:r w:rsidR="00F54CB7">
        <w:rPr>
          <w:b/>
          <w:lang w:val="en-US"/>
        </w:rPr>
        <w:t>3</w:t>
      </w:r>
      <w:r w:rsidR="00A2263E" w:rsidRPr="00A5049F">
        <w:rPr>
          <w:b/>
          <w:lang w:val="en-US"/>
        </w:rPr>
        <w:t xml:space="preserve">: </w:t>
      </w:r>
      <w:r w:rsidR="00A2263E">
        <w:rPr>
          <w:b/>
          <w:lang w:val="en-US"/>
        </w:rPr>
        <w:t xml:space="preserve"> splice site strength around frequently spliced introns (blue) and frequently retained introns (red.)</w:t>
      </w:r>
    </w:p>
    <w:p w:rsidR="00A2263E" w:rsidRDefault="00A2263E" w:rsidP="00A2263E">
      <w:pPr>
        <w:jc w:val="both"/>
        <w:rPr>
          <w:lang w:val="en-US"/>
        </w:rPr>
      </w:pPr>
    </w:p>
    <w:p w:rsidR="00A2263E" w:rsidRDefault="00A2263E" w:rsidP="00A2263E">
      <w:pPr>
        <w:jc w:val="both"/>
      </w:pPr>
      <w:r w:rsidRPr="00C9367E">
        <w:rPr>
          <w:lang w:val="en-US"/>
        </w:rPr>
        <w:t xml:space="preserve">Motif analysis </w:t>
      </w:r>
      <w:r>
        <w:rPr>
          <w:lang w:val="en-US"/>
        </w:rPr>
        <w:t>was</w:t>
      </w:r>
      <w:r w:rsidRPr="00C9367E">
        <w:rPr>
          <w:lang w:val="en-US"/>
        </w:rPr>
        <w:t xml:space="preserve"> performed by detecting enriched oligonucleotides relative to control datasets. As controls, </w:t>
      </w:r>
      <w:r>
        <w:rPr>
          <w:lang w:val="en-US"/>
        </w:rPr>
        <w:t xml:space="preserve">1000 </w:t>
      </w:r>
      <w:r w:rsidRPr="00C9367E">
        <w:rPr>
          <w:lang w:val="en-US"/>
        </w:rPr>
        <w:t xml:space="preserve">introns that </w:t>
      </w:r>
      <w:r>
        <w:rPr>
          <w:lang w:val="en-US"/>
        </w:rPr>
        <w:t>were</w:t>
      </w:r>
      <w:r w:rsidRPr="00C9367E">
        <w:rPr>
          <w:lang w:val="en-US"/>
        </w:rPr>
        <w:t xml:space="preserve"> </w:t>
      </w:r>
      <w:r>
        <w:rPr>
          <w:lang w:val="en-US"/>
        </w:rPr>
        <w:t>least frequently</w:t>
      </w:r>
      <w:r w:rsidRPr="00C9367E">
        <w:rPr>
          <w:lang w:val="en-US"/>
        </w:rPr>
        <w:t xml:space="preserve"> retained </w:t>
      </w:r>
      <w:r>
        <w:rPr>
          <w:lang w:val="en-US"/>
        </w:rPr>
        <w:t>were</w:t>
      </w:r>
      <w:r w:rsidRPr="00C9367E">
        <w:rPr>
          <w:lang w:val="en-US"/>
        </w:rPr>
        <w:t xml:space="preserve"> used. Subsequently, for each control, the enrichment of oligonucleotide sequences of length k, i.e. k-mers, </w:t>
      </w:r>
      <w:r>
        <w:rPr>
          <w:lang w:val="en-US"/>
        </w:rPr>
        <w:t>was</w:t>
      </w:r>
      <w:r w:rsidRPr="00C9367E">
        <w:rPr>
          <w:lang w:val="en-US"/>
        </w:rPr>
        <w:t xml:space="preserve"> measured in two different ways: 1) Comparing the overall frequencies of k-mers in retained introns versus the f</w:t>
      </w:r>
      <w:r>
        <w:rPr>
          <w:lang w:val="en-US"/>
        </w:rPr>
        <w:t>requencies from the control set</w:t>
      </w:r>
      <w:r w:rsidRPr="00C9367E">
        <w:rPr>
          <w:lang w:val="en-US"/>
        </w:rPr>
        <w:t xml:space="preserve">, and 2) comparing the proportion of retained introns with a given k-mer versus the proportion of control introns with that k-mer. In both cases a z-score </w:t>
      </w:r>
      <w:r>
        <w:rPr>
          <w:lang w:val="en-US"/>
        </w:rPr>
        <w:t>was</w:t>
      </w:r>
      <w:r w:rsidRPr="00C9367E">
        <w:rPr>
          <w:lang w:val="en-US"/>
        </w:rPr>
        <w:t xml:space="preserve"> calculated by comparing the observed value with the distribution of the control introns for each k-mer. </w:t>
      </w:r>
      <w:r>
        <w:rPr>
          <w:lang w:val="en-US"/>
        </w:rPr>
        <w:t>M</w:t>
      </w:r>
      <w:r w:rsidRPr="00C9367E">
        <w:rPr>
          <w:lang w:val="en-US"/>
        </w:rPr>
        <w:t xml:space="preserve">otif analysis of the 5' and 3' splice-sites </w:t>
      </w:r>
      <w:r w:rsidRPr="00C9367E">
        <w:rPr>
          <w:lang w:val="en-US"/>
        </w:rPr>
        <w:lastRenderedPageBreak/>
        <w:t>are performed separately, to assess splice-site motifs independently of other possible splicing regulatory motifs.</w:t>
      </w:r>
    </w:p>
    <w:p w:rsidR="00A2263E" w:rsidRDefault="00A2263E"/>
    <w:p w:rsidR="00A2263E" w:rsidRDefault="00A2263E"/>
    <w:p w:rsidR="00A2263E" w:rsidRPr="00A2263E" w:rsidRDefault="00DB01F0" w:rsidP="00A2263E">
      <w:pPr>
        <w:pStyle w:val="EndNoteBibliography"/>
        <w:ind w:left="720" w:hanging="720"/>
      </w:pPr>
      <w:r w:rsidRPr="00DB01F0">
        <w:fldChar w:fldCharType="begin"/>
      </w:r>
      <w:r w:rsidR="00A2263E">
        <w:instrText xml:space="preserve"> ADDIN EN.REFLIST </w:instrText>
      </w:r>
      <w:r w:rsidRPr="00DB01F0">
        <w:fldChar w:fldCharType="separate"/>
      </w:r>
      <w:r w:rsidR="00A2263E" w:rsidRPr="00A2263E">
        <w:t>1.</w:t>
      </w:r>
      <w:r w:rsidR="00A2263E" w:rsidRPr="00A2263E">
        <w:tab/>
        <w:t xml:space="preserve">Yeo, G. and Burge, C.B. (2004) Maximum entropy modeling of short sequence motifs with applications to RNA splicing signals. </w:t>
      </w:r>
      <w:r w:rsidR="00A2263E" w:rsidRPr="00A2263E">
        <w:rPr>
          <w:i/>
        </w:rPr>
        <w:t>J Comput Biol</w:t>
      </w:r>
      <w:r w:rsidR="00A2263E" w:rsidRPr="00A2263E">
        <w:t xml:space="preserve">, </w:t>
      </w:r>
      <w:r w:rsidR="00A2263E" w:rsidRPr="00A2263E">
        <w:rPr>
          <w:b/>
        </w:rPr>
        <w:t>11</w:t>
      </w:r>
      <w:r w:rsidR="00A2263E" w:rsidRPr="00A2263E">
        <w:t>, 377-394.</w:t>
      </w:r>
    </w:p>
    <w:p w:rsidR="0015494B" w:rsidRDefault="00DB01F0">
      <w:r>
        <w:fldChar w:fldCharType="end"/>
      </w:r>
    </w:p>
    <w:sectPr w:rsidR="0015494B" w:rsidSect="00A229C7">
      <w:pgSz w:w="11900" w:h="16840"/>
      <w:pgMar w:top="1134" w:right="1134" w:bottom="1712" w:left="1134" w:header="720" w:footer="1134" w:gutter="0"/>
      <w:cols w:space="708"/>
      <w:docGrid w:linePitch="312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P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altName w:val="MS P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docVars>
    <w:docVar w:name="EN.Layout" w:val="&lt;ENLayout&gt;&lt;Style&gt;Nucleic Acids Re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wdtzpf4s0s9tet0a8vfa2laa2zpppzwrv9&quot;&gt;IntronRetention&lt;record-ids&gt;&lt;item&gt;117&lt;/item&gt;&lt;/record-ids&gt;&lt;/item&gt;&lt;/Libraries&gt;"/>
  </w:docVars>
  <w:rsids>
    <w:rsidRoot w:val="00A2263E"/>
    <w:rsid w:val="0015494B"/>
    <w:rsid w:val="00186956"/>
    <w:rsid w:val="004D4497"/>
    <w:rsid w:val="00541F51"/>
    <w:rsid w:val="00A2263E"/>
    <w:rsid w:val="00A229C7"/>
    <w:rsid w:val="00DB01F0"/>
    <w:rsid w:val="00DD5EB6"/>
    <w:rsid w:val="00F54CB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3E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63E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paragraph" w:customStyle="1" w:styleId="EndNoteBibliographyTitle">
    <w:name w:val="EndNote Bibliography Title"/>
    <w:basedOn w:val="Normal"/>
    <w:rsid w:val="00A2263E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A2263E"/>
    <w:rPr>
      <w:rFonts w:ascii="Cambria" w:hAnsi="Cambr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3E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63E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paragraph" w:customStyle="1" w:styleId="EndNoteBibliographyTitle">
    <w:name w:val="EndNote Bibliography Title"/>
    <w:basedOn w:val="Normal"/>
    <w:rsid w:val="00A2263E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A2263E"/>
    <w:rPr>
      <w:rFonts w:ascii="Cambria" w:hAnsi="Cambr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2714</Characters>
  <Application>Microsoft Office Word</Application>
  <DocSecurity>0</DocSecurity>
  <Lines>22</Lines>
  <Paragraphs>6</Paragraphs>
  <ScaleCrop>false</ScaleCrop>
  <Company>Centenary Institute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Ordibble</cp:lastModifiedBy>
  <cp:revision>2</cp:revision>
  <dcterms:created xsi:type="dcterms:W3CDTF">2017-03-07T22:46:00Z</dcterms:created>
  <dcterms:modified xsi:type="dcterms:W3CDTF">2017-03-07T22:46:00Z</dcterms:modified>
</cp:coreProperties>
</file>