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2595" w:rsidRDefault="000F55F5" w:rsidP="000F55F5">
      <w:pPr>
        <w:spacing w:after="0" w:line="240" w:lineRule="auto"/>
        <w:rPr>
          <w:b/>
          <w:u w:val="single"/>
        </w:rPr>
      </w:pPr>
      <w:r>
        <w:rPr>
          <w:b/>
          <w:u w:val="single"/>
        </w:rPr>
        <w:t>1</w:t>
      </w:r>
      <w:r w:rsidRPr="000F55F5">
        <w:rPr>
          <w:b/>
          <w:u w:val="single"/>
          <w:vertAlign w:val="superscript"/>
        </w:rPr>
        <w:t>st</w:t>
      </w:r>
      <w:r>
        <w:rPr>
          <w:b/>
          <w:u w:val="single"/>
        </w:rPr>
        <w:t xml:space="preserve"> round</w:t>
      </w:r>
    </w:p>
    <w:p w:rsidR="000F55F5" w:rsidRDefault="000F55F5" w:rsidP="000F55F5">
      <w:pPr>
        <w:spacing w:after="0" w:line="240" w:lineRule="auto"/>
        <w:rPr>
          <w:b/>
        </w:rPr>
      </w:pPr>
      <w:r>
        <w:rPr>
          <w:b/>
        </w:rPr>
        <w:t>Reviewer 1</w:t>
      </w:r>
    </w:p>
    <w:p w:rsidR="000F55F5" w:rsidRPr="000F55F5" w:rsidRDefault="000F55F5" w:rsidP="000F55F5">
      <w:pPr>
        <w:spacing w:after="0" w:line="240" w:lineRule="auto"/>
        <w:rPr>
          <w:sz w:val="20"/>
          <w:szCs w:val="20"/>
        </w:rPr>
      </w:pPr>
      <w:r w:rsidRPr="000F55F5">
        <w:rPr>
          <w:sz w:val="20"/>
          <w:szCs w:val="20"/>
        </w:rPr>
        <w:t xml:space="preserve">As microbiome datasets are accumulating rapidly, analytical tools are badly needed to discover patterns hidden within those high dimensional datasets. Because existing tools are generally more capable to calculate linear patterns, it is necessary to develop new tools to uncover subtle and non-linear patterns. This paper developed a new analysis pipeline that utilized topological data analysis technique which is good at finding subtle and non-linear patterns within microbiome datasets. The author also demonstrated the advantages of their method, called </w:t>
      </w:r>
      <w:proofErr w:type="spellStart"/>
      <w:r w:rsidRPr="000F55F5">
        <w:rPr>
          <w:sz w:val="20"/>
          <w:szCs w:val="20"/>
        </w:rPr>
        <w:t>tmap</w:t>
      </w:r>
      <w:proofErr w:type="spellEnd"/>
      <w:r w:rsidRPr="000F55F5">
        <w:rPr>
          <w:sz w:val="20"/>
          <w:szCs w:val="20"/>
        </w:rPr>
        <w:t>, by using simulated and real-world big data. Overall, I think their work is of high quality and priority and an important supplement to existing toolbox. Suggestions are as follows:</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sz w:val="20"/>
          <w:szCs w:val="20"/>
        </w:rPr>
      </w:pPr>
      <w:r w:rsidRPr="000F55F5">
        <w:rPr>
          <w:sz w:val="20"/>
          <w:szCs w:val="20"/>
        </w:rPr>
        <w:t xml:space="preserve">This manuscript requires their readers to be familiar with topological </w:t>
      </w:r>
      <w:proofErr w:type="gramStart"/>
      <w:r w:rsidRPr="000F55F5">
        <w:rPr>
          <w:sz w:val="20"/>
          <w:szCs w:val="20"/>
        </w:rPr>
        <w:t>analysis,</w:t>
      </w:r>
      <w:proofErr w:type="gramEnd"/>
      <w:r w:rsidRPr="000F55F5">
        <w:rPr>
          <w:sz w:val="20"/>
          <w:szCs w:val="20"/>
        </w:rPr>
        <w:t xml:space="preserve"> otherwise the readers might find it hard to understand its methodology. For example, what are covering and clustering in the second step of </w:t>
      </w:r>
      <w:proofErr w:type="spellStart"/>
      <w:r w:rsidRPr="000F55F5">
        <w:rPr>
          <w:sz w:val="20"/>
          <w:szCs w:val="20"/>
        </w:rPr>
        <w:t>tmap</w:t>
      </w:r>
      <w:proofErr w:type="spellEnd"/>
      <w:r w:rsidRPr="000F55F5">
        <w:rPr>
          <w:sz w:val="20"/>
          <w:szCs w:val="20"/>
        </w:rPr>
        <w:t xml:space="preserve">? </w:t>
      </w:r>
      <w:proofErr w:type="gramStart"/>
      <w:r w:rsidRPr="000F55F5">
        <w:rPr>
          <w:sz w:val="20"/>
          <w:szCs w:val="20"/>
        </w:rPr>
        <w:t>what</w:t>
      </w:r>
      <w:proofErr w:type="gramEnd"/>
      <w:r w:rsidRPr="000F55F5">
        <w:rPr>
          <w:sz w:val="20"/>
          <w:szCs w:val="20"/>
        </w:rPr>
        <w:t xml:space="preserve"> is the purpose of these two operations and how they are done? How does topological analysis divide </w:t>
      </w:r>
      <w:proofErr w:type="spellStart"/>
      <w:r w:rsidRPr="000F55F5">
        <w:rPr>
          <w:sz w:val="20"/>
          <w:szCs w:val="20"/>
        </w:rPr>
        <w:t>PCoA</w:t>
      </w:r>
      <w:proofErr w:type="spellEnd"/>
      <w:r w:rsidRPr="000F55F5">
        <w:rPr>
          <w:sz w:val="20"/>
          <w:szCs w:val="20"/>
        </w:rPr>
        <w:t xml:space="preserve"> into several clusters? What </w:t>
      </w:r>
      <w:proofErr w:type="gramStart"/>
      <w:r w:rsidRPr="000F55F5">
        <w:rPr>
          <w:sz w:val="20"/>
          <w:szCs w:val="20"/>
        </w:rPr>
        <w:t>is</w:t>
      </w:r>
      <w:proofErr w:type="gramEnd"/>
      <w:r w:rsidRPr="000F55F5">
        <w:rPr>
          <w:sz w:val="20"/>
          <w:szCs w:val="20"/>
        </w:rPr>
        <w:t xml:space="preserve"> enrichment scores? It seems to be something comparable to correlation coefficient in linear regression? It would be great if the author gives more explanations to help their readers understand this method.</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sz w:val="20"/>
          <w:szCs w:val="20"/>
        </w:rPr>
      </w:pPr>
      <w:r w:rsidRPr="000F55F5">
        <w:rPr>
          <w:sz w:val="20"/>
          <w:szCs w:val="20"/>
        </w:rPr>
        <w:t xml:space="preserve">The author compared </w:t>
      </w:r>
      <w:proofErr w:type="spellStart"/>
      <w:r w:rsidRPr="000F55F5">
        <w:rPr>
          <w:sz w:val="20"/>
          <w:szCs w:val="20"/>
        </w:rPr>
        <w:t>tmap</w:t>
      </w:r>
      <w:proofErr w:type="spellEnd"/>
      <w:r w:rsidRPr="000F55F5">
        <w:rPr>
          <w:sz w:val="20"/>
          <w:szCs w:val="20"/>
        </w:rPr>
        <w:t xml:space="preserve"> and </w:t>
      </w:r>
      <w:proofErr w:type="spellStart"/>
      <w:r w:rsidRPr="000F55F5">
        <w:rPr>
          <w:sz w:val="20"/>
          <w:szCs w:val="20"/>
        </w:rPr>
        <w:t>envfit</w:t>
      </w:r>
      <w:proofErr w:type="spellEnd"/>
      <w:r w:rsidRPr="000F55F5">
        <w:rPr>
          <w:sz w:val="20"/>
          <w:szCs w:val="20"/>
        </w:rPr>
        <w:t xml:space="preserve"> to demonstrate the advantages of </w:t>
      </w:r>
      <w:proofErr w:type="spellStart"/>
      <w:r w:rsidRPr="000F55F5">
        <w:rPr>
          <w:sz w:val="20"/>
          <w:szCs w:val="20"/>
        </w:rPr>
        <w:t>tmap</w:t>
      </w:r>
      <w:proofErr w:type="spellEnd"/>
      <w:r w:rsidRPr="000F55F5">
        <w:rPr>
          <w:sz w:val="20"/>
          <w:szCs w:val="20"/>
        </w:rPr>
        <w:t xml:space="preserve"> over existing tools. It will be more credible if other existing tools, e.g., ADONIS, ANOSIM and etc., are also included in the comparisons.</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sz w:val="20"/>
          <w:szCs w:val="20"/>
        </w:rPr>
      </w:pPr>
      <w:r w:rsidRPr="000F55F5">
        <w:rPr>
          <w:sz w:val="20"/>
          <w:szCs w:val="20"/>
        </w:rPr>
        <w:t>Fig.2a</w:t>
      </w:r>
      <w:proofErr w:type="gramStart"/>
      <w:r w:rsidRPr="000F55F5">
        <w:rPr>
          <w:sz w:val="20"/>
          <w:szCs w:val="20"/>
        </w:rPr>
        <w:t>,b,c</w:t>
      </w:r>
      <w:proofErr w:type="gramEnd"/>
      <w:r w:rsidRPr="000F55F5">
        <w:rPr>
          <w:sz w:val="20"/>
          <w:szCs w:val="20"/>
        </w:rPr>
        <w:t xml:space="preserve">. are they the same non-linear patterns? Especially Fig.2a and Fig.2b look very similar. What is the purpose of putting three figures of one pattern here? Is it possible to put different patterns here? </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sz w:val="20"/>
          <w:szCs w:val="20"/>
        </w:rPr>
      </w:pPr>
      <w:r w:rsidRPr="000F55F5">
        <w:rPr>
          <w:sz w:val="20"/>
          <w:szCs w:val="20"/>
        </w:rPr>
        <w:t xml:space="preserve">"However, there were differences in the ranking of several host covariates, including time since previous relief, mean corpuscular </w:t>
      </w:r>
      <w:proofErr w:type="spellStart"/>
      <w:r w:rsidRPr="000F55F5">
        <w:rPr>
          <w:sz w:val="20"/>
          <w:szCs w:val="20"/>
        </w:rPr>
        <w:t>hemoglobin</w:t>
      </w:r>
      <w:proofErr w:type="spellEnd"/>
      <w:r w:rsidRPr="000F55F5">
        <w:rPr>
          <w:sz w:val="20"/>
          <w:szCs w:val="20"/>
        </w:rPr>
        <w:t xml:space="preserve"> (MCH) and shift work (Fig. 3a). We speculate that the difference might be due to nonlinear association patterns that are captured by </w:t>
      </w:r>
      <w:proofErr w:type="spellStart"/>
      <w:r w:rsidRPr="000F55F5">
        <w:rPr>
          <w:sz w:val="20"/>
          <w:szCs w:val="20"/>
        </w:rPr>
        <w:t>tmap</w:t>
      </w:r>
      <w:proofErr w:type="spellEnd"/>
      <w:r w:rsidRPr="000F55F5">
        <w:rPr>
          <w:sz w:val="20"/>
          <w:szCs w:val="20"/>
        </w:rPr>
        <w:t xml:space="preserve"> but not by </w:t>
      </w:r>
      <w:proofErr w:type="spellStart"/>
      <w:r w:rsidRPr="000F55F5">
        <w:rPr>
          <w:sz w:val="20"/>
          <w:szCs w:val="20"/>
        </w:rPr>
        <w:t>envfit</w:t>
      </w:r>
      <w:proofErr w:type="spellEnd"/>
      <w:r w:rsidRPr="000F55F5">
        <w:rPr>
          <w:sz w:val="20"/>
          <w:szCs w:val="20"/>
        </w:rPr>
        <w:t>.</w:t>
      </w:r>
      <w:proofErr w:type="gramStart"/>
      <w:r w:rsidRPr="000F55F5">
        <w:rPr>
          <w:sz w:val="20"/>
          <w:szCs w:val="20"/>
        </w:rPr>
        <w:t>".</w:t>
      </w:r>
      <w:proofErr w:type="gramEnd"/>
      <w:r w:rsidRPr="000F55F5">
        <w:rPr>
          <w:sz w:val="20"/>
          <w:szCs w:val="20"/>
        </w:rPr>
        <w:t xml:space="preserve"> This speculation will be supported if several (rather than only one) linear methods output the same rankings while </w:t>
      </w:r>
      <w:proofErr w:type="spellStart"/>
      <w:r w:rsidRPr="000F55F5">
        <w:rPr>
          <w:sz w:val="20"/>
          <w:szCs w:val="20"/>
        </w:rPr>
        <w:t>tmap</w:t>
      </w:r>
      <w:proofErr w:type="spellEnd"/>
      <w:r w:rsidRPr="000F55F5">
        <w:rPr>
          <w:sz w:val="20"/>
          <w:szCs w:val="20"/>
        </w:rPr>
        <w:t xml:space="preserve"> gives different rankings.</w:t>
      </w:r>
    </w:p>
    <w:p w:rsidR="000F55F5" w:rsidRPr="000F55F5" w:rsidRDefault="000F55F5" w:rsidP="000F55F5">
      <w:pPr>
        <w:spacing w:after="0" w:line="240" w:lineRule="auto"/>
        <w:rPr>
          <w:sz w:val="20"/>
          <w:szCs w:val="20"/>
        </w:rPr>
      </w:pPr>
    </w:p>
    <w:p w:rsidR="000F55F5" w:rsidRDefault="000F55F5" w:rsidP="000F55F5">
      <w:pPr>
        <w:spacing w:after="0" w:line="240" w:lineRule="auto"/>
        <w:rPr>
          <w:sz w:val="20"/>
          <w:szCs w:val="20"/>
        </w:rPr>
      </w:pPr>
      <w:r w:rsidRPr="000F55F5">
        <w:rPr>
          <w:sz w:val="20"/>
          <w:szCs w:val="20"/>
        </w:rPr>
        <w:t>Fig.2d is not referenced in the manuscript.</w:t>
      </w:r>
    </w:p>
    <w:p w:rsidR="000F55F5" w:rsidRDefault="000F55F5" w:rsidP="000F55F5">
      <w:pPr>
        <w:spacing w:after="0" w:line="240" w:lineRule="auto"/>
        <w:rPr>
          <w:sz w:val="20"/>
          <w:szCs w:val="20"/>
        </w:rPr>
      </w:pPr>
    </w:p>
    <w:p w:rsidR="000F55F5" w:rsidRDefault="000F55F5" w:rsidP="000F55F5">
      <w:pPr>
        <w:spacing w:after="0" w:line="240" w:lineRule="auto"/>
        <w:rPr>
          <w:b/>
        </w:rPr>
      </w:pPr>
      <w:r>
        <w:rPr>
          <w:b/>
        </w:rPr>
        <w:t>Reviewer 2</w:t>
      </w:r>
    </w:p>
    <w:p w:rsidR="000F55F5" w:rsidRPr="000F55F5" w:rsidRDefault="000F55F5" w:rsidP="000F55F5">
      <w:pPr>
        <w:spacing w:after="0" w:line="240" w:lineRule="auto"/>
        <w:rPr>
          <w:sz w:val="20"/>
          <w:szCs w:val="20"/>
        </w:rPr>
      </w:pPr>
      <w:r w:rsidRPr="000F55F5">
        <w:rPr>
          <w:sz w:val="20"/>
          <w:szCs w:val="20"/>
        </w:rPr>
        <w:t xml:space="preserve">Liao et al. developed a new algorithm for topological data analysis (TDA) for microbiome data. TDA is a powerful method to handle with complicated, highly dimensional dataset. Its application to the field of microbiome would be important. Authors have used synthetic data, the gut microbiome data from two different cohorts and the earth microbiome data to demonstrate its application. It sounds very promising. However, it is not easy to understand each step of the algorithms and the underlying rational. The fig 1, overview of the workflow does not provide sufficient information about underlying steps. A detailed algorithm workflow would be definitely needed to aid understanding. </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sz w:val="20"/>
          <w:szCs w:val="20"/>
        </w:rPr>
      </w:pPr>
      <w:r w:rsidRPr="000F55F5">
        <w:rPr>
          <w:sz w:val="20"/>
          <w:szCs w:val="20"/>
        </w:rPr>
        <w:t>The same problem is observed for the method part. It lacks sufficient information. To give you a few examples:</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sz w:val="20"/>
          <w:szCs w:val="20"/>
        </w:rPr>
      </w:pPr>
      <w:r w:rsidRPr="000F55F5">
        <w:rPr>
          <w:sz w:val="20"/>
          <w:szCs w:val="20"/>
        </w:rPr>
        <w:t>L28 on page 11: "filter/</w:t>
      </w:r>
      <w:proofErr w:type="spellStart"/>
      <w:r w:rsidRPr="000F55F5">
        <w:rPr>
          <w:sz w:val="20"/>
          <w:szCs w:val="20"/>
        </w:rPr>
        <w:t>len</w:t>
      </w:r>
      <w:proofErr w:type="spellEnd"/>
      <w:r w:rsidRPr="000F55F5">
        <w:rPr>
          <w:sz w:val="20"/>
          <w:szCs w:val="20"/>
        </w:rPr>
        <w:t xml:space="preserve"> function for mapping the original data points to their low </w:t>
      </w:r>
      <w:proofErr w:type="spellStart"/>
      <w:r w:rsidRPr="000F55F5">
        <w:rPr>
          <w:sz w:val="20"/>
          <w:szCs w:val="20"/>
        </w:rPr>
        <w:t>dimentional</w:t>
      </w:r>
      <w:proofErr w:type="spellEnd"/>
      <w:r w:rsidRPr="000F55F5">
        <w:rPr>
          <w:sz w:val="20"/>
          <w:szCs w:val="20"/>
        </w:rPr>
        <w:t xml:space="preserve"> coordinates, For instance, the first two principal coordinators of </w:t>
      </w:r>
      <w:proofErr w:type="spellStart"/>
      <w:r w:rsidRPr="000F55F5">
        <w:rPr>
          <w:sz w:val="20"/>
          <w:szCs w:val="20"/>
        </w:rPr>
        <w:t>PCoA</w:t>
      </w:r>
      <w:proofErr w:type="spellEnd"/>
      <w:r w:rsidRPr="000F55F5">
        <w:rPr>
          <w:sz w:val="20"/>
          <w:szCs w:val="20"/>
        </w:rPr>
        <w:t xml:space="preserve"> can be used as filters". What does "filters" mean? Are the first two sufficient? How to decide numbers of filters? What is the impact on the following steps? How robust it would be? Although authors said that detailed explanation and </w:t>
      </w:r>
      <w:proofErr w:type="spellStart"/>
      <w:r w:rsidRPr="000F55F5">
        <w:rPr>
          <w:sz w:val="20"/>
          <w:szCs w:val="20"/>
        </w:rPr>
        <w:t>guidline</w:t>
      </w:r>
      <w:proofErr w:type="spellEnd"/>
      <w:r w:rsidRPr="000F55F5">
        <w:rPr>
          <w:sz w:val="20"/>
          <w:szCs w:val="20"/>
        </w:rPr>
        <w:t xml:space="preserve"> are provided on line. It is still important to explain it clearly in the paper.</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sz w:val="20"/>
          <w:szCs w:val="20"/>
        </w:rPr>
      </w:pPr>
      <w:proofErr w:type="gramStart"/>
      <w:r w:rsidRPr="000F55F5">
        <w:rPr>
          <w:sz w:val="20"/>
          <w:szCs w:val="20"/>
        </w:rPr>
        <w:t>Page 12: Spatial analysis of functional enrichment (SAFE) algorithm for network enrichment analysis.</w:t>
      </w:r>
      <w:proofErr w:type="gramEnd"/>
      <w:r w:rsidRPr="000F55F5">
        <w:rPr>
          <w:sz w:val="20"/>
          <w:szCs w:val="20"/>
        </w:rPr>
        <w:t xml:space="preserve"> The authors claimed that it can be applied to a target variable (or multiple target variables). It is unclear how it works for multiple target variables. The provided formula does not copy with multiple variables. L13 on page 13: "random shuffle is performed independently for each target variable when there </w:t>
      </w:r>
      <w:proofErr w:type="gramStart"/>
      <w:r w:rsidRPr="000F55F5">
        <w:rPr>
          <w:sz w:val="20"/>
          <w:szCs w:val="20"/>
        </w:rPr>
        <w:t>are</w:t>
      </w:r>
      <w:proofErr w:type="gramEnd"/>
      <w:r w:rsidRPr="000F55F5">
        <w:rPr>
          <w:sz w:val="20"/>
          <w:szCs w:val="20"/>
        </w:rPr>
        <w:t xml:space="preserve"> more than one". It is not a correct way, as target variables can be inter-correlated/confounding. </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sz w:val="20"/>
          <w:szCs w:val="20"/>
        </w:rPr>
      </w:pPr>
      <w:proofErr w:type="gramStart"/>
      <w:r w:rsidRPr="000F55F5">
        <w:rPr>
          <w:sz w:val="20"/>
          <w:szCs w:val="20"/>
        </w:rPr>
        <w:lastRenderedPageBreak/>
        <w:t xml:space="preserve">Page 8: </w:t>
      </w:r>
      <w:proofErr w:type="spellStart"/>
      <w:r w:rsidRPr="000F55F5">
        <w:rPr>
          <w:sz w:val="20"/>
          <w:szCs w:val="20"/>
        </w:rPr>
        <w:t>enterotype</w:t>
      </w:r>
      <w:proofErr w:type="spellEnd"/>
      <w:r w:rsidRPr="000F55F5">
        <w:rPr>
          <w:sz w:val="20"/>
          <w:szCs w:val="20"/>
        </w:rPr>
        <w:t>-like stratification.</w:t>
      </w:r>
      <w:proofErr w:type="gramEnd"/>
      <w:r w:rsidRPr="000F55F5">
        <w:rPr>
          <w:sz w:val="20"/>
          <w:szCs w:val="20"/>
        </w:rPr>
        <w:t xml:space="preserve"> The concept of </w:t>
      </w:r>
      <w:proofErr w:type="spellStart"/>
      <w:r w:rsidRPr="000F55F5">
        <w:rPr>
          <w:sz w:val="20"/>
          <w:szCs w:val="20"/>
        </w:rPr>
        <w:t>enterotype</w:t>
      </w:r>
      <w:proofErr w:type="spellEnd"/>
      <w:r w:rsidRPr="000F55F5">
        <w:rPr>
          <w:sz w:val="20"/>
          <w:szCs w:val="20"/>
        </w:rPr>
        <w:t xml:space="preserve"> has been abandoned in the field (see Knight et al. Cell Host Microbe. 2014 Oct 8</w:t>
      </w:r>
      <w:proofErr w:type="gramStart"/>
      <w:r w:rsidRPr="000F55F5">
        <w:rPr>
          <w:sz w:val="20"/>
          <w:szCs w:val="20"/>
        </w:rPr>
        <w:t>;16</w:t>
      </w:r>
      <w:proofErr w:type="gramEnd"/>
      <w:r w:rsidRPr="000F55F5">
        <w:rPr>
          <w:sz w:val="20"/>
          <w:szCs w:val="20"/>
        </w:rPr>
        <w:t>(4):433-7). As shown in Fig 5, different groups can be formed based on the type of species under consideration. It is good to remove the concept of "</w:t>
      </w:r>
      <w:proofErr w:type="spellStart"/>
      <w:r w:rsidRPr="000F55F5">
        <w:rPr>
          <w:sz w:val="20"/>
          <w:szCs w:val="20"/>
        </w:rPr>
        <w:t>enterotype</w:t>
      </w:r>
      <w:proofErr w:type="spellEnd"/>
      <w:r w:rsidRPr="000F55F5">
        <w:rPr>
          <w:sz w:val="20"/>
          <w:szCs w:val="20"/>
        </w:rPr>
        <w:t xml:space="preserve">". </w:t>
      </w:r>
    </w:p>
    <w:p w:rsidR="000F55F5" w:rsidRPr="000F55F5" w:rsidRDefault="000F55F5" w:rsidP="000F55F5">
      <w:pPr>
        <w:spacing w:after="0" w:line="240" w:lineRule="auto"/>
        <w:rPr>
          <w:sz w:val="20"/>
          <w:szCs w:val="20"/>
        </w:rPr>
      </w:pPr>
    </w:p>
    <w:p w:rsidR="000F55F5" w:rsidRDefault="000F55F5" w:rsidP="000F55F5">
      <w:pPr>
        <w:spacing w:after="0" w:line="240" w:lineRule="auto"/>
        <w:rPr>
          <w:sz w:val="20"/>
          <w:szCs w:val="20"/>
        </w:rPr>
      </w:pPr>
      <w:r w:rsidRPr="000F55F5">
        <w:rPr>
          <w:sz w:val="20"/>
          <w:szCs w:val="20"/>
        </w:rPr>
        <w:t>L16: "a TDA network is constructed to represent the microbiome diversity".  I don't understand it. How this network can represent the diversity?</w:t>
      </w:r>
    </w:p>
    <w:p w:rsidR="000F55F5" w:rsidRDefault="000F55F5" w:rsidP="000F55F5">
      <w:pPr>
        <w:spacing w:after="0" w:line="240" w:lineRule="auto"/>
        <w:rPr>
          <w:sz w:val="20"/>
          <w:szCs w:val="20"/>
        </w:rPr>
      </w:pPr>
    </w:p>
    <w:p w:rsidR="000F55F5" w:rsidRDefault="000F55F5" w:rsidP="000F55F5">
      <w:pPr>
        <w:spacing w:after="0" w:line="240" w:lineRule="auto"/>
        <w:rPr>
          <w:b/>
        </w:rPr>
      </w:pPr>
      <w:r>
        <w:rPr>
          <w:b/>
        </w:rPr>
        <w:t>Response to reviewers</w:t>
      </w:r>
    </w:p>
    <w:p w:rsidR="000F55F5" w:rsidRDefault="000F55F5" w:rsidP="000F55F5">
      <w:pPr>
        <w:spacing w:after="0" w:line="240" w:lineRule="auto"/>
        <w:rPr>
          <w:b/>
        </w:rPr>
      </w:pPr>
      <w:r>
        <w:rPr>
          <w:b/>
        </w:rPr>
        <w:t>Reviewer</w:t>
      </w:r>
      <w:r w:rsidR="00302047">
        <w:rPr>
          <w:b/>
        </w:rPr>
        <w:t xml:space="preserve"> </w:t>
      </w:r>
      <w:r>
        <w:rPr>
          <w:b/>
        </w:rPr>
        <w:t>#1</w:t>
      </w:r>
    </w:p>
    <w:p w:rsidR="000F55F5" w:rsidRPr="000F55F5" w:rsidRDefault="000F55F5" w:rsidP="000F55F5">
      <w:pPr>
        <w:spacing w:after="0" w:line="240" w:lineRule="auto"/>
        <w:rPr>
          <w:sz w:val="20"/>
          <w:szCs w:val="20"/>
        </w:rPr>
      </w:pPr>
      <w:r w:rsidRPr="000F55F5">
        <w:rPr>
          <w:sz w:val="20"/>
          <w:szCs w:val="20"/>
        </w:rPr>
        <w:t xml:space="preserve">This manuscript requires their readers to be familiar with topological </w:t>
      </w:r>
      <w:proofErr w:type="gramStart"/>
      <w:r w:rsidRPr="000F55F5">
        <w:rPr>
          <w:sz w:val="20"/>
          <w:szCs w:val="20"/>
        </w:rPr>
        <w:t>analysis,</w:t>
      </w:r>
      <w:proofErr w:type="gramEnd"/>
      <w:r>
        <w:rPr>
          <w:sz w:val="20"/>
          <w:szCs w:val="20"/>
        </w:rPr>
        <w:t xml:space="preserve"> </w:t>
      </w:r>
      <w:r w:rsidRPr="000F55F5">
        <w:rPr>
          <w:sz w:val="20"/>
          <w:szCs w:val="20"/>
        </w:rPr>
        <w:t>otherwise the readers might find it hard to understand its methodology. For example,</w:t>
      </w:r>
      <w:r>
        <w:rPr>
          <w:sz w:val="20"/>
          <w:szCs w:val="20"/>
        </w:rPr>
        <w:t xml:space="preserve"> </w:t>
      </w:r>
      <w:r w:rsidRPr="000F55F5">
        <w:rPr>
          <w:sz w:val="20"/>
          <w:szCs w:val="20"/>
        </w:rPr>
        <w:t xml:space="preserve">what are covering and clustering in the second step of </w:t>
      </w:r>
      <w:proofErr w:type="spellStart"/>
      <w:r w:rsidRPr="000F55F5">
        <w:rPr>
          <w:sz w:val="20"/>
          <w:szCs w:val="20"/>
        </w:rPr>
        <w:t>tmap</w:t>
      </w:r>
      <w:proofErr w:type="spellEnd"/>
      <w:r w:rsidRPr="000F55F5">
        <w:rPr>
          <w:sz w:val="20"/>
          <w:szCs w:val="20"/>
        </w:rPr>
        <w:t xml:space="preserve">? </w:t>
      </w:r>
      <w:proofErr w:type="gramStart"/>
      <w:r w:rsidRPr="000F55F5">
        <w:rPr>
          <w:sz w:val="20"/>
          <w:szCs w:val="20"/>
        </w:rPr>
        <w:t>what</w:t>
      </w:r>
      <w:proofErr w:type="gramEnd"/>
      <w:r w:rsidRPr="000F55F5">
        <w:rPr>
          <w:sz w:val="20"/>
          <w:szCs w:val="20"/>
        </w:rPr>
        <w:t xml:space="preserve"> is the purpose of</w:t>
      </w:r>
      <w:r>
        <w:rPr>
          <w:sz w:val="20"/>
          <w:szCs w:val="20"/>
        </w:rPr>
        <w:t xml:space="preserve"> </w:t>
      </w:r>
      <w:r w:rsidRPr="000F55F5">
        <w:rPr>
          <w:sz w:val="20"/>
          <w:szCs w:val="20"/>
        </w:rPr>
        <w:t>these two operations and how they are done?</w:t>
      </w:r>
    </w:p>
    <w:p w:rsidR="000F55F5" w:rsidRDefault="000F55F5" w:rsidP="000F55F5">
      <w:pPr>
        <w:spacing w:after="0" w:line="240" w:lineRule="auto"/>
        <w:rPr>
          <w:sz w:val="20"/>
          <w:szCs w:val="20"/>
        </w:rPr>
      </w:pPr>
    </w:p>
    <w:p w:rsidR="000F55F5" w:rsidRPr="000F55F5" w:rsidRDefault="000F55F5" w:rsidP="000F55F5">
      <w:pPr>
        <w:spacing w:after="0" w:line="240" w:lineRule="auto"/>
        <w:rPr>
          <w:color w:val="4F81BD" w:themeColor="accent1"/>
          <w:sz w:val="20"/>
          <w:szCs w:val="20"/>
        </w:rPr>
      </w:pPr>
      <w:r w:rsidRPr="000F55F5">
        <w:rPr>
          <w:color w:val="4F81BD" w:themeColor="accent1"/>
          <w:sz w:val="20"/>
          <w:szCs w:val="20"/>
        </w:rPr>
        <w:t>Response: Thank you for the suggestions. We have now prepared a new figure (Fig.</w:t>
      </w:r>
      <w:r w:rsidRPr="000F55F5">
        <w:rPr>
          <w:color w:val="4F81BD" w:themeColor="accent1"/>
          <w:sz w:val="20"/>
          <w:szCs w:val="20"/>
        </w:rPr>
        <w:t xml:space="preserve"> </w:t>
      </w:r>
      <w:r w:rsidRPr="000F55F5">
        <w:rPr>
          <w:color w:val="4F81BD" w:themeColor="accent1"/>
          <w:sz w:val="20"/>
          <w:szCs w:val="20"/>
        </w:rPr>
        <w:t>7a) and updated the Methods part (line 11-27, page 14; line 1-15, page 15) of our</w:t>
      </w:r>
      <w:r w:rsidRPr="000F55F5">
        <w:rPr>
          <w:color w:val="4F81BD" w:themeColor="accent1"/>
          <w:sz w:val="20"/>
          <w:szCs w:val="20"/>
        </w:rPr>
        <w:t xml:space="preserve"> </w:t>
      </w:r>
      <w:r w:rsidRPr="000F55F5">
        <w:rPr>
          <w:color w:val="4F81BD" w:themeColor="accent1"/>
          <w:sz w:val="20"/>
          <w:szCs w:val="20"/>
        </w:rPr>
        <w:t xml:space="preserve">revised manuscript to clearly explain the covering and clustering steps of </w:t>
      </w:r>
      <w:proofErr w:type="spellStart"/>
      <w:r w:rsidRPr="000F55F5">
        <w:rPr>
          <w:color w:val="4F81BD" w:themeColor="accent1"/>
          <w:sz w:val="20"/>
          <w:szCs w:val="20"/>
        </w:rPr>
        <w:t>tmap</w:t>
      </w:r>
      <w:proofErr w:type="spellEnd"/>
      <w:r w:rsidRPr="000F55F5">
        <w:rPr>
          <w:color w:val="4F81BD" w:themeColor="accent1"/>
          <w:sz w:val="20"/>
          <w:szCs w:val="20"/>
        </w:rPr>
        <w:t>,</w:t>
      </w:r>
      <w:r w:rsidRPr="000F55F5">
        <w:rPr>
          <w:color w:val="4F81BD" w:themeColor="accent1"/>
          <w:sz w:val="20"/>
          <w:szCs w:val="20"/>
        </w:rPr>
        <w:t xml:space="preserve"> </w:t>
      </w:r>
      <w:r w:rsidRPr="000F55F5">
        <w:rPr>
          <w:color w:val="4F81BD" w:themeColor="accent1"/>
          <w:sz w:val="20"/>
          <w:szCs w:val="20"/>
        </w:rPr>
        <w:t>together with descriptions of the purpose of these steps in microbiome data analysis.</w:t>
      </w:r>
      <w:r w:rsidRPr="000F55F5">
        <w:rPr>
          <w:color w:val="4F81BD" w:themeColor="accent1"/>
          <w:sz w:val="20"/>
          <w:szCs w:val="20"/>
        </w:rPr>
        <w:t xml:space="preserve"> </w:t>
      </w:r>
      <w:r w:rsidRPr="000F55F5">
        <w:rPr>
          <w:color w:val="4F81BD" w:themeColor="accent1"/>
          <w:sz w:val="20"/>
          <w:szCs w:val="20"/>
        </w:rPr>
        <w:t>Algorithmic details are also intuitively illustrated in the new Fig. 7a. With these updates</w:t>
      </w:r>
      <w:r w:rsidRPr="000F55F5">
        <w:rPr>
          <w:color w:val="4F81BD" w:themeColor="accent1"/>
          <w:sz w:val="20"/>
          <w:szCs w:val="20"/>
        </w:rPr>
        <w:t xml:space="preserve"> </w:t>
      </w:r>
      <w:r w:rsidRPr="000F55F5">
        <w:rPr>
          <w:color w:val="4F81BD" w:themeColor="accent1"/>
          <w:sz w:val="20"/>
          <w:szCs w:val="20"/>
        </w:rPr>
        <w:t xml:space="preserve">and the new Fig. 7a of the Mapper algorithm used within </w:t>
      </w:r>
      <w:proofErr w:type="spellStart"/>
      <w:r w:rsidRPr="000F55F5">
        <w:rPr>
          <w:color w:val="4F81BD" w:themeColor="accent1"/>
          <w:sz w:val="20"/>
          <w:szCs w:val="20"/>
        </w:rPr>
        <w:t>tmap</w:t>
      </w:r>
      <w:proofErr w:type="spellEnd"/>
      <w:r w:rsidRPr="000F55F5">
        <w:rPr>
          <w:color w:val="4F81BD" w:themeColor="accent1"/>
          <w:sz w:val="20"/>
          <w:szCs w:val="20"/>
        </w:rPr>
        <w:t>, we believe that readers</w:t>
      </w:r>
      <w:r w:rsidRPr="000F55F5">
        <w:rPr>
          <w:color w:val="4F81BD" w:themeColor="accent1"/>
          <w:sz w:val="20"/>
          <w:szCs w:val="20"/>
        </w:rPr>
        <w:t xml:space="preserve"> </w:t>
      </w:r>
      <w:r w:rsidRPr="000F55F5">
        <w:rPr>
          <w:color w:val="4F81BD" w:themeColor="accent1"/>
          <w:sz w:val="20"/>
          <w:szCs w:val="20"/>
        </w:rPr>
        <w:t>who are not familiar with topological data analysis can now easily understand our</w:t>
      </w:r>
      <w:r w:rsidRPr="000F55F5">
        <w:rPr>
          <w:color w:val="4F81BD" w:themeColor="accent1"/>
          <w:sz w:val="20"/>
          <w:szCs w:val="20"/>
        </w:rPr>
        <w:t xml:space="preserve"> </w:t>
      </w:r>
      <w:r w:rsidRPr="000F55F5">
        <w:rPr>
          <w:color w:val="4F81BD" w:themeColor="accent1"/>
          <w:sz w:val="20"/>
          <w:szCs w:val="20"/>
        </w:rPr>
        <w:t>method and will find its potential in microbiome data analysis.</w:t>
      </w:r>
    </w:p>
    <w:p w:rsidR="000F55F5" w:rsidRPr="000F55F5" w:rsidRDefault="000F55F5" w:rsidP="000F55F5">
      <w:pPr>
        <w:spacing w:after="0" w:line="240" w:lineRule="auto"/>
        <w:rPr>
          <w:sz w:val="20"/>
          <w:szCs w:val="20"/>
        </w:rPr>
      </w:pPr>
    </w:p>
    <w:p w:rsidR="000F55F5" w:rsidRDefault="000F55F5" w:rsidP="000F55F5">
      <w:pPr>
        <w:spacing w:after="0" w:line="240" w:lineRule="auto"/>
        <w:rPr>
          <w:sz w:val="20"/>
          <w:szCs w:val="20"/>
        </w:rPr>
      </w:pPr>
      <w:r w:rsidRPr="000F55F5">
        <w:rPr>
          <w:sz w:val="20"/>
          <w:szCs w:val="20"/>
        </w:rPr>
        <w:t xml:space="preserve">How does topological analysis divide </w:t>
      </w:r>
      <w:proofErr w:type="spellStart"/>
      <w:r w:rsidRPr="000F55F5">
        <w:rPr>
          <w:sz w:val="20"/>
          <w:szCs w:val="20"/>
        </w:rPr>
        <w:t>PCoA</w:t>
      </w:r>
      <w:proofErr w:type="spellEnd"/>
      <w:r w:rsidRPr="000F55F5">
        <w:rPr>
          <w:sz w:val="20"/>
          <w:szCs w:val="20"/>
        </w:rPr>
        <w:t xml:space="preserve"> into several clusters?</w:t>
      </w:r>
    </w:p>
    <w:p w:rsidR="000F55F5" w:rsidRPr="000F55F5" w:rsidRDefault="000F55F5" w:rsidP="000F55F5">
      <w:pPr>
        <w:spacing w:after="0" w:line="240" w:lineRule="auto"/>
        <w:rPr>
          <w:sz w:val="20"/>
          <w:szCs w:val="20"/>
        </w:rPr>
      </w:pPr>
    </w:p>
    <w:p w:rsidR="000F55F5" w:rsidRDefault="000F55F5" w:rsidP="000F55F5">
      <w:pPr>
        <w:spacing w:after="0" w:line="240" w:lineRule="auto"/>
        <w:rPr>
          <w:color w:val="4F81BD" w:themeColor="accent1"/>
          <w:sz w:val="20"/>
          <w:szCs w:val="20"/>
        </w:rPr>
      </w:pPr>
      <w:r w:rsidRPr="000F55F5">
        <w:rPr>
          <w:color w:val="4F81BD" w:themeColor="accent1"/>
          <w:sz w:val="20"/>
          <w:szCs w:val="20"/>
        </w:rPr>
        <w:t>Response: Our revised manuscript now includes descriptions (line 7-11, page 15) to</w:t>
      </w:r>
      <w:r w:rsidRPr="000F55F5">
        <w:rPr>
          <w:color w:val="4F81BD" w:themeColor="accent1"/>
          <w:sz w:val="20"/>
          <w:szCs w:val="20"/>
        </w:rPr>
        <w:t xml:space="preserve"> </w:t>
      </w:r>
      <w:r w:rsidRPr="000F55F5">
        <w:rPr>
          <w:color w:val="4F81BD" w:themeColor="accent1"/>
          <w:sz w:val="20"/>
          <w:szCs w:val="20"/>
        </w:rPr>
        <w:t xml:space="preserve">explain how clustering is performed to divide samples in a </w:t>
      </w:r>
      <w:proofErr w:type="spellStart"/>
      <w:r w:rsidRPr="000F55F5">
        <w:rPr>
          <w:color w:val="4F81BD" w:themeColor="accent1"/>
          <w:sz w:val="20"/>
          <w:szCs w:val="20"/>
        </w:rPr>
        <w:t>PCoA</w:t>
      </w:r>
      <w:proofErr w:type="spellEnd"/>
      <w:r w:rsidRPr="000F55F5">
        <w:rPr>
          <w:color w:val="4F81BD" w:themeColor="accent1"/>
          <w:sz w:val="20"/>
          <w:szCs w:val="20"/>
        </w:rPr>
        <w:t xml:space="preserve"> space into clusters,</w:t>
      </w:r>
      <w:r w:rsidRPr="000F55F5">
        <w:rPr>
          <w:color w:val="4F81BD" w:themeColor="accent1"/>
          <w:sz w:val="20"/>
          <w:szCs w:val="20"/>
        </w:rPr>
        <w:t xml:space="preserve"> </w:t>
      </w:r>
      <w:r w:rsidRPr="000F55F5">
        <w:rPr>
          <w:color w:val="4F81BD" w:themeColor="accent1"/>
          <w:sz w:val="20"/>
          <w:szCs w:val="20"/>
        </w:rPr>
        <w:t>and their meanings in the context of microbiome data analysis.</w:t>
      </w:r>
      <w:r w:rsidRPr="000F55F5">
        <w:rPr>
          <w:color w:val="4F81BD" w:themeColor="accent1"/>
          <w:sz w:val="20"/>
          <w:szCs w:val="20"/>
        </w:rPr>
        <w:t xml:space="preserve"> </w:t>
      </w:r>
    </w:p>
    <w:p w:rsidR="000F55F5" w:rsidRPr="000F55F5" w:rsidRDefault="000F55F5" w:rsidP="000F55F5">
      <w:pPr>
        <w:spacing w:after="0" w:line="240" w:lineRule="auto"/>
        <w:rPr>
          <w:color w:val="4F81BD" w:themeColor="accent1"/>
          <w:sz w:val="20"/>
          <w:szCs w:val="20"/>
        </w:rPr>
      </w:pPr>
    </w:p>
    <w:p w:rsidR="000F55F5" w:rsidRPr="000F55F5" w:rsidRDefault="000F55F5" w:rsidP="000F55F5">
      <w:pPr>
        <w:spacing w:after="0" w:line="240" w:lineRule="auto"/>
        <w:rPr>
          <w:sz w:val="20"/>
          <w:szCs w:val="20"/>
        </w:rPr>
      </w:pPr>
      <w:r w:rsidRPr="000F55F5">
        <w:rPr>
          <w:sz w:val="20"/>
          <w:szCs w:val="20"/>
        </w:rPr>
        <w:t xml:space="preserve">What </w:t>
      </w:r>
      <w:proofErr w:type="gramStart"/>
      <w:r w:rsidRPr="000F55F5">
        <w:rPr>
          <w:sz w:val="20"/>
          <w:szCs w:val="20"/>
        </w:rPr>
        <w:t>is</w:t>
      </w:r>
      <w:proofErr w:type="gramEnd"/>
      <w:r w:rsidRPr="000F55F5">
        <w:rPr>
          <w:sz w:val="20"/>
          <w:szCs w:val="20"/>
        </w:rPr>
        <w:t xml:space="preserve"> enrichment scores? It seems to be some</w:t>
      </w:r>
      <w:r w:rsidRPr="000F55F5">
        <w:rPr>
          <w:sz w:val="20"/>
          <w:szCs w:val="20"/>
        </w:rPr>
        <w:t xml:space="preserve">thing comparable to correlation </w:t>
      </w:r>
      <w:r w:rsidRPr="000F55F5">
        <w:rPr>
          <w:sz w:val="20"/>
          <w:szCs w:val="20"/>
        </w:rPr>
        <w:t>coefficient in linear regression?</w:t>
      </w:r>
    </w:p>
    <w:p w:rsidR="000F55F5" w:rsidRDefault="000F55F5" w:rsidP="000F55F5">
      <w:pPr>
        <w:spacing w:after="0" w:line="240" w:lineRule="auto"/>
        <w:rPr>
          <w:sz w:val="20"/>
          <w:szCs w:val="20"/>
        </w:rPr>
      </w:pPr>
    </w:p>
    <w:p w:rsidR="000F55F5" w:rsidRPr="000F55F5" w:rsidRDefault="000F55F5" w:rsidP="000F55F5">
      <w:pPr>
        <w:spacing w:after="0" w:line="240" w:lineRule="auto"/>
        <w:rPr>
          <w:color w:val="4F81BD" w:themeColor="accent1"/>
          <w:sz w:val="20"/>
          <w:szCs w:val="20"/>
        </w:rPr>
      </w:pPr>
      <w:r w:rsidRPr="000F55F5">
        <w:rPr>
          <w:color w:val="4F81BD" w:themeColor="accent1"/>
          <w:sz w:val="20"/>
          <w:szCs w:val="20"/>
        </w:rPr>
        <w:t>Response: We have revised our manuscript to clearly and intuitively explain the</w:t>
      </w:r>
      <w:r w:rsidRPr="000F55F5">
        <w:rPr>
          <w:color w:val="4F81BD" w:themeColor="accent1"/>
          <w:sz w:val="20"/>
          <w:szCs w:val="20"/>
        </w:rPr>
        <w:t xml:space="preserve"> </w:t>
      </w:r>
      <w:r w:rsidRPr="000F55F5">
        <w:rPr>
          <w:color w:val="4F81BD" w:themeColor="accent1"/>
          <w:sz w:val="20"/>
          <w:szCs w:val="20"/>
        </w:rPr>
        <w:t xml:space="preserve">concept of enrichment score, designated as SAFE score in </w:t>
      </w:r>
      <w:proofErr w:type="spellStart"/>
      <w:r w:rsidRPr="000F55F5">
        <w:rPr>
          <w:color w:val="4F81BD" w:themeColor="accent1"/>
          <w:sz w:val="20"/>
          <w:szCs w:val="20"/>
        </w:rPr>
        <w:t>tmap</w:t>
      </w:r>
      <w:proofErr w:type="spellEnd"/>
      <w:r w:rsidRPr="000F55F5">
        <w:rPr>
          <w:color w:val="4F81BD" w:themeColor="accent1"/>
          <w:sz w:val="20"/>
          <w:szCs w:val="20"/>
        </w:rPr>
        <w:t xml:space="preserve"> (line 9-16, page 16;</w:t>
      </w:r>
      <w:r w:rsidRPr="000F55F5">
        <w:rPr>
          <w:color w:val="4F81BD" w:themeColor="accent1"/>
          <w:sz w:val="20"/>
          <w:szCs w:val="20"/>
        </w:rPr>
        <w:t xml:space="preserve"> </w:t>
      </w:r>
      <w:r w:rsidRPr="000F55F5">
        <w:rPr>
          <w:color w:val="4F81BD" w:themeColor="accent1"/>
          <w:sz w:val="20"/>
          <w:szCs w:val="20"/>
        </w:rPr>
        <w:t>line 22-29, page 4; line 1-4, page 5), together with the rationale for using the scores in</w:t>
      </w:r>
      <w:r w:rsidRPr="000F55F5">
        <w:rPr>
          <w:color w:val="4F81BD" w:themeColor="accent1"/>
          <w:sz w:val="20"/>
          <w:szCs w:val="20"/>
        </w:rPr>
        <w:t xml:space="preserve"> </w:t>
      </w:r>
      <w:r w:rsidRPr="000F55F5">
        <w:rPr>
          <w:color w:val="4F81BD" w:themeColor="accent1"/>
          <w:sz w:val="20"/>
          <w:szCs w:val="20"/>
        </w:rPr>
        <w:t>microbiome association analysis (line 18-26, page 15). A new figure (Fig. 7b) has been</w:t>
      </w:r>
      <w:r w:rsidRPr="000F55F5">
        <w:rPr>
          <w:color w:val="4F81BD" w:themeColor="accent1"/>
          <w:sz w:val="20"/>
          <w:szCs w:val="20"/>
        </w:rPr>
        <w:t xml:space="preserve"> </w:t>
      </w:r>
      <w:r w:rsidRPr="000F55F5">
        <w:rPr>
          <w:color w:val="4F81BD" w:themeColor="accent1"/>
          <w:sz w:val="20"/>
          <w:szCs w:val="20"/>
        </w:rPr>
        <w:t>added to illustrate the algorithmic details on the calculation of the scores. And</w:t>
      </w:r>
      <w:r w:rsidRPr="000F55F5">
        <w:rPr>
          <w:color w:val="4F81BD" w:themeColor="accent1"/>
          <w:sz w:val="20"/>
          <w:szCs w:val="20"/>
        </w:rPr>
        <w:t xml:space="preserve"> </w:t>
      </w:r>
      <w:r w:rsidRPr="000F55F5">
        <w:rPr>
          <w:color w:val="4F81BD" w:themeColor="accent1"/>
          <w:sz w:val="20"/>
          <w:szCs w:val="20"/>
        </w:rPr>
        <w:t>comparison with correlation coefficient in linear regression has also been discussed</w:t>
      </w:r>
      <w:r w:rsidRPr="000F55F5">
        <w:rPr>
          <w:color w:val="4F81BD" w:themeColor="accent1"/>
          <w:sz w:val="20"/>
          <w:szCs w:val="20"/>
        </w:rPr>
        <w:t xml:space="preserve"> </w:t>
      </w:r>
      <w:r w:rsidRPr="000F55F5">
        <w:rPr>
          <w:color w:val="4F81BD" w:themeColor="accent1"/>
          <w:sz w:val="20"/>
          <w:szCs w:val="20"/>
        </w:rPr>
        <w:t>(line 8-21, page 13). We hope these updates will help our readers to better understand</w:t>
      </w:r>
      <w:r w:rsidRPr="000F55F5">
        <w:rPr>
          <w:color w:val="4F81BD" w:themeColor="accent1"/>
          <w:sz w:val="20"/>
          <w:szCs w:val="20"/>
        </w:rPr>
        <w:t xml:space="preserve"> </w:t>
      </w:r>
      <w:r w:rsidRPr="000F55F5">
        <w:rPr>
          <w:color w:val="4F81BD" w:themeColor="accent1"/>
          <w:sz w:val="20"/>
          <w:szCs w:val="20"/>
        </w:rPr>
        <w:t>the scores and how the scores can be used to capture complex microbiome</w:t>
      </w:r>
      <w:r w:rsidRPr="000F55F5">
        <w:rPr>
          <w:color w:val="4F81BD" w:themeColor="accent1"/>
          <w:sz w:val="20"/>
          <w:szCs w:val="20"/>
        </w:rPr>
        <w:t xml:space="preserve"> association patterns for further analysis.</w:t>
      </w:r>
    </w:p>
    <w:p w:rsidR="000F55F5" w:rsidRDefault="000F55F5" w:rsidP="000F55F5">
      <w:pPr>
        <w:spacing w:after="0" w:line="240" w:lineRule="auto"/>
        <w:rPr>
          <w:sz w:val="20"/>
          <w:szCs w:val="20"/>
        </w:rPr>
      </w:pPr>
    </w:p>
    <w:p w:rsidR="000F55F5" w:rsidRDefault="000F55F5" w:rsidP="000F55F5">
      <w:pPr>
        <w:spacing w:after="0" w:line="240" w:lineRule="auto"/>
        <w:rPr>
          <w:sz w:val="20"/>
          <w:szCs w:val="20"/>
        </w:rPr>
      </w:pPr>
      <w:r w:rsidRPr="000F55F5">
        <w:rPr>
          <w:sz w:val="20"/>
          <w:szCs w:val="20"/>
        </w:rPr>
        <w:t>It would be great if the author gives more explanations t</w:t>
      </w:r>
      <w:r>
        <w:rPr>
          <w:sz w:val="20"/>
          <w:szCs w:val="20"/>
        </w:rPr>
        <w:t xml:space="preserve">o help their readers understand </w:t>
      </w:r>
      <w:r w:rsidRPr="000F55F5">
        <w:rPr>
          <w:sz w:val="20"/>
          <w:szCs w:val="20"/>
        </w:rPr>
        <w:t>this method.</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color w:val="4F81BD" w:themeColor="accent1"/>
          <w:sz w:val="20"/>
          <w:szCs w:val="20"/>
        </w:rPr>
      </w:pPr>
      <w:r w:rsidRPr="000F55F5">
        <w:rPr>
          <w:color w:val="4F81BD" w:themeColor="accent1"/>
          <w:sz w:val="20"/>
          <w:szCs w:val="20"/>
        </w:rPr>
        <w:t>Response: We appreciate this suggestion very much. We have revised our manuscript</w:t>
      </w:r>
      <w:r w:rsidRPr="000F55F5">
        <w:rPr>
          <w:color w:val="4F81BD" w:themeColor="accent1"/>
          <w:sz w:val="20"/>
          <w:szCs w:val="20"/>
        </w:rPr>
        <w:t xml:space="preserve"> </w:t>
      </w:r>
      <w:r w:rsidRPr="000F55F5">
        <w:rPr>
          <w:color w:val="4F81BD" w:themeColor="accent1"/>
          <w:sz w:val="20"/>
          <w:szCs w:val="20"/>
        </w:rPr>
        <w:t>substantially to explain our method more intuitively, with more microbiome context, and</w:t>
      </w:r>
      <w:r w:rsidRPr="000F55F5">
        <w:rPr>
          <w:color w:val="4F81BD" w:themeColor="accent1"/>
          <w:sz w:val="20"/>
          <w:szCs w:val="20"/>
        </w:rPr>
        <w:t xml:space="preserve"> </w:t>
      </w:r>
      <w:r w:rsidRPr="000F55F5">
        <w:rPr>
          <w:color w:val="4F81BD" w:themeColor="accent1"/>
          <w:sz w:val="20"/>
          <w:szCs w:val="20"/>
        </w:rPr>
        <w:t>with more succinct algorithm details. The updates and improvements are as follows:</w:t>
      </w:r>
      <w:r w:rsidRPr="000F55F5">
        <w:rPr>
          <w:color w:val="4F81BD" w:themeColor="accent1"/>
          <w:sz w:val="20"/>
          <w:szCs w:val="20"/>
        </w:rPr>
        <w:t xml:space="preserve"> </w:t>
      </w:r>
    </w:p>
    <w:p w:rsidR="000F55F5" w:rsidRPr="000F55F5" w:rsidRDefault="000F55F5" w:rsidP="000F55F5">
      <w:pPr>
        <w:spacing w:after="0" w:line="240" w:lineRule="auto"/>
        <w:rPr>
          <w:color w:val="4F81BD" w:themeColor="accent1"/>
          <w:sz w:val="20"/>
          <w:szCs w:val="20"/>
        </w:rPr>
      </w:pPr>
      <w:proofErr w:type="gramStart"/>
      <w:r w:rsidRPr="000F55F5">
        <w:rPr>
          <w:color w:val="4F81BD" w:themeColor="accent1"/>
          <w:sz w:val="20"/>
          <w:szCs w:val="20"/>
        </w:rPr>
        <w:t>1.We</w:t>
      </w:r>
      <w:proofErr w:type="gramEnd"/>
      <w:r w:rsidRPr="000F55F5">
        <w:rPr>
          <w:color w:val="4F81BD" w:themeColor="accent1"/>
          <w:sz w:val="20"/>
          <w:szCs w:val="20"/>
        </w:rPr>
        <w:t xml:space="preserve"> have revised Fig. 1 to present an overall workflow of </w:t>
      </w:r>
      <w:proofErr w:type="spellStart"/>
      <w:r w:rsidRPr="000F55F5">
        <w:rPr>
          <w:color w:val="4F81BD" w:themeColor="accent1"/>
          <w:sz w:val="20"/>
          <w:szCs w:val="20"/>
        </w:rPr>
        <w:t>tmap</w:t>
      </w:r>
      <w:proofErr w:type="spellEnd"/>
      <w:r w:rsidRPr="000F55F5">
        <w:rPr>
          <w:color w:val="4F81BD" w:themeColor="accent1"/>
          <w:sz w:val="20"/>
          <w:szCs w:val="20"/>
        </w:rPr>
        <w:t>, focusing on the major</w:t>
      </w:r>
      <w:r w:rsidRPr="000F55F5">
        <w:rPr>
          <w:color w:val="4F81BD" w:themeColor="accent1"/>
          <w:sz w:val="20"/>
          <w:szCs w:val="20"/>
        </w:rPr>
        <w:t xml:space="preserve"> </w:t>
      </w:r>
      <w:r w:rsidRPr="000F55F5">
        <w:rPr>
          <w:color w:val="4F81BD" w:themeColor="accent1"/>
          <w:sz w:val="20"/>
          <w:szCs w:val="20"/>
        </w:rPr>
        <w:t>steps and results of the pipeline;</w:t>
      </w:r>
    </w:p>
    <w:p w:rsidR="000F55F5" w:rsidRPr="000F55F5" w:rsidRDefault="000F55F5" w:rsidP="000F55F5">
      <w:pPr>
        <w:spacing w:after="0" w:line="240" w:lineRule="auto"/>
        <w:rPr>
          <w:color w:val="4F81BD" w:themeColor="accent1"/>
          <w:sz w:val="20"/>
          <w:szCs w:val="20"/>
        </w:rPr>
      </w:pPr>
      <w:proofErr w:type="gramStart"/>
      <w:r w:rsidRPr="000F55F5">
        <w:rPr>
          <w:color w:val="4F81BD" w:themeColor="accent1"/>
          <w:sz w:val="20"/>
          <w:szCs w:val="20"/>
        </w:rPr>
        <w:t>2.We</w:t>
      </w:r>
      <w:proofErr w:type="gramEnd"/>
      <w:r w:rsidRPr="000F55F5">
        <w:rPr>
          <w:color w:val="4F81BD" w:themeColor="accent1"/>
          <w:sz w:val="20"/>
          <w:szCs w:val="20"/>
        </w:rPr>
        <w:t xml:space="preserve"> have added new figures to illustrate the Mapper and SAFE algorithm (Fig 7a,b),</w:t>
      </w:r>
      <w:r w:rsidRPr="000F55F5">
        <w:rPr>
          <w:color w:val="4F81BD" w:themeColor="accent1"/>
          <w:sz w:val="20"/>
          <w:szCs w:val="20"/>
        </w:rPr>
        <w:t xml:space="preserve"> </w:t>
      </w:r>
      <w:r w:rsidRPr="000F55F5">
        <w:rPr>
          <w:color w:val="4F81BD" w:themeColor="accent1"/>
          <w:sz w:val="20"/>
          <w:szCs w:val="20"/>
        </w:rPr>
        <w:t>with key steps highlighted and annotated intuitively using schematic diagrams</w:t>
      </w:r>
      <w:r w:rsidRPr="000F55F5">
        <w:rPr>
          <w:rFonts w:ascii="MS Gothic" w:eastAsia="MS Gothic" w:hAnsi="MS Gothic" w:cs="MS Gothic" w:hint="eastAsia"/>
          <w:color w:val="4F81BD" w:themeColor="accent1"/>
          <w:sz w:val="20"/>
          <w:szCs w:val="20"/>
        </w:rPr>
        <w:t>；</w:t>
      </w:r>
    </w:p>
    <w:p w:rsidR="000F55F5" w:rsidRPr="000F55F5" w:rsidRDefault="000F55F5" w:rsidP="000F55F5">
      <w:pPr>
        <w:spacing w:after="0" w:line="240" w:lineRule="auto"/>
        <w:rPr>
          <w:color w:val="4F81BD" w:themeColor="accent1"/>
          <w:sz w:val="20"/>
          <w:szCs w:val="20"/>
        </w:rPr>
      </w:pPr>
      <w:r w:rsidRPr="000F55F5">
        <w:rPr>
          <w:color w:val="4F81BD" w:themeColor="accent1"/>
          <w:sz w:val="20"/>
          <w:szCs w:val="20"/>
        </w:rPr>
        <w:t>3.We have added thorough explanations and discussions for the Mapper algorithm and</w:t>
      </w:r>
      <w:r w:rsidRPr="000F55F5">
        <w:rPr>
          <w:color w:val="4F81BD" w:themeColor="accent1"/>
          <w:sz w:val="20"/>
          <w:szCs w:val="20"/>
        </w:rPr>
        <w:t xml:space="preserve"> </w:t>
      </w:r>
      <w:r w:rsidRPr="000F55F5">
        <w:rPr>
          <w:color w:val="4F81BD" w:themeColor="accent1"/>
          <w:sz w:val="20"/>
          <w:szCs w:val="20"/>
        </w:rPr>
        <w:t>SAFE algorithm in the Methods (line 14-27, page 14; line 1-15, page 15; line 17-26,</w:t>
      </w:r>
      <w:r w:rsidRPr="000F55F5">
        <w:rPr>
          <w:color w:val="4F81BD" w:themeColor="accent1"/>
          <w:sz w:val="20"/>
          <w:szCs w:val="20"/>
        </w:rPr>
        <w:t xml:space="preserve"> </w:t>
      </w:r>
      <w:r w:rsidRPr="000F55F5">
        <w:rPr>
          <w:color w:val="4F81BD" w:themeColor="accent1"/>
          <w:sz w:val="20"/>
          <w:szCs w:val="20"/>
        </w:rPr>
        <w:t>page 15) and Discussions (line 12-25, page 12; line 1-29, page 13) of our revised</w:t>
      </w:r>
      <w:r w:rsidRPr="000F55F5">
        <w:rPr>
          <w:color w:val="4F81BD" w:themeColor="accent1"/>
          <w:sz w:val="20"/>
          <w:szCs w:val="20"/>
        </w:rPr>
        <w:t xml:space="preserve"> </w:t>
      </w:r>
      <w:r w:rsidRPr="000F55F5">
        <w:rPr>
          <w:color w:val="4F81BD" w:themeColor="accent1"/>
          <w:sz w:val="20"/>
          <w:szCs w:val="20"/>
        </w:rPr>
        <w:t>manuscript.</w:t>
      </w:r>
    </w:p>
    <w:p w:rsidR="000F55F5" w:rsidRPr="000F55F5" w:rsidRDefault="000F55F5" w:rsidP="000F55F5">
      <w:pPr>
        <w:spacing w:after="0" w:line="240" w:lineRule="auto"/>
        <w:rPr>
          <w:color w:val="4F81BD" w:themeColor="accent1"/>
          <w:sz w:val="20"/>
          <w:szCs w:val="20"/>
        </w:rPr>
      </w:pPr>
      <w:r w:rsidRPr="000F55F5">
        <w:rPr>
          <w:color w:val="4F81BD" w:themeColor="accent1"/>
          <w:sz w:val="20"/>
          <w:szCs w:val="20"/>
        </w:rPr>
        <w:t xml:space="preserve">We believe that the </w:t>
      </w:r>
      <w:proofErr w:type="spellStart"/>
      <w:r w:rsidRPr="000F55F5">
        <w:rPr>
          <w:color w:val="4F81BD" w:themeColor="accent1"/>
          <w:sz w:val="20"/>
          <w:szCs w:val="20"/>
        </w:rPr>
        <w:t>tmap</w:t>
      </w:r>
      <w:proofErr w:type="spellEnd"/>
      <w:r w:rsidRPr="000F55F5">
        <w:rPr>
          <w:color w:val="4F81BD" w:themeColor="accent1"/>
          <w:sz w:val="20"/>
          <w:szCs w:val="20"/>
        </w:rPr>
        <w:t xml:space="preserve"> method has now been well explained for the readers</w:t>
      </w:r>
      <w:r w:rsidRPr="000F55F5">
        <w:rPr>
          <w:color w:val="4F81BD" w:themeColor="accent1"/>
          <w:sz w:val="20"/>
          <w:szCs w:val="20"/>
        </w:rPr>
        <w:t xml:space="preserve"> </w:t>
      </w:r>
      <w:r w:rsidRPr="000F55F5">
        <w:rPr>
          <w:color w:val="4F81BD" w:themeColor="accent1"/>
          <w:sz w:val="20"/>
          <w:szCs w:val="20"/>
        </w:rPr>
        <w:t>unfamiliar with the concepts of topological data analysis and network enrichment</w:t>
      </w:r>
      <w:r w:rsidRPr="000F55F5">
        <w:rPr>
          <w:color w:val="4F81BD" w:themeColor="accent1"/>
          <w:sz w:val="20"/>
          <w:szCs w:val="20"/>
        </w:rPr>
        <w:t xml:space="preserve"> </w:t>
      </w:r>
      <w:r w:rsidRPr="000F55F5">
        <w:rPr>
          <w:color w:val="4F81BD" w:themeColor="accent1"/>
          <w:sz w:val="20"/>
          <w:szCs w:val="20"/>
        </w:rPr>
        <w:t>analysis. Our revised manuscript now provides intuitive and solid technical background</w:t>
      </w:r>
      <w:r w:rsidRPr="000F55F5">
        <w:rPr>
          <w:color w:val="4F81BD" w:themeColor="accent1"/>
          <w:sz w:val="20"/>
          <w:szCs w:val="20"/>
        </w:rPr>
        <w:t xml:space="preserve"> </w:t>
      </w:r>
      <w:r w:rsidRPr="000F55F5">
        <w:rPr>
          <w:color w:val="4F81BD" w:themeColor="accent1"/>
          <w:sz w:val="20"/>
          <w:szCs w:val="20"/>
        </w:rPr>
        <w:t>for the understanding and application of our method.</w:t>
      </w:r>
    </w:p>
    <w:p w:rsidR="000F55F5" w:rsidRPr="000F55F5" w:rsidRDefault="000F55F5" w:rsidP="000F55F5">
      <w:pPr>
        <w:spacing w:after="0" w:line="240" w:lineRule="auto"/>
        <w:rPr>
          <w:sz w:val="20"/>
          <w:szCs w:val="20"/>
        </w:rPr>
      </w:pPr>
    </w:p>
    <w:p w:rsidR="000F55F5" w:rsidRDefault="000F55F5" w:rsidP="000F55F5">
      <w:pPr>
        <w:spacing w:after="0" w:line="240" w:lineRule="auto"/>
        <w:rPr>
          <w:sz w:val="20"/>
          <w:szCs w:val="20"/>
        </w:rPr>
      </w:pPr>
      <w:r w:rsidRPr="000F55F5">
        <w:rPr>
          <w:sz w:val="20"/>
          <w:szCs w:val="20"/>
        </w:rPr>
        <w:t xml:space="preserve">The author compared </w:t>
      </w:r>
      <w:proofErr w:type="spellStart"/>
      <w:r w:rsidRPr="000F55F5">
        <w:rPr>
          <w:sz w:val="20"/>
          <w:szCs w:val="20"/>
        </w:rPr>
        <w:t>tmap</w:t>
      </w:r>
      <w:proofErr w:type="spellEnd"/>
      <w:r w:rsidRPr="000F55F5">
        <w:rPr>
          <w:sz w:val="20"/>
          <w:szCs w:val="20"/>
        </w:rPr>
        <w:t xml:space="preserve"> and </w:t>
      </w:r>
      <w:proofErr w:type="spellStart"/>
      <w:r w:rsidRPr="000F55F5">
        <w:rPr>
          <w:sz w:val="20"/>
          <w:szCs w:val="20"/>
        </w:rPr>
        <w:t>envfit</w:t>
      </w:r>
      <w:proofErr w:type="spellEnd"/>
      <w:r w:rsidRPr="000F55F5">
        <w:rPr>
          <w:sz w:val="20"/>
          <w:szCs w:val="20"/>
        </w:rPr>
        <w:t xml:space="preserve"> to demonstrate the advantages of </w:t>
      </w:r>
      <w:proofErr w:type="spellStart"/>
      <w:r w:rsidRPr="000F55F5">
        <w:rPr>
          <w:sz w:val="20"/>
          <w:szCs w:val="20"/>
        </w:rPr>
        <w:t>tmap</w:t>
      </w:r>
      <w:proofErr w:type="spellEnd"/>
      <w:r w:rsidRPr="000F55F5">
        <w:rPr>
          <w:sz w:val="20"/>
          <w:szCs w:val="20"/>
        </w:rPr>
        <w:t xml:space="preserve"> over</w:t>
      </w:r>
      <w:r>
        <w:rPr>
          <w:sz w:val="20"/>
          <w:szCs w:val="20"/>
        </w:rPr>
        <w:t xml:space="preserve"> </w:t>
      </w:r>
      <w:r w:rsidRPr="000F55F5">
        <w:rPr>
          <w:sz w:val="20"/>
          <w:szCs w:val="20"/>
        </w:rPr>
        <w:t>existing tools. It will be more credible if other existing tools, e.g., ADONIS, ANOSIM</w:t>
      </w:r>
      <w:r>
        <w:rPr>
          <w:sz w:val="20"/>
          <w:szCs w:val="20"/>
        </w:rPr>
        <w:t xml:space="preserve"> </w:t>
      </w:r>
      <w:r w:rsidRPr="000F55F5">
        <w:rPr>
          <w:sz w:val="20"/>
          <w:szCs w:val="20"/>
        </w:rPr>
        <w:t>and etc., are also included in the comparisons.</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color w:val="4F81BD" w:themeColor="accent1"/>
          <w:sz w:val="20"/>
          <w:szCs w:val="20"/>
        </w:rPr>
      </w:pPr>
      <w:r w:rsidRPr="000F55F5">
        <w:rPr>
          <w:color w:val="4F81BD" w:themeColor="accent1"/>
          <w:sz w:val="20"/>
          <w:szCs w:val="20"/>
        </w:rPr>
        <w:t>Response: Thank you for this suggestion. We have now included ADONIS and</w:t>
      </w:r>
      <w:r w:rsidRPr="000F55F5">
        <w:rPr>
          <w:color w:val="4F81BD" w:themeColor="accent1"/>
          <w:sz w:val="20"/>
          <w:szCs w:val="20"/>
        </w:rPr>
        <w:t xml:space="preserve"> </w:t>
      </w:r>
      <w:r w:rsidRPr="000F55F5">
        <w:rPr>
          <w:color w:val="4F81BD" w:themeColor="accent1"/>
          <w:sz w:val="20"/>
          <w:szCs w:val="20"/>
        </w:rPr>
        <w:t xml:space="preserve">ANOSIM in the comparison with </w:t>
      </w:r>
      <w:proofErr w:type="spellStart"/>
      <w:r w:rsidRPr="000F55F5">
        <w:rPr>
          <w:color w:val="4F81BD" w:themeColor="accent1"/>
          <w:sz w:val="20"/>
          <w:szCs w:val="20"/>
        </w:rPr>
        <w:t>tmap</w:t>
      </w:r>
      <w:proofErr w:type="spellEnd"/>
      <w:r w:rsidRPr="000F55F5">
        <w:rPr>
          <w:color w:val="4F81BD" w:themeColor="accent1"/>
          <w:sz w:val="20"/>
          <w:szCs w:val="20"/>
        </w:rPr>
        <w:t>, using both synthetic dataset (revised Fig. 2;</w:t>
      </w:r>
      <w:r w:rsidRPr="000F55F5">
        <w:rPr>
          <w:color w:val="4F81BD" w:themeColor="accent1"/>
          <w:sz w:val="20"/>
          <w:szCs w:val="20"/>
        </w:rPr>
        <w:t xml:space="preserve"> </w:t>
      </w:r>
      <w:r w:rsidRPr="000F55F5">
        <w:rPr>
          <w:color w:val="4F81BD" w:themeColor="accent1"/>
          <w:sz w:val="20"/>
          <w:szCs w:val="20"/>
        </w:rPr>
        <w:t>new supplementary Table S1) and the FGFP dataset (line 6-12, page 7; new</w:t>
      </w:r>
      <w:r w:rsidRPr="000F55F5">
        <w:rPr>
          <w:color w:val="4F81BD" w:themeColor="accent1"/>
          <w:sz w:val="20"/>
          <w:szCs w:val="20"/>
        </w:rPr>
        <w:t xml:space="preserve"> </w:t>
      </w:r>
      <w:r w:rsidRPr="000F55F5">
        <w:rPr>
          <w:color w:val="4F81BD" w:themeColor="accent1"/>
          <w:sz w:val="20"/>
          <w:szCs w:val="20"/>
        </w:rPr>
        <w:t xml:space="preserve">supplementary Fig. S4), as we have done before for </w:t>
      </w:r>
      <w:proofErr w:type="spellStart"/>
      <w:r w:rsidRPr="000F55F5">
        <w:rPr>
          <w:color w:val="4F81BD" w:themeColor="accent1"/>
          <w:sz w:val="20"/>
          <w:szCs w:val="20"/>
        </w:rPr>
        <w:t>envfit</w:t>
      </w:r>
      <w:proofErr w:type="spellEnd"/>
      <w:r w:rsidRPr="000F55F5">
        <w:rPr>
          <w:color w:val="4F81BD" w:themeColor="accent1"/>
          <w:sz w:val="20"/>
          <w:szCs w:val="20"/>
        </w:rPr>
        <w:t>. The new results of</w:t>
      </w:r>
      <w:r w:rsidRPr="000F55F5">
        <w:rPr>
          <w:color w:val="4F81BD" w:themeColor="accent1"/>
          <w:sz w:val="20"/>
          <w:szCs w:val="20"/>
        </w:rPr>
        <w:t xml:space="preserve"> </w:t>
      </w:r>
      <w:r w:rsidRPr="000F55F5">
        <w:rPr>
          <w:color w:val="4F81BD" w:themeColor="accent1"/>
          <w:sz w:val="20"/>
          <w:szCs w:val="20"/>
        </w:rPr>
        <w:t xml:space="preserve">comparison support our previous claim of the advantages of </w:t>
      </w:r>
      <w:proofErr w:type="spellStart"/>
      <w:r w:rsidRPr="000F55F5">
        <w:rPr>
          <w:color w:val="4F81BD" w:themeColor="accent1"/>
          <w:sz w:val="20"/>
          <w:szCs w:val="20"/>
        </w:rPr>
        <w:t>tmap</w:t>
      </w:r>
      <w:proofErr w:type="spellEnd"/>
      <w:r w:rsidRPr="000F55F5">
        <w:rPr>
          <w:color w:val="4F81BD" w:themeColor="accent1"/>
          <w:sz w:val="20"/>
          <w:szCs w:val="20"/>
        </w:rPr>
        <w:t xml:space="preserve"> over linear methods.</w:t>
      </w:r>
      <w:r w:rsidRPr="000F55F5">
        <w:rPr>
          <w:color w:val="4F81BD" w:themeColor="accent1"/>
          <w:sz w:val="20"/>
          <w:szCs w:val="20"/>
        </w:rPr>
        <w:t xml:space="preserve"> </w:t>
      </w:r>
      <w:r w:rsidRPr="000F55F5">
        <w:rPr>
          <w:color w:val="4F81BD" w:themeColor="accent1"/>
          <w:sz w:val="20"/>
          <w:szCs w:val="20"/>
        </w:rPr>
        <w:t>Accordingly, details on the simulation of categorical metadata for ANOSIM have been</w:t>
      </w:r>
      <w:r w:rsidRPr="000F55F5">
        <w:rPr>
          <w:color w:val="4F81BD" w:themeColor="accent1"/>
          <w:sz w:val="20"/>
          <w:szCs w:val="20"/>
        </w:rPr>
        <w:t xml:space="preserve"> </w:t>
      </w:r>
      <w:r w:rsidRPr="000F55F5">
        <w:rPr>
          <w:color w:val="4F81BD" w:themeColor="accent1"/>
          <w:sz w:val="20"/>
          <w:szCs w:val="20"/>
        </w:rPr>
        <w:t>added in the Methods (line 8-23, page 19).</w:t>
      </w:r>
    </w:p>
    <w:p w:rsidR="000F55F5" w:rsidRPr="000F55F5" w:rsidRDefault="000F55F5" w:rsidP="000F55F5">
      <w:pPr>
        <w:spacing w:after="0" w:line="240" w:lineRule="auto"/>
        <w:rPr>
          <w:sz w:val="20"/>
          <w:szCs w:val="20"/>
        </w:rPr>
      </w:pPr>
    </w:p>
    <w:p w:rsidR="000F55F5" w:rsidRDefault="000F55F5" w:rsidP="000F55F5">
      <w:pPr>
        <w:spacing w:after="0" w:line="240" w:lineRule="auto"/>
        <w:rPr>
          <w:sz w:val="20"/>
          <w:szCs w:val="20"/>
        </w:rPr>
      </w:pPr>
      <w:r w:rsidRPr="000F55F5">
        <w:rPr>
          <w:sz w:val="20"/>
          <w:szCs w:val="20"/>
        </w:rPr>
        <w:t>Fig.2a</w:t>
      </w:r>
      <w:proofErr w:type="gramStart"/>
      <w:r w:rsidRPr="000F55F5">
        <w:rPr>
          <w:sz w:val="20"/>
          <w:szCs w:val="20"/>
        </w:rPr>
        <w:t>,b,c</w:t>
      </w:r>
      <w:proofErr w:type="gramEnd"/>
      <w:r w:rsidRPr="000F55F5">
        <w:rPr>
          <w:sz w:val="20"/>
          <w:szCs w:val="20"/>
        </w:rPr>
        <w:t>. are they the same non-linear patterns? Especially Fig.2a and Fig.2b look</w:t>
      </w:r>
      <w:r>
        <w:rPr>
          <w:sz w:val="20"/>
          <w:szCs w:val="20"/>
        </w:rPr>
        <w:t xml:space="preserve"> </w:t>
      </w:r>
      <w:r w:rsidRPr="000F55F5">
        <w:rPr>
          <w:sz w:val="20"/>
          <w:szCs w:val="20"/>
        </w:rPr>
        <w:t>very similar. What is the purpose of putting three figures of one pattern here? Is it</w:t>
      </w:r>
      <w:r>
        <w:rPr>
          <w:sz w:val="20"/>
          <w:szCs w:val="20"/>
        </w:rPr>
        <w:t xml:space="preserve"> </w:t>
      </w:r>
      <w:r w:rsidRPr="000F55F5">
        <w:rPr>
          <w:sz w:val="20"/>
          <w:szCs w:val="20"/>
        </w:rPr>
        <w:t>possible to put different patterns here?</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color w:val="4F81BD" w:themeColor="accent1"/>
          <w:sz w:val="20"/>
          <w:szCs w:val="20"/>
        </w:rPr>
      </w:pPr>
      <w:r w:rsidRPr="000F55F5">
        <w:rPr>
          <w:color w:val="4F81BD" w:themeColor="accent1"/>
          <w:sz w:val="20"/>
          <w:szCs w:val="20"/>
        </w:rPr>
        <w:t>Response: Our previous idea was to demonstrate multiple local enrichments as</w:t>
      </w:r>
      <w:r w:rsidRPr="000F55F5">
        <w:rPr>
          <w:color w:val="4F81BD" w:themeColor="accent1"/>
          <w:sz w:val="20"/>
          <w:szCs w:val="20"/>
        </w:rPr>
        <w:t xml:space="preserve"> </w:t>
      </w:r>
      <w:r w:rsidRPr="000F55F5">
        <w:rPr>
          <w:color w:val="4F81BD" w:themeColor="accent1"/>
          <w:sz w:val="20"/>
          <w:szCs w:val="20"/>
        </w:rPr>
        <w:t xml:space="preserve">nonlinear microbiome associations in our simulation of </w:t>
      </w:r>
      <w:proofErr w:type="gramStart"/>
      <w:r w:rsidRPr="000F55F5">
        <w:rPr>
          <w:color w:val="4F81BD" w:themeColor="accent1"/>
          <w:sz w:val="20"/>
          <w:szCs w:val="20"/>
        </w:rPr>
        <w:t>metadata,</w:t>
      </w:r>
      <w:proofErr w:type="gramEnd"/>
      <w:r w:rsidRPr="000F55F5">
        <w:rPr>
          <w:color w:val="4F81BD" w:themeColor="accent1"/>
          <w:sz w:val="20"/>
          <w:szCs w:val="20"/>
        </w:rPr>
        <w:t xml:space="preserve"> and Fig 2a, b, c</w:t>
      </w:r>
      <w:r w:rsidRPr="000F55F5">
        <w:rPr>
          <w:color w:val="4F81BD" w:themeColor="accent1"/>
          <w:sz w:val="20"/>
          <w:szCs w:val="20"/>
        </w:rPr>
        <w:t xml:space="preserve"> </w:t>
      </w:r>
      <w:r w:rsidRPr="000F55F5">
        <w:rPr>
          <w:color w:val="4F81BD" w:themeColor="accent1"/>
          <w:sz w:val="20"/>
          <w:szCs w:val="20"/>
        </w:rPr>
        <w:t>correspond to three different nonlinear patterns in terms of multiple local enrichments.</w:t>
      </w:r>
      <w:r w:rsidRPr="000F55F5">
        <w:rPr>
          <w:color w:val="4F81BD" w:themeColor="accent1"/>
          <w:sz w:val="20"/>
          <w:szCs w:val="20"/>
        </w:rPr>
        <w:t xml:space="preserve"> </w:t>
      </w:r>
      <w:r w:rsidRPr="000F55F5">
        <w:rPr>
          <w:color w:val="4F81BD" w:themeColor="accent1"/>
          <w:sz w:val="20"/>
          <w:szCs w:val="20"/>
        </w:rPr>
        <w:t>Our purpose of including these nonlinear patterns in Fig. 2 was to present three</w:t>
      </w:r>
      <w:r w:rsidRPr="000F55F5">
        <w:rPr>
          <w:color w:val="4F81BD" w:themeColor="accent1"/>
          <w:sz w:val="20"/>
          <w:szCs w:val="20"/>
        </w:rPr>
        <w:t xml:space="preserve"> </w:t>
      </w:r>
      <w:r w:rsidRPr="000F55F5">
        <w:rPr>
          <w:color w:val="4F81BD" w:themeColor="accent1"/>
          <w:sz w:val="20"/>
          <w:szCs w:val="20"/>
        </w:rPr>
        <w:t xml:space="preserve">possible scenarios of associations for more thorough comparisons between </w:t>
      </w:r>
      <w:proofErr w:type="spellStart"/>
      <w:r w:rsidRPr="000F55F5">
        <w:rPr>
          <w:color w:val="4F81BD" w:themeColor="accent1"/>
          <w:sz w:val="20"/>
          <w:szCs w:val="20"/>
        </w:rPr>
        <w:t>tmap</w:t>
      </w:r>
      <w:proofErr w:type="spellEnd"/>
      <w:r w:rsidRPr="000F55F5">
        <w:rPr>
          <w:color w:val="4F81BD" w:themeColor="accent1"/>
          <w:sz w:val="20"/>
          <w:szCs w:val="20"/>
        </w:rPr>
        <w:t xml:space="preserve"> the</w:t>
      </w:r>
      <w:r w:rsidRPr="000F55F5">
        <w:rPr>
          <w:color w:val="4F81BD" w:themeColor="accent1"/>
          <w:sz w:val="20"/>
          <w:szCs w:val="20"/>
        </w:rPr>
        <w:t xml:space="preserve"> </w:t>
      </w:r>
      <w:r w:rsidRPr="000F55F5">
        <w:rPr>
          <w:color w:val="4F81BD" w:themeColor="accent1"/>
          <w:sz w:val="20"/>
          <w:szCs w:val="20"/>
        </w:rPr>
        <w:t>other linear methods: linear associations, nonlinear associations that cannot be</w:t>
      </w:r>
      <w:r w:rsidRPr="000F55F5">
        <w:rPr>
          <w:color w:val="4F81BD" w:themeColor="accent1"/>
          <w:sz w:val="20"/>
          <w:szCs w:val="20"/>
        </w:rPr>
        <w:t xml:space="preserve"> </w:t>
      </w:r>
      <w:r w:rsidRPr="000F55F5">
        <w:rPr>
          <w:color w:val="4F81BD" w:themeColor="accent1"/>
          <w:sz w:val="20"/>
          <w:szCs w:val="20"/>
        </w:rPr>
        <w:t>detected with linear methods (Fig. 2a,c), and nonlinear associations that also can be</w:t>
      </w:r>
      <w:r w:rsidRPr="000F55F5">
        <w:rPr>
          <w:color w:val="4F81BD" w:themeColor="accent1"/>
          <w:sz w:val="20"/>
          <w:szCs w:val="20"/>
        </w:rPr>
        <w:t xml:space="preserve"> </w:t>
      </w:r>
      <w:r w:rsidRPr="000F55F5">
        <w:rPr>
          <w:color w:val="4F81BD" w:themeColor="accent1"/>
          <w:sz w:val="20"/>
          <w:szCs w:val="20"/>
        </w:rPr>
        <w:t>detected with linear methods but weakly(Fig. 2b). Our revised manuscript now clearly</w:t>
      </w:r>
      <w:r w:rsidRPr="000F55F5">
        <w:rPr>
          <w:color w:val="4F81BD" w:themeColor="accent1"/>
          <w:sz w:val="20"/>
          <w:szCs w:val="20"/>
        </w:rPr>
        <w:t xml:space="preserve"> </w:t>
      </w:r>
      <w:r w:rsidRPr="000F55F5">
        <w:rPr>
          <w:color w:val="4F81BD" w:themeColor="accent1"/>
          <w:sz w:val="20"/>
          <w:szCs w:val="20"/>
        </w:rPr>
        <w:t>explains this purpose (line 26-29, page 5; line 1-4, page 6; revised Fig. 2)</w:t>
      </w:r>
      <w:r w:rsidRPr="000F55F5">
        <w:rPr>
          <w:color w:val="4F81BD" w:themeColor="accent1"/>
          <w:sz w:val="20"/>
          <w:szCs w:val="20"/>
        </w:rPr>
        <w:t xml:space="preserve"> </w:t>
      </w:r>
      <w:r w:rsidRPr="000F55F5">
        <w:rPr>
          <w:color w:val="4F81BD" w:themeColor="accent1"/>
          <w:sz w:val="20"/>
          <w:szCs w:val="20"/>
        </w:rPr>
        <w:t>According to the suggestion, we have also added a new supplementary figure S3 (new</w:t>
      </w:r>
      <w:r w:rsidRPr="000F55F5">
        <w:rPr>
          <w:color w:val="4F81BD" w:themeColor="accent1"/>
          <w:sz w:val="20"/>
          <w:szCs w:val="20"/>
        </w:rPr>
        <w:t xml:space="preserve"> </w:t>
      </w:r>
      <w:r w:rsidRPr="000F55F5">
        <w:rPr>
          <w:color w:val="4F81BD" w:themeColor="accent1"/>
          <w:sz w:val="20"/>
          <w:szCs w:val="20"/>
        </w:rPr>
        <w:t>supplementary Text S1) to demonstrate other nonlinear patterns, including a circular</w:t>
      </w:r>
      <w:r w:rsidRPr="000F55F5">
        <w:rPr>
          <w:color w:val="4F81BD" w:themeColor="accent1"/>
          <w:sz w:val="20"/>
          <w:szCs w:val="20"/>
        </w:rPr>
        <w:t xml:space="preserve"> </w:t>
      </w:r>
      <w:r w:rsidRPr="000F55F5">
        <w:rPr>
          <w:color w:val="4F81BD" w:themeColor="accent1"/>
          <w:sz w:val="20"/>
          <w:szCs w:val="20"/>
        </w:rPr>
        <w:t xml:space="preserve">pattern and a spiral pattern, along with the detection of these patterns by </w:t>
      </w:r>
      <w:proofErr w:type="spellStart"/>
      <w:r w:rsidRPr="000F55F5">
        <w:rPr>
          <w:color w:val="4F81BD" w:themeColor="accent1"/>
          <w:sz w:val="20"/>
          <w:szCs w:val="20"/>
        </w:rPr>
        <w:t>tmap</w:t>
      </w:r>
      <w:proofErr w:type="spellEnd"/>
      <w:r w:rsidRPr="000F55F5">
        <w:rPr>
          <w:color w:val="4F81BD" w:themeColor="accent1"/>
          <w:sz w:val="20"/>
          <w:szCs w:val="20"/>
        </w:rPr>
        <w:t xml:space="preserve"> and</w:t>
      </w:r>
      <w:r w:rsidRPr="000F55F5">
        <w:rPr>
          <w:color w:val="4F81BD" w:themeColor="accent1"/>
          <w:sz w:val="20"/>
          <w:szCs w:val="20"/>
        </w:rPr>
        <w:t xml:space="preserve"> </w:t>
      </w:r>
      <w:proofErr w:type="spellStart"/>
      <w:r w:rsidRPr="000F55F5">
        <w:rPr>
          <w:color w:val="4F81BD" w:themeColor="accent1"/>
          <w:sz w:val="20"/>
          <w:szCs w:val="20"/>
        </w:rPr>
        <w:t>envfit</w:t>
      </w:r>
      <w:proofErr w:type="spellEnd"/>
      <w:r w:rsidRPr="000F55F5">
        <w:rPr>
          <w:color w:val="4F81BD" w:themeColor="accent1"/>
          <w:sz w:val="20"/>
          <w:szCs w:val="20"/>
        </w:rPr>
        <w:t>.</w:t>
      </w:r>
    </w:p>
    <w:p w:rsidR="000F55F5" w:rsidRPr="000F55F5" w:rsidRDefault="000F55F5" w:rsidP="000F55F5">
      <w:pPr>
        <w:spacing w:after="0" w:line="240" w:lineRule="auto"/>
        <w:rPr>
          <w:sz w:val="20"/>
          <w:szCs w:val="20"/>
        </w:rPr>
      </w:pPr>
    </w:p>
    <w:p w:rsidR="000F55F5" w:rsidRDefault="000F55F5" w:rsidP="000F55F5">
      <w:pPr>
        <w:spacing w:after="0" w:line="240" w:lineRule="auto"/>
        <w:rPr>
          <w:sz w:val="20"/>
          <w:szCs w:val="20"/>
        </w:rPr>
      </w:pPr>
      <w:r w:rsidRPr="000F55F5">
        <w:rPr>
          <w:sz w:val="20"/>
          <w:szCs w:val="20"/>
        </w:rPr>
        <w:t>"However, there were differences in the ranking of several host covariates, including</w:t>
      </w:r>
      <w:r>
        <w:rPr>
          <w:sz w:val="20"/>
          <w:szCs w:val="20"/>
        </w:rPr>
        <w:t xml:space="preserve"> </w:t>
      </w:r>
      <w:r w:rsidRPr="000F55F5">
        <w:rPr>
          <w:sz w:val="20"/>
          <w:szCs w:val="20"/>
        </w:rPr>
        <w:t xml:space="preserve">time since previous relief, mean corpuscular </w:t>
      </w:r>
      <w:proofErr w:type="spellStart"/>
      <w:r w:rsidRPr="000F55F5">
        <w:rPr>
          <w:sz w:val="20"/>
          <w:szCs w:val="20"/>
        </w:rPr>
        <w:t>hemoglobin</w:t>
      </w:r>
      <w:proofErr w:type="spellEnd"/>
      <w:r w:rsidRPr="000F55F5">
        <w:rPr>
          <w:sz w:val="20"/>
          <w:szCs w:val="20"/>
        </w:rPr>
        <w:t xml:space="preserve"> (MCH) and shift work (Fig.</w:t>
      </w:r>
      <w:r>
        <w:rPr>
          <w:sz w:val="20"/>
          <w:szCs w:val="20"/>
        </w:rPr>
        <w:t xml:space="preserve"> </w:t>
      </w:r>
      <w:r w:rsidRPr="000F55F5">
        <w:rPr>
          <w:sz w:val="20"/>
          <w:szCs w:val="20"/>
        </w:rPr>
        <w:t>3a). We speculate that the difference might be due to nonlinear association patterns</w:t>
      </w:r>
      <w:r>
        <w:rPr>
          <w:sz w:val="20"/>
          <w:szCs w:val="20"/>
        </w:rPr>
        <w:t xml:space="preserve"> </w:t>
      </w:r>
      <w:r w:rsidRPr="000F55F5">
        <w:rPr>
          <w:sz w:val="20"/>
          <w:szCs w:val="20"/>
        </w:rPr>
        <w:t xml:space="preserve">that are captured by </w:t>
      </w:r>
      <w:proofErr w:type="spellStart"/>
      <w:r w:rsidRPr="000F55F5">
        <w:rPr>
          <w:sz w:val="20"/>
          <w:szCs w:val="20"/>
        </w:rPr>
        <w:t>tmap</w:t>
      </w:r>
      <w:proofErr w:type="spellEnd"/>
      <w:r w:rsidRPr="000F55F5">
        <w:rPr>
          <w:sz w:val="20"/>
          <w:szCs w:val="20"/>
        </w:rPr>
        <w:t xml:space="preserve"> but not by </w:t>
      </w:r>
      <w:proofErr w:type="spellStart"/>
      <w:r w:rsidRPr="000F55F5">
        <w:rPr>
          <w:sz w:val="20"/>
          <w:szCs w:val="20"/>
        </w:rPr>
        <w:t>envfit</w:t>
      </w:r>
      <w:proofErr w:type="spellEnd"/>
      <w:r w:rsidRPr="000F55F5">
        <w:rPr>
          <w:sz w:val="20"/>
          <w:szCs w:val="20"/>
        </w:rPr>
        <w:t>.</w:t>
      </w:r>
      <w:proofErr w:type="gramStart"/>
      <w:r w:rsidRPr="000F55F5">
        <w:rPr>
          <w:sz w:val="20"/>
          <w:szCs w:val="20"/>
        </w:rPr>
        <w:t>".</w:t>
      </w:r>
      <w:proofErr w:type="gramEnd"/>
      <w:r w:rsidRPr="000F55F5">
        <w:rPr>
          <w:sz w:val="20"/>
          <w:szCs w:val="20"/>
        </w:rPr>
        <w:t xml:space="preserve"> This speculation will be supported if</w:t>
      </w:r>
      <w:r>
        <w:rPr>
          <w:sz w:val="20"/>
          <w:szCs w:val="20"/>
        </w:rPr>
        <w:t xml:space="preserve"> </w:t>
      </w:r>
      <w:r w:rsidRPr="000F55F5">
        <w:rPr>
          <w:sz w:val="20"/>
          <w:szCs w:val="20"/>
        </w:rPr>
        <w:t xml:space="preserve">several (rather than only one) linear methods output the same rankings while </w:t>
      </w:r>
      <w:proofErr w:type="spellStart"/>
      <w:r w:rsidRPr="000F55F5">
        <w:rPr>
          <w:sz w:val="20"/>
          <w:szCs w:val="20"/>
        </w:rPr>
        <w:t>tmap</w:t>
      </w:r>
      <w:proofErr w:type="spellEnd"/>
      <w:r>
        <w:rPr>
          <w:sz w:val="20"/>
          <w:szCs w:val="20"/>
        </w:rPr>
        <w:t xml:space="preserve"> </w:t>
      </w:r>
      <w:r w:rsidRPr="000F55F5">
        <w:rPr>
          <w:sz w:val="20"/>
          <w:szCs w:val="20"/>
        </w:rPr>
        <w:t>gives different rankings.</w:t>
      </w:r>
    </w:p>
    <w:p w:rsidR="000F55F5" w:rsidRPr="000F55F5" w:rsidRDefault="000F55F5" w:rsidP="000F55F5">
      <w:pPr>
        <w:spacing w:after="0" w:line="240" w:lineRule="auto"/>
        <w:rPr>
          <w:sz w:val="20"/>
          <w:szCs w:val="20"/>
        </w:rPr>
      </w:pPr>
    </w:p>
    <w:p w:rsidR="000F55F5" w:rsidRPr="000F55F5" w:rsidRDefault="000F55F5" w:rsidP="000F55F5">
      <w:pPr>
        <w:spacing w:after="0" w:line="240" w:lineRule="auto"/>
        <w:rPr>
          <w:color w:val="4F81BD" w:themeColor="accent1"/>
          <w:sz w:val="20"/>
          <w:szCs w:val="20"/>
        </w:rPr>
      </w:pPr>
      <w:r w:rsidRPr="000F55F5">
        <w:rPr>
          <w:color w:val="4F81BD" w:themeColor="accent1"/>
          <w:sz w:val="20"/>
          <w:szCs w:val="20"/>
        </w:rPr>
        <w:t>Response: We have added two more methods (ADONIS and ANOSIM) in the analysis</w:t>
      </w:r>
      <w:r w:rsidRPr="000F55F5">
        <w:rPr>
          <w:color w:val="4F81BD" w:themeColor="accent1"/>
          <w:sz w:val="20"/>
          <w:szCs w:val="20"/>
        </w:rPr>
        <w:t xml:space="preserve"> </w:t>
      </w:r>
      <w:r w:rsidRPr="000F55F5">
        <w:rPr>
          <w:color w:val="4F81BD" w:themeColor="accent1"/>
          <w:sz w:val="20"/>
          <w:szCs w:val="20"/>
        </w:rPr>
        <w:t>of host covariates. The results support the differences identified in our previous</w:t>
      </w:r>
      <w:r w:rsidRPr="000F55F5">
        <w:rPr>
          <w:color w:val="4F81BD" w:themeColor="accent1"/>
          <w:sz w:val="20"/>
          <w:szCs w:val="20"/>
        </w:rPr>
        <w:t xml:space="preserve"> </w:t>
      </w:r>
      <w:r w:rsidRPr="000F55F5">
        <w:rPr>
          <w:color w:val="4F81BD" w:themeColor="accent1"/>
          <w:sz w:val="20"/>
          <w:szCs w:val="20"/>
        </w:rPr>
        <w:t xml:space="preserve">analysis. That is, the effect size of mean corpuscular </w:t>
      </w:r>
      <w:proofErr w:type="spellStart"/>
      <w:r w:rsidRPr="000F55F5">
        <w:rPr>
          <w:color w:val="4F81BD" w:themeColor="accent1"/>
          <w:sz w:val="20"/>
          <w:szCs w:val="20"/>
        </w:rPr>
        <w:t>hemoglobin</w:t>
      </w:r>
      <w:proofErr w:type="spellEnd"/>
      <w:r w:rsidRPr="000F55F5">
        <w:rPr>
          <w:color w:val="4F81BD" w:themeColor="accent1"/>
          <w:sz w:val="20"/>
          <w:szCs w:val="20"/>
        </w:rPr>
        <w:t xml:space="preserve"> (MCH) and shift work</w:t>
      </w:r>
      <w:r w:rsidRPr="000F55F5">
        <w:rPr>
          <w:color w:val="4F81BD" w:themeColor="accent1"/>
          <w:sz w:val="20"/>
          <w:szCs w:val="20"/>
        </w:rPr>
        <w:t xml:space="preserve"> </w:t>
      </w:r>
      <w:r w:rsidRPr="000F55F5">
        <w:rPr>
          <w:color w:val="4F81BD" w:themeColor="accent1"/>
          <w:sz w:val="20"/>
          <w:szCs w:val="20"/>
        </w:rPr>
        <w:t xml:space="preserve">are consistently smaller in all the three linear methods, but larger in </w:t>
      </w:r>
      <w:proofErr w:type="spellStart"/>
      <w:r w:rsidRPr="000F55F5">
        <w:rPr>
          <w:color w:val="4F81BD" w:themeColor="accent1"/>
          <w:sz w:val="20"/>
          <w:szCs w:val="20"/>
        </w:rPr>
        <w:t>tmap</w:t>
      </w:r>
      <w:proofErr w:type="spellEnd"/>
      <w:r w:rsidRPr="000F55F5">
        <w:rPr>
          <w:color w:val="4F81BD" w:themeColor="accent1"/>
          <w:sz w:val="20"/>
          <w:szCs w:val="20"/>
        </w:rPr>
        <w:t>. On the other</w:t>
      </w:r>
      <w:r w:rsidRPr="000F55F5">
        <w:rPr>
          <w:color w:val="4F81BD" w:themeColor="accent1"/>
          <w:sz w:val="20"/>
          <w:szCs w:val="20"/>
        </w:rPr>
        <w:t xml:space="preserve"> </w:t>
      </w:r>
      <w:r w:rsidRPr="000F55F5">
        <w:rPr>
          <w:color w:val="4F81BD" w:themeColor="accent1"/>
          <w:sz w:val="20"/>
          <w:szCs w:val="20"/>
        </w:rPr>
        <w:t>hand, the effect size of time since previous relief is also larger in ADONIS, consistent</w:t>
      </w:r>
      <w:r w:rsidRPr="000F55F5">
        <w:rPr>
          <w:color w:val="4F81BD" w:themeColor="accent1"/>
          <w:sz w:val="20"/>
          <w:szCs w:val="20"/>
        </w:rPr>
        <w:t xml:space="preserve"> </w:t>
      </w:r>
      <w:r w:rsidRPr="000F55F5">
        <w:rPr>
          <w:color w:val="4F81BD" w:themeColor="accent1"/>
          <w:sz w:val="20"/>
          <w:szCs w:val="20"/>
        </w:rPr>
        <w:t xml:space="preserve">with our previous comparison between </w:t>
      </w:r>
      <w:proofErr w:type="spellStart"/>
      <w:r w:rsidRPr="000F55F5">
        <w:rPr>
          <w:color w:val="4F81BD" w:themeColor="accent1"/>
          <w:sz w:val="20"/>
          <w:szCs w:val="20"/>
        </w:rPr>
        <w:t>envfit</w:t>
      </w:r>
      <w:proofErr w:type="spellEnd"/>
      <w:r w:rsidRPr="000F55F5">
        <w:rPr>
          <w:color w:val="4F81BD" w:themeColor="accent1"/>
          <w:sz w:val="20"/>
          <w:szCs w:val="20"/>
        </w:rPr>
        <w:t xml:space="preserve"> and </w:t>
      </w:r>
      <w:proofErr w:type="spellStart"/>
      <w:r w:rsidRPr="000F55F5">
        <w:rPr>
          <w:color w:val="4F81BD" w:themeColor="accent1"/>
          <w:sz w:val="20"/>
          <w:szCs w:val="20"/>
        </w:rPr>
        <w:t>tmap</w:t>
      </w:r>
      <w:proofErr w:type="spellEnd"/>
      <w:r w:rsidRPr="000F55F5">
        <w:rPr>
          <w:color w:val="4F81BD" w:themeColor="accent1"/>
          <w:sz w:val="20"/>
          <w:szCs w:val="20"/>
        </w:rPr>
        <w:t>. Although smaller effect size of</w:t>
      </w:r>
      <w:r w:rsidRPr="000F55F5">
        <w:rPr>
          <w:color w:val="4F81BD" w:themeColor="accent1"/>
          <w:sz w:val="20"/>
          <w:szCs w:val="20"/>
        </w:rPr>
        <w:t xml:space="preserve"> </w:t>
      </w:r>
      <w:r w:rsidRPr="000F55F5">
        <w:rPr>
          <w:color w:val="4F81BD" w:themeColor="accent1"/>
          <w:sz w:val="20"/>
          <w:szCs w:val="20"/>
        </w:rPr>
        <w:t>time since previous relief was observed with ANOSIM, it is statistically non-significant.</w:t>
      </w:r>
      <w:r w:rsidRPr="000F55F5">
        <w:rPr>
          <w:color w:val="4F81BD" w:themeColor="accent1"/>
          <w:sz w:val="20"/>
          <w:szCs w:val="20"/>
        </w:rPr>
        <w:t xml:space="preserve"> </w:t>
      </w:r>
      <w:r w:rsidRPr="000F55F5">
        <w:rPr>
          <w:color w:val="4F81BD" w:themeColor="accent1"/>
          <w:sz w:val="20"/>
          <w:szCs w:val="20"/>
        </w:rPr>
        <w:t>We have already included these results in our revision (line 6-12, page 7, new</w:t>
      </w:r>
      <w:r w:rsidRPr="000F55F5">
        <w:rPr>
          <w:color w:val="4F81BD" w:themeColor="accent1"/>
          <w:sz w:val="20"/>
          <w:szCs w:val="20"/>
        </w:rPr>
        <w:t xml:space="preserve"> </w:t>
      </w:r>
      <w:r w:rsidRPr="000F55F5">
        <w:rPr>
          <w:color w:val="4F81BD" w:themeColor="accent1"/>
          <w:sz w:val="20"/>
          <w:szCs w:val="20"/>
        </w:rPr>
        <w:t>supplementary Fig. S4).</w:t>
      </w:r>
    </w:p>
    <w:p w:rsidR="000F55F5" w:rsidRPr="000F55F5" w:rsidRDefault="000F55F5" w:rsidP="000F55F5">
      <w:pPr>
        <w:spacing w:after="0" w:line="240" w:lineRule="auto"/>
        <w:rPr>
          <w:sz w:val="20"/>
          <w:szCs w:val="20"/>
        </w:rPr>
      </w:pPr>
    </w:p>
    <w:p w:rsidR="000F55F5" w:rsidRDefault="000F55F5" w:rsidP="000F55F5">
      <w:pPr>
        <w:spacing w:after="0" w:line="240" w:lineRule="auto"/>
        <w:rPr>
          <w:sz w:val="20"/>
          <w:szCs w:val="20"/>
        </w:rPr>
      </w:pPr>
      <w:r w:rsidRPr="000F55F5">
        <w:rPr>
          <w:sz w:val="20"/>
          <w:szCs w:val="20"/>
        </w:rPr>
        <w:t>Fig.2d is not referenced in the manuscript.</w:t>
      </w:r>
    </w:p>
    <w:p w:rsidR="000F55F5" w:rsidRDefault="000F55F5" w:rsidP="000F55F5">
      <w:pPr>
        <w:spacing w:after="0" w:line="240" w:lineRule="auto"/>
        <w:rPr>
          <w:sz w:val="20"/>
          <w:szCs w:val="20"/>
        </w:rPr>
      </w:pPr>
    </w:p>
    <w:p w:rsidR="000F55F5" w:rsidRDefault="000F55F5" w:rsidP="000F55F5">
      <w:pPr>
        <w:spacing w:after="0" w:line="240" w:lineRule="auto"/>
        <w:rPr>
          <w:color w:val="4F81BD" w:themeColor="accent1"/>
          <w:sz w:val="20"/>
          <w:szCs w:val="20"/>
        </w:rPr>
      </w:pPr>
      <w:r w:rsidRPr="000F55F5">
        <w:rPr>
          <w:color w:val="4F81BD" w:themeColor="accent1"/>
          <w:sz w:val="20"/>
          <w:szCs w:val="20"/>
        </w:rPr>
        <w:t>Response: We have revised the manuscript, and reference to Fig.2d has been</w:t>
      </w:r>
      <w:r w:rsidRPr="000F55F5">
        <w:rPr>
          <w:color w:val="4F81BD" w:themeColor="accent1"/>
          <w:sz w:val="20"/>
          <w:szCs w:val="20"/>
        </w:rPr>
        <w:t xml:space="preserve"> </w:t>
      </w:r>
      <w:r w:rsidRPr="000F55F5">
        <w:rPr>
          <w:color w:val="4F81BD" w:themeColor="accent1"/>
          <w:sz w:val="20"/>
          <w:szCs w:val="20"/>
        </w:rPr>
        <w:t>indicated in the text (line 24, page 5).</w:t>
      </w:r>
    </w:p>
    <w:p w:rsidR="000F55F5" w:rsidRDefault="000F55F5" w:rsidP="000F55F5">
      <w:pPr>
        <w:spacing w:after="0" w:line="240" w:lineRule="auto"/>
        <w:rPr>
          <w:color w:val="4F81BD" w:themeColor="accent1"/>
          <w:sz w:val="20"/>
          <w:szCs w:val="20"/>
        </w:rPr>
      </w:pPr>
    </w:p>
    <w:p w:rsidR="000F55F5" w:rsidRPr="000F55F5" w:rsidRDefault="000F55F5" w:rsidP="000F55F5">
      <w:pPr>
        <w:spacing w:after="0" w:line="240" w:lineRule="auto"/>
        <w:rPr>
          <w:b/>
        </w:rPr>
      </w:pPr>
      <w:r>
        <w:rPr>
          <w:b/>
        </w:rPr>
        <w:t>Reviewer #2</w:t>
      </w:r>
    </w:p>
    <w:p w:rsidR="000F55F5" w:rsidRDefault="000F55F5" w:rsidP="000F55F5">
      <w:pPr>
        <w:spacing w:after="0" w:line="240" w:lineRule="auto"/>
        <w:rPr>
          <w:sz w:val="20"/>
          <w:szCs w:val="20"/>
        </w:rPr>
      </w:pPr>
      <w:r w:rsidRPr="000F55F5">
        <w:rPr>
          <w:sz w:val="20"/>
          <w:szCs w:val="20"/>
        </w:rPr>
        <w:t>However, it is not easy to understand each step of the algorithms and the underlying</w:t>
      </w:r>
      <w:r>
        <w:rPr>
          <w:sz w:val="20"/>
          <w:szCs w:val="20"/>
        </w:rPr>
        <w:t xml:space="preserve"> </w:t>
      </w:r>
      <w:r w:rsidRPr="000F55F5">
        <w:rPr>
          <w:sz w:val="20"/>
          <w:szCs w:val="20"/>
        </w:rPr>
        <w:t>rational. The fig 1, overview of the workflow does not provide sufficient information</w:t>
      </w:r>
      <w:r>
        <w:rPr>
          <w:sz w:val="20"/>
          <w:szCs w:val="20"/>
        </w:rPr>
        <w:t xml:space="preserve"> </w:t>
      </w:r>
      <w:r w:rsidRPr="000F55F5">
        <w:rPr>
          <w:sz w:val="20"/>
          <w:szCs w:val="20"/>
        </w:rPr>
        <w:t>about underlying steps. A detailed algorithm workflow would be definitely needed to aid</w:t>
      </w:r>
      <w:r>
        <w:rPr>
          <w:sz w:val="20"/>
          <w:szCs w:val="20"/>
        </w:rPr>
        <w:t xml:space="preserve"> </w:t>
      </w:r>
      <w:r w:rsidRPr="000F55F5">
        <w:rPr>
          <w:sz w:val="20"/>
          <w:szCs w:val="20"/>
        </w:rPr>
        <w:t>understanding.</w:t>
      </w:r>
    </w:p>
    <w:p w:rsidR="000F55F5" w:rsidRPr="000F55F5" w:rsidRDefault="000F55F5" w:rsidP="000F55F5">
      <w:pPr>
        <w:spacing w:after="0" w:line="240" w:lineRule="auto"/>
        <w:rPr>
          <w:sz w:val="20"/>
          <w:szCs w:val="20"/>
        </w:rPr>
      </w:pPr>
    </w:p>
    <w:p w:rsidR="000F55F5" w:rsidRDefault="000F55F5" w:rsidP="000F55F5">
      <w:pPr>
        <w:spacing w:after="0" w:line="240" w:lineRule="auto"/>
        <w:rPr>
          <w:color w:val="4F81BD" w:themeColor="accent1"/>
          <w:sz w:val="20"/>
          <w:szCs w:val="20"/>
        </w:rPr>
      </w:pPr>
      <w:r w:rsidRPr="000F55F5">
        <w:rPr>
          <w:color w:val="4F81BD" w:themeColor="accent1"/>
          <w:sz w:val="20"/>
          <w:szCs w:val="20"/>
        </w:rPr>
        <w:t>Response: Thank you very much for the comments. We have revised Fig. 1 and added</w:t>
      </w:r>
      <w:r>
        <w:rPr>
          <w:color w:val="4F81BD" w:themeColor="accent1"/>
          <w:sz w:val="20"/>
          <w:szCs w:val="20"/>
        </w:rPr>
        <w:t xml:space="preserve"> </w:t>
      </w:r>
      <w:r w:rsidRPr="000F55F5">
        <w:rPr>
          <w:color w:val="4F81BD" w:themeColor="accent1"/>
          <w:sz w:val="20"/>
          <w:szCs w:val="20"/>
        </w:rPr>
        <w:t xml:space="preserve">a new figure (Fig. 7) to make both the overall workflow and algorithmic details of </w:t>
      </w:r>
      <w:proofErr w:type="spellStart"/>
      <w:r w:rsidRPr="000F55F5">
        <w:rPr>
          <w:color w:val="4F81BD" w:themeColor="accent1"/>
          <w:sz w:val="20"/>
          <w:szCs w:val="20"/>
        </w:rPr>
        <w:t>tmap</w:t>
      </w:r>
      <w:proofErr w:type="spellEnd"/>
      <w:r>
        <w:rPr>
          <w:color w:val="4F81BD" w:themeColor="accent1"/>
          <w:sz w:val="20"/>
          <w:szCs w:val="20"/>
        </w:rPr>
        <w:t xml:space="preserve"> </w:t>
      </w:r>
      <w:r w:rsidRPr="000F55F5">
        <w:rPr>
          <w:color w:val="4F81BD" w:themeColor="accent1"/>
          <w:sz w:val="20"/>
          <w:szCs w:val="20"/>
        </w:rPr>
        <w:t>clearer and more intuitive for better understanding of our method. First, we have</w:t>
      </w:r>
      <w:r>
        <w:rPr>
          <w:color w:val="4F81BD" w:themeColor="accent1"/>
          <w:sz w:val="20"/>
          <w:szCs w:val="20"/>
        </w:rPr>
        <w:t xml:space="preserve"> </w:t>
      </w:r>
      <w:r w:rsidRPr="000F55F5">
        <w:rPr>
          <w:color w:val="4F81BD" w:themeColor="accent1"/>
          <w:sz w:val="20"/>
          <w:szCs w:val="20"/>
        </w:rPr>
        <w:t xml:space="preserve">revised Fig. 1 to focus on the overview of the pipeline of </w:t>
      </w:r>
      <w:proofErr w:type="spellStart"/>
      <w:r w:rsidRPr="000F55F5">
        <w:rPr>
          <w:color w:val="4F81BD" w:themeColor="accent1"/>
          <w:sz w:val="20"/>
          <w:szCs w:val="20"/>
        </w:rPr>
        <w:t>tmap</w:t>
      </w:r>
      <w:proofErr w:type="spellEnd"/>
      <w:r w:rsidRPr="000F55F5">
        <w:rPr>
          <w:color w:val="4F81BD" w:themeColor="accent1"/>
          <w:sz w:val="20"/>
          <w:szCs w:val="20"/>
        </w:rPr>
        <w:t>, illustrating major steps</w:t>
      </w:r>
      <w:r>
        <w:rPr>
          <w:color w:val="4F81BD" w:themeColor="accent1"/>
          <w:sz w:val="20"/>
          <w:szCs w:val="20"/>
        </w:rPr>
        <w:t xml:space="preserve"> </w:t>
      </w:r>
      <w:r w:rsidRPr="000F55F5">
        <w:rPr>
          <w:color w:val="4F81BD" w:themeColor="accent1"/>
          <w:sz w:val="20"/>
          <w:szCs w:val="20"/>
        </w:rPr>
        <w:t>of data processing and the results of microbiome data analysis. This will enable a</w:t>
      </w:r>
      <w:r>
        <w:rPr>
          <w:color w:val="4F81BD" w:themeColor="accent1"/>
          <w:sz w:val="20"/>
          <w:szCs w:val="20"/>
        </w:rPr>
        <w:t xml:space="preserve"> </w:t>
      </w:r>
      <w:r w:rsidRPr="000F55F5">
        <w:rPr>
          <w:color w:val="4F81BD" w:themeColor="accent1"/>
          <w:sz w:val="20"/>
          <w:szCs w:val="20"/>
        </w:rPr>
        <w:t xml:space="preserve">streamlined and high-level understanding of using </w:t>
      </w:r>
      <w:proofErr w:type="spellStart"/>
      <w:r w:rsidRPr="000F55F5">
        <w:rPr>
          <w:color w:val="4F81BD" w:themeColor="accent1"/>
          <w:sz w:val="20"/>
          <w:szCs w:val="20"/>
        </w:rPr>
        <w:t>tmap</w:t>
      </w:r>
      <w:proofErr w:type="spellEnd"/>
      <w:r w:rsidRPr="000F55F5">
        <w:rPr>
          <w:color w:val="4F81BD" w:themeColor="accent1"/>
          <w:sz w:val="20"/>
          <w:szCs w:val="20"/>
        </w:rPr>
        <w:t xml:space="preserve"> to </w:t>
      </w:r>
      <w:proofErr w:type="spellStart"/>
      <w:r w:rsidRPr="000F55F5">
        <w:rPr>
          <w:color w:val="4F81BD" w:themeColor="accent1"/>
          <w:sz w:val="20"/>
          <w:szCs w:val="20"/>
        </w:rPr>
        <w:t>analyze</w:t>
      </w:r>
      <w:proofErr w:type="spellEnd"/>
      <w:r w:rsidRPr="000F55F5">
        <w:rPr>
          <w:color w:val="4F81BD" w:themeColor="accent1"/>
          <w:sz w:val="20"/>
          <w:szCs w:val="20"/>
        </w:rPr>
        <w:t xml:space="preserve"> high dimensional</w:t>
      </w:r>
      <w:r>
        <w:rPr>
          <w:color w:val="4F81BD" w:themeColor="accent1"/>
          <w:sz w:val="20"/>
          <w:szCs w:val="20"/>
        </w:rPr>
        <w:t xml:space="preserve"> </w:t>
      </w:r>
      <w:r w:rsidRPr="000F55F5">
        <w:rPr>
          <w:color w:val="4F81BD" w:themeColor="accent1"/>
          <w:sz w:val="20"/>
          <w:szCs w:val="20"/>
        </w:rPr>
        <w:t>microbiome data and metadata into obtain biological insights, such as host covariate</w:t>
      </w:r>
      <w:r>
        <w:rPr>
          <w:color w:val="4F81BD" w:themeColor="accent1"/>
          <w:sz w:val="20"/>
          <w:szCs w:val="20"/>
        </w:rPr>
        <w:t xml:space="preserve"> </w:t>
      </w:r>
      <w:r w:rsidRPr="000F55F5">
        <w:rPr>
          <w:color w:val="4F81BD" w:themeColor="accent1"/>
          <w:sz w:val="20"/>
          <w:szCs w:val="20"/>
        </w:rPr>
        <w:t>ranking and co-enrichment between covariates and taxa. Second, we have made a</w:t>
      </w:r>
      <w:r>
        <w:rPr>
          <w:color w:val="4F81BD" w:themeColor="accent1"/>
          <w:sz w:val="20"/>
          <w:szCs w:val="20"/>
        </w:rPr>
        <w:t xml:space="preserve"> </w:t>
      </w:r>
      <w:r w:rsidRPr="000F55F5">
        <w:rPr>
          <w:color w:val="4F81BD" w:themeColor="accent1"/>
          <w:sz w:val="20"/>
          <w:szCs w:val="20"/>
        </w:rPr>
        <w:t xml:space="preserve">new figure (Fig. 7) for the key algorithms used within </w:t>
      </w:r>
      <w:proofErr w:type="spellStart"/>
      <w:r w:rsidRPr="000F55F5">
        <w:rPr>
          <w:color w:val="4F81BD" w:themeColor="accent1"/>
          <w:sz w:val="20"/>
          <w:szCs w:val="20"/>
        </w:rPr>
        <w:t>tmap</w:t>
      </w:r>
      <w:proofErr w:type="spellEnd"/>
      <w:r w:rsidRPr="000F55F5">
        <w:rPr>
          <w:color w:val="4F81BD" w:themeColor="accent1"/>
          <w:sz w:val="20"/>
          <w:szCs w:val="20"/>
        </w:rPr>
        <w:t>. These two sub-figures now</w:t>
      </w:r>
      <w:r>
        <w:rPr>
          <w:color w:val="4F81BD" w:themeColor="accent1"/>
          <w:sz w:val="20"/>
          <w:szCs w:val="20"/>
        </w:rPr>
        <w:t xml:space="preserve"> </w:t>
      </w:r>
      <w:r w:rsidRPr="000F55F5">
        <w:rPr>
          <w:color w:val="4F81BD" w:themeColor="accent1"/>
          <w:sz w:val="20"/>
          <w:szCs w:val="20"/>
        </w:rPr>
        <w:t>provide sufficient information about the algorithmic steps and their underlying rationale.</w:t>
      </w:r>
      <w:r>
        <w:rPr>
          <w:color w:val="4F81BD" w:themeColor="accent1"/>
          <w:sz w:val="20"/>
          <w:szCs w:val="20"/>
        </w:rPr>
        <w:t xml:space="preserve"> </w:t>
      </w:r>
      <w:r w:rsidRPr="000F55F5">
        <w:rPr>
          <w:color w:val="4F81BD" w:themeColor="accent1"/>
          <w:sz w:val="20"/>
          <w:szCs w:val="20"/>
        </w:rPr>
        <w:t>In the schematic diagram of the Mapper algorithm (Fig. 7a), we have demonstrated</w:t>
      </w:r>
      <w:r>
        <w:rPr>
          <w:color w:val="4F81BD" w:themeColor="accent1"/>
          <w:sz w:val="20"/>
          <w:szCs w:val="20"/>
        </w:rPr>
        <w:t xml:space="preserve"> </w:t>
      </w:r>
      <w:r w:rsidRPr="000F55F5">
        <w:rPr>
          <w:color w:val="4F81BD" w:themeColor="accent1"/>
          <w:sz w:val="20"/>
          <w:szCs w:val="20"/>
        </w:rPr>
        <w:t>carefully how the steps of filter, covering and clustering work together to transform a</w:t>
      </w:r>
      <w:r>
        <w:rPr>
          <w:color w:val="4F81BD" w:themeColor="accent1"/>
          <w:sz w:val="20"/>
          <w:szCs w:val="20"/>
        </w:rPr>
        <w:t xml:space="preserve"> </w:t>
      </w:r>
      <w:r w:rsidRPr="000F55F5">
        <w:rPr>
          <w:color w:val="4F81BD" w:themeColor="accent1"/>
          <w:sz w:val="20"/>
          <w:szCs w:val="20"/>
        </w:rPr>
        <w:t>high dimensional dataset into an abstract network representation. And for the SAFE</w:t>
      </w:r>
      <w:r>
        <w:rPr>
          <w:color w:val="4F81BD" w:themeColor="accent1"/>
          <w:sz w:val="20"/>
          <w:szCs w:val="20"/>
        </w:rPr>
        <w:t xml:space="preserve"> </w:t>
      </w:r>
      <w:r w:rsidRPr="000F55F5">
        <w:rPr>
          <w:color w:val="4F81BD" w:themeColor="accent1"/>
          <w:sz w:val="20"/>
          <w:szCs w:val="20"/>
        </w:rPr>
        <w:t>algorithm (Fig. 7b), we have illustrated the concept of subnetwork enrichment together</w:t>
      </w:r>
      <w:r>
        <w:rPr>
          <w:color w:val="4F81BD" w:themeColor="accent1"/>
          <w:sz w:val="20"/>
          <w:szCs w:val="20"/>
        </w:rPr>
        <w:t xml:space="preserve"> </w:t>
      </w:r>
      <w:r w:rsidRPr="000F55F5">
        <w:rPr>
          <w:color w:val="4F81BD" w:themeColor="accent1"/>
          <w:sz w:val="20"/>
          <w:szCs w:val="20"/>
        </w:rPr>
        <w:t>with the calculation of their enrichment scores. This will allow the reader to understand</w:t>
      </w:r>
      <w:r>
        <w:rPr>
          <w:color w:val="4F81BD" w:themeColor="accent1"/>
          <w:sz w:val="20"/>
          <w:szCs w:val="20"/>
        </w:rPr>
        <w:t xml:space="preserve"> </w:t>
      </w:r>
      <w:r w:rsidRPr="000F55F5">
        <w:rPr>
          <w:color w:val="4F81BD" w:themeColor="accent1"/>
          <w:sz w:val="20"/>
          <w:szCs w:val="20"/>
        </w:rPr>
        <w:lastRenderedPageBreak/>
        <w:t>how metadata or microbiome features can be mapped to TDA network for enrichment</w:t>
      </w:r>
      <w:r>
        <w:rPr>
          <w:color w:val="4F81BD" w:themeColor="accent1"/>
          <w:sz w:val="20"/>
          <w:szCs w:val="20"/>
        </w:rPr>
        <w:t xml:space="preserve"> </w:t>
      </w:r>
      <w:r w:rsidRPr="000F55F5">
        <w:rPr>
          <w:color w:val="4F81BD" w:themeColor="accent1"/>
          <w:sz w:val="20"/>
          <w:szCs w:val="20"/>
        </w:rPr>
        <w:t>analysis to test for their associations with subnetwork structures, which can be</w:t>
      </w:r>
      <w:r>
        <w:rPr>
          <w:color w:val="4F81BD" w:themeColor="accent1"/>
          <w:sz w:val="20"/>
          <w:szCs w:val="20"/>
        </w:rPr>
        <w:t xml:space="preserve"> </w:t>
      </w:r>
      <w:r w:rsidRPr="000F55F5">
        <w:rPr>
          <w:color w:val="4F81BD" w:themeColor="accent1"/>
          <w:sz w:val="20"/>
          <w:szCs w:val="20"/>
        </w:rPr>
        <w:t>descripted statistically by the proposed SAFE scores.</w:t>
      </w:r>
    </w:p>
    <w:p w:rsidR="000F55F5" w:rsidRPr="000F55F5" w:rsidRDefault="000F55F5" w:rsidP="000F55F5">
      <w:pPr>
        <w:spacing w:after="0" w:line="240" w:lineRule="auto"/>
        <w:rPr>
          <w:color w:val="4F81BD" w:themeColor="accent1"/>
          <w:sz w:val="20"/>
          <w:szCs w:val="20"/>
        </w:rPr>
      </w:pPr>
    </w:p>
    <w:p w:rsidR="000F55F5" w:rsidRPr="000F55F5" w:rsidRDefault="000F55F5" w:rsidP="000F55F5">
      <w:pPr>
        <w:spacing w:after="0" w:line="240" w:lineRule="auto"/>
        <w:rPr>
          <w:sz w:val="20"/>
          <w:szCs w:val="20"/>
        </w:rPr>
      </w:pPr>
      <w:r w:rsidRPr="000F55F5">
        <w:rPr>
          <w:sz w:val="20"/>
          <w:szCs w:val="20"/>
        </w:rPr>
        <w:t>The same problem is observed for the method part. It lacks sufficient information.</w:t>
      </w:r>
    </w:p>
    <w:p w:rsidR="000F55F5" w:rsidRDefault="000F55F5" w:rsidP="000F55F5">
      <w:pPr>
        <w:spacing w:after="0" w:line="240" w:lineRule="auto"/>
        <w:rPr>
          <w:color w:val="4F81BD" w:themeColor="accent1"/>
          <w:sz w:val="20"/>
          <w:szCs w:val="20"/>
        </w:rPr>
      </w:pPr>
      <w:r w:rsidRPr="000F55F5">
        <w:rPr>
          <w:color w:val="4F81BD" w:themeColor="accent1"/>
          <w:sz w:val="20"/>
          <w:szCs w:val="20"/>
        </w:rPr>
        <w:t>Response: We have rewritten the method part with substantial improvement and</w:t>
      </w:r>
      <w:r>
        <w:rPr>
          <w:color w:val="4F81BD" w:themeColor="accent1"/>
          <w:sz w:val="20"/>
          <w:szCs w:val="20"/>
        </w:rPr>
        <w:t xml:space="preserve"> </w:t>
      </w:r>
      <w:r w:rsidRPr="000F55F5">
        <w:rPr>
          <w:color w:val="4F81BD" w:themeColor="accent1"/>
          <w:sz w:val="20"/>
          <w:szCs w:val="20"/>
        </w:rPr>
        <w:t>sufficient information, as follows:</w:t>
      </w:r>
      <w:r>
        <w:rPr>
          <w:color w:val="4F81BD" w:themeColor="accent1"/>
          <w:sz w:val="20"/>
          <w:szCs w:val="20"/>
        </w:rPr>
        <w:t xml:space="preserve"> </w:t>
      </w:r>
    </w:p>
    <w:p w:rsidR="000F55F5" w:rsidRPr="000F55F5" w:rsidRDefault="000F55F5" w:rsidP="000F55F5">
      <w:pPr>
        <w:spacing w:after="0" w:line="240" w:lineRule="auto"/>
        <w:rPr>
          <w:color w:val="4F81BD" w:themeColor="accent1"/>
          <w:sz w:val="20"/>
          <w:szCs w:val="20"/>
        </w:rPr>
      </w:pPr>
      <w:proofErr w:type="gramStart"/>
      <w:r w:rsidRPr="000F55F5">
        <w:rPr>
          <w:color w:val="4F81BD" w:themeColor="accent1"/>
          <w:sz w:val="20"/>
          <w:szCs w:val="20"/>
        </w:rPr>
        <w:t>1.We</w:t>
      </w:r>
      <w:proofErr w:type="gramEnd"/>
      <w:r w:rsidRPr="000F55F5">
        <w:rPr>
          <w:color w:val="4F81BD" w:themeColor="accent1"/>
          <w:sz w:val="20"/>
          <w:szCs w:val="20"/>
        </w:rPr>
        <w:t xml:space="preserve"> have clearly explained each step of the Mapper algorithm with both descriptions</w:t>
      </w:r>
      <w:r>
        <w:rPr>
          <w:color w:val="4F81BD" w:themeColor="accent1"/>
          <w:sz w:val="20"/>
          <w:szCs w:val="20"/>
        </w:rPr>
        <w:t xml:space="preserve"> </w:t>
      </w:r>
      <w:r w:rsidRPr="000F55F5">
        <w:rPr>
          <w:color w:val="4F81BD" w:themeColor="accent1"/>
          <w:sz w:val="20"/>
          <w:szCs w:val="20"/>
        </w:rPr>
        <w:t>of its algorithmic details and how microbiome data is used by the algorithm. Our</w:t>
      </w:r>
      <w:r>
        <w:rPr>
          <w:color w:val="4F81BD" w:themeColor="accent1"/>
          <w:sz w:val="20"/>
          <w:szCs w:val="20"/>
        </w:rPr>
        <w:t xml:space="preserve"> </w:t>
      </w:r>
      <w:r w:rsidRPr="000F55F5">
        <w:rPr>
          <w:color w:val="4F81BD" w:themeColor="accent1"/>
          <w:sz w:val="20"/>
          <w:szCs w:val="20"/>
        </w:rPr>
        <w:t>revision now includes information on filter functions, covering and clustering (line 14-</w:t>
      </w:r>
      <w:r>
        <w:rPr>
          <w:color w:val="4F81BD" w:themeColor="accent1"/>
          <w:sz w:val="20"/>
          <w:szCs w:val="20"/>
        </w:rPr>
        <w:t xml:space="preserve"> </w:t>
      </w:r>
      <w:r w:rsidRPr="000F55F5">
        <w:rPr>
          <w:color w:val="4F81BD" w:themeColor="accent1"/>
          <w:sz w:val="20"/>
          <w:szCs w:val="20"/>
        </w:rPr>
        <w:t>27, page 14; line 1-15, page 15).</w:t>
      </w:r>
    </w:p>
    <w:p w:rsidR="000F55F5" w:rsidRDefault="000F55F5" w:rsidP="000F55F5">
      <w:pPr>
        <w:spacing w:after="0" w:line="240" w:lineRule="auto"/>
        <w:rPr>
          <w:color w:val="4F81BD" w:themeColor="accent1"/>
          <w:sz w:val="20"/>
          <w:szCs w:val="20"/>
        </w:rPr>
      </w:pPr>
      <w:proofErr w:type="gramStart"/>
      <w:r w:rsidRPr="000F55F5">
        <w:rPr>
          <w:color w:val="4F81BD" w:themeColor="accent1"/>
          <w:sz w:val="20"/>
          <w:szCs w:val="20"/>
        </w:rPr>
        <w:t>2.We</w:t>
      </w:r>
      <w:proofErr w:type="gramEnd"/>
      <w:r w:rsidRPr="000F55F5">
        <w:rPr>
          <w:color w:val="4F81BD" w:themeColor="accent1"/>
          <w:sz w:val="20"/>
          <w:szCs w:val="20"/>
        </w:rPr>
        <w:t xml:space="preserve"> have also elaborated on the SAFE algorithm, including the rationale underlying</w:t>
      </w:r>
      <w:r>
        <w:rPr>
          <w:color w:val="4F81BD" w:themeColor="accent1"/>
          <w:sz w:val="20"/>
          <w:szCs w:val="20"/>
        </w:rPr>
        <w:t xml:space="preserve"> </w:t>
      </w:r>
      <w:r w:rsidRPr="000F55F5">
        <w:rPr>
          <w:color w:val="4F81BD" w:themeColor="accent1"/>
          <w:sz w:val="20"/>
          <w:szCs w:val="20"/>
        </w:rPr>
        <w:t>the algorithm (line 17-26, page 15), the steps of the calculation of SAFE scores (line 9-</w:t>
      </w:r>
      <w:r>
        <w:rPr>
          <w:color w:val="4F81BD" w:themeColor="accent1"/>
          <w:sz w:val="20"/>
          <w:szCs w:val="20"/>
        </w:rPr>
        <w:t xml:space="preserve"> </w:t>
      </w:r>
      <w:r w:rsidRPr="000F55F5">
        <w:rPr>
          <w:color w:val="4F81BD" w:themeColor="accent1"/>
          <w:sz w:val="20"/>
          <w:szCs w:val="20"/>
        </w:rPr>
        <w:t>16, page 16), and the use of SAFE scores for association analysis (line 22-29, page 4;</w:t>
      </w:r>
      <w:r>
        <w:rPr>
          <w:color w:val="4F81BD" w:themeColor="accent1"/>
          <w:sz w:val="20"/>
          <w:szCs w:val="20"/>
        </w:rPr>
        <w:t xml:space="preserve"> </w:t>
      </w:r>
      <w:r w:rsidRPr="000F55F5">
        <w:rPr>
          <w:color w:val="4F81BD" w:themeColor="accent1"/>
          <w:sz w:val="20"/>
          <w:szCs w:val="20"/>
        </w:rPr>
        <w:t>line 1-4, page 5).</w:t>
      </w:r>
    </w:p>
    <w:p w:rsidR="000F55F5" w:rsidRPr="000F55F5" w:rsidRDefault="000F55F5" w:rsidP="000F55F5">
      <w:pPr>
        <w:spacing w:after="0" w:line="240" w:lineRule="auto"/>
        <w:rPr>
          <w:color w:val="4F81BD" w:themeColor="accent1"/>
          <w:sz w:val="20"/>
          <w:szCs w:val="20"/>
        </w:rPr>
      </w:pPr>
    </w:p>
    <w:p w:rsidR="000F55F5" w:rsidRDefault="000F55F5" w:rsidP="000F55F5">
      <w:pPr>
        <w:spacing w:after="0" w:line="240" w:lineRule="auto"/>
        <w:rPr>
          <w:sz w:val="20"/>
          <w:szCs w:val="20"/>
        </w:rPr>
      </w:pPr>
      <w:r w:rsidRPr="000F55F5">
        <w:rPr>
          <w:sz w:val="20"/>
          <w:szCs w:val="20"/>
        </w:rPr>
        <w:t>L28 on page 11: "filter/</w:t>
      </w:r>
      <w:proofErr w:type="spellStart"/>
      <w:r w:rsidRPr="000F55F5">
        <w:rPr>
          <w:sz w:val="20"/>
          <w:szCs w:val="20"/>
        </w:rPr>
        <w:t>len</w:t>
      </w:r>
      <w:proofErr w:type="spellEnd"/>
      <w:r w:rsidRPr="000F55F5">
        <w:rPr>
          <w:sz w:val="20"/>
          <w:szCs w:val="20"/>
        </w:rPr>
        <w:t xml:space="preserve"> function for mapping the original data points to their low</w:t>
      </w:r>
      <w:r>
        <w:rPr>
          <w:sz w:val="20"/>
          <w:szCs w:val="20"/>
        </w:rPr>
        <w:t xml:space="preserve"> </w:t>
      </w:r>
      <w:proofErr w:type="spellStart"/>
      <w:r w:rsidRPr="000F55F5">
        <w:rPr>
          <w:sz w:val="20"/>
          <w:szCs w:val="20"/>
        </w:rPr>
        <w:t>dimentional</w:t>
      </w:r>
      <w:proofErr w:type="spellEnd"/>
      <w:r w:rsidRPr="000F55F5">
        <w:rPr>
          <w:sz w:val="20"/>
          <w:szCs w:val="20"/>
        </w:rPr>
        <w:t xml:space="preserve"> coordinates, For instance, the first two principal coordinators of </w:t>
      </w:r>
      <w:proofErr w:type="spellStart"/>
      <w:r w:rsidRPr="000F55F5">
        <w:rPr>
          <w:sz w:val="20"/>
          <w:szCs w:val="20"/>
        </w:rPr>
        <w:t>PCoA</w:t>
      </w:r>
      <w:proofErr w:type="spellEnd"/>
      <w:r w:rsidRPr="000F55F5">
        <w:rPr>
          <w:sz w:val="20"/>
          <w:szCs w:val="20"/>
        </w:rPr>
        <w:t xml:space="preserve"> can</w:t>
      </w:r>
      <w:r>
        <w:rPr>
          <w:sz w:val="20"/>
          <w:szCs w:val="20"/>
        </w:rPr>
        <w:t xml:space="preserve"> </w:t>
      </w:r>
      <w:r w:rsidRPr="000F55F5">
        <w:rPr>
          <w:sz w:val="20"/>
          <w:szCs w:val="20"/>
        </w:rPr>
        <w:t>be used as filters". What does "filters" mean? Are the first two sufficient? How to decide</w:t>
      </w:r>
      <w:r>
        <w:rPr>
          <w:sz w:val="20"/>
          <w:szCs w:val="20"/>
        </w:rPr>
        <w:t xml:space="preserve"> </w:t>
      </w:r>
      <w:r w:rsidRPr="000F55F5">
        <w:rPr>
          <w:sz w:val="20"/>
          <w:szCs w:val="20"/>
        </w:rPr>
        <w:t>numbers of filters? What is the impact on the following steps? How robust it would be?</w:t>
      </w:r>
      <w:r>
        <w:rPr>
          <w:sz w:val="20"/>
          <w:szCs w:val="20"/>
        </w:rPr>
        <w:t xml:space="preserve"> </w:t>
      </w:r>
      <w:r w:rsidRPr="000F55F5">
        <w:rPr>
          <w:sz w:val="20"/>
          <w:szCs w:val="20"/>
        </w:rPr>
        <w:t>Although authors said that detailed explanation and guideline are provided on line. It is</w:t>
      </w:r>
      <w:r>
        <w:rPr>
          <w:sz w:val="20"/>
          <w:szCs w:val="20"/>
        </w:rPr>
        <w:t xml:space="preserve"> </w:t>
      </w:r>
      <w:r w:rsidRPr="000F55F5">
        <w:rPr>
          <w:sz w:val="20"/>
          <w:szCs w:val="20"/>
        </w:rPr>
        <w:t>still important to explain it clearly in the paper.</w:t>
      </w:r>
    </w:p>
    <w:p w:rsidR="000F55F5" w:rsidRPr="000F55F5" w:rsidRDefault="000F55F5" w:rsidP="000F55F5">
      <w:pPr>
        <w:spacing w:after="0" w:line="240" w:lineRule="auto"/>
        <w:rPr>
          <w:sz w:val="20"/>
          <w:szCs w:val="20"/>
        </w:rPr>
      </w:pPr>
    </w:p>
    <w:p w:rsidR="000F55F5" w:rsidRDefault="000F55F5" w:rsidP="000F55F5">
      <w:pPr>
        <w:spacing w:after="0" w:line="240" w:lineRule="auto"/>
        <w:rPr>
          <w:color w:val="4F81BD" w:themeColor="accent1"/>
          <w:sz w:val="20"/>
          <w:szCs w:val="20"/>
        </w:rPr>
      </w:pPr>
      <w:r w:rsidRPr="000F55F5">
        <w:rPr>
          <w:color w:val="4F81BD" w:themeColor="accent1"/>
          <w:sz w:val="20"/>
          <w:szCs w:val="20"/>
        </w:rPr>
        <w:t xml:space="preserve">Response: The definition and use of filters in </w:t>
      </w:r>
      <w:proofErr w:type="spellStart"/>
      <w:r w:rsidRPr="000F55F5">
        <w:rPr>
          <w:color w:val="4F81BD" w:themeColor="accent1"/>
          <w:sz w:val="20"/>
          <w:szCs w:val="20"/>
        </w:rPr>
        <w:t>tmap</w:t>
      </w:r>
      <w:proofErr w:type="spellEnd"/>
      <w:r w:rsidRPr="000F55F5">
        <w:rPr>
          <w:color w:val="4F81BD" w:themeColor="accent1"/>
          <w:sz w:val="20"/>
          <w:szCs w:val="20"/>
        </w:rPr>
        <w:t xml:space="preserve"> have been thoroughly described in</w:t>
      </w:r>
      <w:r>
        <w:rPr>
          <w:color w:val="4F81BD" w:themeColor="accent1"/>
          <w:sz w:val="20"/>
          <w:szCs w:val="20"/>
        </w:rPr>
        <w:t xml:space="preserve"> </w:t>
      </w:r>
      <w:r w:rsidRPr="000F55F5">
        <w:rPr>
          <w:color w:val="4F81BD" w:themeColor="accent1"/>
          <w:sz w:val="20"/>
          <w:szCs w:val="20"/>
        </w:rPr>
        <w:t>our revised manuscript (line 14-22, page 14), together with its illustration in the new</w:t>
      </w:r>
      <w:r>
        <w:rPr>
          <w:color w:val="4F81BD" w:themeColor="accent1"/>
          <w:sz w:val="20"/>
          <w:szCs w:val="20"/>
        </w:rPr>
        <w:t xml:space="preserve"> </w:t>
      </w:r>
      <w:r w:rsidRPr="000F55F5">
        <w:rPr>
          <w:color w:val="4F81BD" w:themeColor="accent1"/>
          <w:sz w:val="20"/>
          <w:szCs w:val="20"/>
        </w:rPr>
        <w:t>Fig.7a. We have now proposed a strategy on the selection and evaluation of filters in</w:t>
      </w:r>
      <w:r>
        <w:rPr>
          <w:color w:val="4F81BD" w:themeColor="accent1"/>
          <w:sz w:val="20"/>
          <w:szCs w:val="20"/>
        </w:rPr>
        <w:t xml:space="preserve"> </w:t>
      </w:r>
      <w:r w:rsidRPr="000F55F5">
        <w:rPr>
          <w:color w:val="4F81BD" w:themeColor="accent1"/>
          <w:sz w:val="20"/>
          <w:szCs w:val="20"/>
        </w:rPr>
        <w:t>our new Discussions (line 12-25, page 12) and Methods (line 6-17, page 21). This</w:t>
      </w:r>
      <w:r>
        <w:rPr>
          <w:color w:val="4F81BD" w:themeColor="accent1"/>
          <w:sz w:val="20"/>
          <w:szCs w:val="20"/>
        </w:rPr>
        <w:t xml:space="preserve"> </w:t>
      </w:r>
      <w:r w:rsidRPr="000F55F5">
        <w:rPr>
          <w:color w:val="4F81BD" w:themeColor="accent1"/>
          <w:sz w:val="20"/>
          <w:szCs w:val="20"/>
        </w:rPr>
        <w:t xml:space="preserve">strategy can help us to decide how many and which filters (in the case of </w:t>
      </w:r>
      <w:proofErr w:type="spellStart"/>
      <w:r w:rsidRPr="000F55F5">
        <w:rPr>
          <w:color w:val="4F81BD" w:themeColor="accent1"/>
          <w:sz w:val="20"/>
          <w:szCs w:val="20"/>
        </w:rPr>
        <w:t>PCoA</w:t>
      </w:r>
      <w:proofErr w:type="spellEnd"/>
      <w:r w:rsidRPr="000F55F5">
        <w:rPr>
          <w:color w:val="4F81BD" w:themeColor="accent1"/>
          <w:sz w:val="20"/>
          <w:szCs w:val="20"/>
        </w:rPr>
        <w:t xml:space="preserve"> or</w:t>
      </w:r>
      <w:r>
        <w:rPr>
          <w:color w:val="4F81BD" w:themeColor="accent1"/>
          <w:sz w:val="20"/>
          <w:szCs w:val="20"/>
        </w:rPr>
        <w:t xml:space="preserve"> </w:t>
      </w:r>
      <w:r w:rsidRPr="000F55F5">
        <w:rPr>
          <w:color w:val="4F81BD" w:themeColor="accent1"/>
          <w:sz w:val="20"/>
          <w:szCs w:val="20"/>
        </w:rPr>
        <w:t xml:space="preserve">PCA) to use in </w:t>
      </w:r>
      <w:proofErr w:type="spellStart"/>
      <w:r w:rsidRPr="000F55F5">
        <w:rPr>
          <w:color w:val="4F81BD" w:themeColor="accent1"/>
          <w:sz w:val="20"/>
          <w:szCs w:val="20"/>
        </w:rPr>
        <w:t>tmap</w:t>
      </w:r>
      <w:proofErr w:type="spellEnd"/>
      <w:r w:rsidRPr="000F55F5">
        <w:rPr>
          <w:color w:val="4F81BD" w:themeColor="accent1"/>
          <w:sz w:val="20"/>
          <w:szCs w:val="20"/>
        </w:rPr>
        <w:t>, and to evaluate the impact on association analysis. We also have</w:t>
      </w:r>
      <w:r>
        <w:rPr>
          <w:color w:val="4F81BD" w:themeColor="accent1"/>
          <w:sz w:val="20"/>
          <w:szCs w:val="20"/>
        </w:rPr>
        <w:t xml:space="preserve"> </w:t>
      </w:r>
      <w:r w:rsidRPr="000F55F5">
        <w:rPr>
          <w:color w:val="4F81BD" w:themeColor="accent1"/>
          <w:sz w:val="20"/>
          <w:szCs w:val="20"/>
        </w:rPr>
        <w:t>included other dimension reduction methods (t-SNE and UMAP) in our revised</w:t>
      </w:r>
      <w:r>
        <w:rPr>
          <w:color w:val="4F81BD" w:themeColor="accent1"/>
          <w:sz w:val="20"/>
          <w:szCs w:val="20"/>
        </w:rPr>
        <w:t xml:space="preserve"> </w:t>
      </w:r>
      <w:r w:rsidRPr="000F55F5">
        <w:rPr>
          <w:color w:val="4F81BD" w:themeColor="accent1"/>
          <w:sz w:val="20"/>
          <w:szCs w:val="20"/>
        </w:rPr>
        <w:t>manuscript to assess the robustness of using different filters in the analysis of the</w:t>
      </w:r>
      <w:r>
        <w:rPr>
          <w:color w:val="4F81BD" w:themeColor="accent1"/>
          <w:sz w:val="20"/>
          <w:szCs w:val="20"/>
        </w:rPr>
        <w:t xml:space="preserve"> </w:t>
      </w:r>
      <w:r w:rsidRPr="000F55F5">
        <w:rPr>
          <w:color w:val="4F81BD" w:themeColor="accent1"/>
          <w:sz w:val="20"/>
          <w:szCs w:val="20"/>
        </w:rPr>
        <w:t>FGFP dataset (line 28-29, page 12; line 1-5, page 13; line 18-26, page 21)</w:t>
      </w:r>
    </w:p>
    <w:p w:rsidR="000F55F5" w:rsidRPr="000F55F5" w:rsidRDefault="000F55F5" w:rsidP="000F55F5">
      <w:pPr>
        <w:spacing w:after="0" w:line="240" w:lineRule="auto"/>
        <w:rPr>
          <w:color w:val="4F81BD" w:themeColor="accent1"/>
          <w:sz w:val="20"/>
          <w:szCs w:val="20"/>
        </w:rPr>
      </w:pPr>
    </w:p>
    <w:p w:rsidR="007B7B99" w:rsidRDefault="000F55F5" w:rsidP="007B7B99">
      <w:pPr>
        <w:spacing w:after="0" w:line="240" w:lineRule="auto"/>
        <w:rPr>
          <w:sz w:val="20"/>
          <w:szCs w:val="20"/>
        </w:rPr>
      </w:pPr>
      <w:proofErr w:type="gramStart"/>
      <w:r w:rsidRPr="000F55F5">
        <w:rPr>
          <w:sz w:val="20"/>
          <w:szCs w:val="20"/>
        </w:rPr>
        <w:t>Page 12: Spatial analysis of functional enrichment (SAFE) algorithm for network</w:t>
      </w:r>
      <w:r>
        <w:rPr>
          <w:sz w:val="20"/>
          <w:szCs w:val="20"/>
        </w:rPr>
        <w:t xml:space="preserve"> </w:t>
      </w:r>
      <w:r w:rsidRPr="000F55F5">
        <w:rPr>
          <w:sz w:val="20"/>
          <w:szCs w:val="20"/>
        </w:rPr>
        <w:t>enrichment analysis.</w:t>
      </w:r>
      <w:proofErr w:type="gramEnd"/>
      <w:r w:rsidRPr="000F55F5">
        <w:rPr>
          <w:sz w:val="20"/>
          <w:szCs w:val="20"/>
        </w:rPr>
        <w:t xml:space="preserve"> The authors claimed that it can be applied to a target variable (or</w:t>
      </w:r>
      <w:r w:rsidR="007B7B99">
        <w:rPr>
          <w:sz w:val="20"/>
          <w:szCs w:val="20"/>
        </w:rPr>
        <w:t xml:space="preserve"> </w:t>
      </w:r>
      <w:r w:rsidR="007B7B99" w:rsidRPr="007B7B99">
        <w:rPr>
          <w:sz w:val="20"/>
          <w:szCs w:val="20"/>
        </w:rPr>
        <w:t>multiple target variables). It is unclear how it works for multiple target variables. The</w:t>
      </w:r>
      <w:r w:rsidR="007B7B99">
        <w:rPr>
          <w:sz w:val="20"/>
          <w:szCs w:val="20"/>
        </w:rPr>
        <w:t xml:space="preserve"> </w:t>
      </w:r>
      <w:r w:rsidR="007B7B99" w:rsidRPr="007B7B99">
        <w:rPr>
          <w:sz w:val="20"/>
          <w:szCs w:val="20"/>
        </w:rPr>
        <w:t>provided formula does not copy with multiple variables. L13 on page 13: "random</w:t>
      </w:r>
      <w:r w:rsidR="007B7B99">
        <w:rPr>
          <w:sz w:val="20"/>
          <w:szCs w:val="20"/>
        </w:rPr>
        <w:t xml:space="preserve"> </w:t>
      </w:r>
      <w:r w:rsidR="007B7B99" w:rsidRPr="007B7B99">
        <w:rPr>
          <w:sz w:val="20"/>
          <w:szCs w:val="20"/>
        </w:rPr>
        <w:t xml:space="preserve">shuffle is performed independently for each target variable when there </w:t>
      </w:r>
      <w:proofErr w:type="gramStart"/>
      <w:r w:rsidR="007B7B99" w:rsidRPr="007B7B99">
        <w:rPr>
          <w:sz w:val="20"/>
          <w:szCs w:val="20"/>
        </w:rPr>
        <w:t>are</w:t>
      </w:r>
      <w:proofErr w:type="gramEnd"/>
      <w:r w:rsidR="007B7B99" w:rsidRPr="007B7B99">
        <w:rPr>
          <w:sz w:val="20"/>
          <w:szCs w:val="20"/>
        </w:rPr>
        <w:t xml:space="preserve"> more than</w:t>
      </w:r>
      <w:r w:rsidR="007B7B99">
        <w:rPr>
          <w:sz w:val="20"/>
          <w:szCs w:val="20"/>
        </w:rPr>
        <w:t xml:space="preserve"> </w:t>
      </w:r>
      <w:r w:rsidR="007B7B99" w:rsidRPr="007B7B99">
        <w:rPr>
          <w:sz w:val="20"/>
          <w:szCs w:val="20"/>
        </w:rPr>
        <w:t>one". It is not a correct way, as target variables can be inter-correlated/confounding.</w:t>
      </w:r>
    </w:p>
    <w:p w:rsidR="007B7B99" w:rsidRPr="007B7B99" w:rsidRDefault="007B7B99" w:rsidP="007B7B99">
      <w:pPr>
        <w:spacing w:after="0" w:line="240" w:lineRule="auto"/>
        <w:rPr>
          <w:sz w:val="20"/>
          <w:szCs w:val="20"/>
        </w:rPr>
      </w:pPr>
    </w:p>
    <w:p w:rsidR="007B7B99" w:rsidRPr="007B7B99" w:rsidRDefault="007B7B99" w:rsidP="007B7B99">
      <w:pPr>
        <w:spacing w:after="0" w:line="240" w:lineRule="auto"/>
        <w:rPr>
          <w:color w:val="4F81BD" w:themeColor="accent1"/>
          <w:sz w:val="20"/>
          <w:szCs w:val="20"/>
        </w:rPr>
      </w:pPr>
      <w:r w:rsidRPr="007B7B99">
        <w:rPr>
          <w:color w:val="4F81BD" w:themeColor="accent1"/>
          <w:sz w:val="20"/>
          <w:szCs w:val="20"/>
        </w:rPr>
        <w:t>Response: Indeed, the SAFE algorithm works on single target variable (as illustrated in</w:t>
      </w:r>
      <w:r w:rsidRPr="007B7B99">
        <w:rPr>
          <w:color w:val="4F81BD" w:themeColor="accent1"/>
          <w:sz w:val="20"/>
          <w:szCs w:val="20"/>
        </w:rPr>
        <w:t xml:space="preserve"> </w:t>
      </w:r>
      <w:r w:rsidRPr="007B7B99">
        <w:rPr>
          <w:color w:val="4F81BD" w:themeColor="accent1"/>
          <w:sz w:val="20"/>
          <w:szCs w:val="20"/>
        </w:rPr>
        <w:t>the new Fig. 7b). In the case of multiple target variables, the algorithm is applied to</w:t>
      </w:r>
      <w:r w:rsidRPr="007B7B99">
        <w:rPr>
          <w:color w:val="4F81BD" w:themeColor="accent1"/>
          <w:sz w:val="20"/>
          <w:szCs w:val="20"/>
        </w:rPr>
        <w:t xml:space="preserve"> </w:t>
      </w:r>
      <w:r w:rsidRPr="007B7B99">
        <w:rPr>
          <w:color w:val="4F81BD" w:themeColor="accent1"/>
          <w:sz w:val="20"/>
          <w:szCs w:val="20"/>
        </w:rPr>
        <w:t>each of them independently. But the concern of inter-correlated or confounding</w:t>
      </w:r>
      <w:r w:rsidRPr="007B7B99">
        <w:rPr>
          <w:color w:val="4F81BD" w:themeColor="accent1"/>
          <w:sz w:val="20"/>
          <w:szCs w:val="20"/>
        </w:rPr>
        <w:t xml:space="preserve"> </w:t>
      </w:r>
      <w:r w:rsidRPr="007B7B99">
        <w:rPr>
          <w:color w:val="4F81BD" w:themeColor="accent1"/>
          <w:sz w:val="20"/>
          <w:szCs w:val="20"/>
        </w:rPr>
        <w:t xml:space="preserve">variables can be addressed in </w:t>
      </w:r>
      <w:proofErr w:type="spellStart"/>
      <w:r w:rsidRPr="007B7B99">
        <w:rPr>
          <w:color w:val="4F81BD" w:themeColor="accent1"/>
          <w:sz w:val="20"/>
          <w:szCs w:val="20"/>
        </w:rPr>
        <w:t>tmap</w:t>
      </w:r>
      <w:proofErr w:type="spellEnd"/>
      <w:r w:rsidRPr="007B7B99">
        <w:rPr>
          <w:color w:val="4F81BD" w:themeColor="accent1"/>
          <w:sz w:val="20"/>
          <w:szCs w:val="20"/>
        </w:rPr>
        <w:t>. As we have now discussed in our revised</w:t>
      </w:r>
      <w:r w:rsidRPr="007B7B99">
        <w:rPr>
          <w:color w:val="4F81BD" w:themeColor="accent1"/>
          <w:sz w:val="20"/>
          <w:szCs w:val="20"/>
        </w:rPr>
        <w:t xml:space="preserve"> </w:t>
      </w:r>
      <w:r w:rsidRPr="007B7B99">
        <w:rPr>
          <w:color w:val="4F81BD" w:themeColor="accent1"/>
          <w:sz w:val="20"/>
          <w:szCs w:val="20"/>
        </w:rPr>
        <w:t xml:space="preserve">manuscript (line 22-29, page 13; line 1-2, page 14), </w:t>
      </w:r>
      <w:proofErr w:type="spellStart"/>
      <w:r w:rsidRPr="007B7B99">
        <w:rPr>
          <w:color w:val="4F81BD" w:themeColor="accent1"/>
          <w:sz w:val="20"/>
          <w:szCs w:val="20"/>
        </w:rPr>
        <w:t>tmap</w:t>
      </w:r>
      <w:proofErr w:type="spellEnd"/>
      <w:r w:rsidRPr="007B7B99">
        <w:rPr>
          <w:color w:val="4F81BD" w:themeColor="accent1"/>
          <w:sz w:val="20"/>
          <w:szCs w:val="20"/>
        </w:rPr>
        <w:t xml:space="preserve"> allows us to characterize</w:t>
      </w:r>
      <w:r w:rsidRPr="007B7B99">
        <w:rPr>
          <w:color w:val="4F81BD" w:themeColor="accent1"/>
          <w:sz w:val="20"/>
          <w:szCs w:val="20"/>
        </w:rPr>
        <w:t xml:space="preserve"> </w:t>
      </w:r>
      <w:r w:rsidRPr="007B7B99">
        <w:rPr>
          <w:color w:val="4F81BD" w:themeColor="accent1"/>
          <w:sz w:val="20"/>
          <w:szCs w:val="20"/>
        </w:rPr>
        <w:t>interrelations between metadata or microbiome features, via co-enrichment network</w:t>
      </w:r>
      <w:r w:rsidRPr="007B7B99">
        <w:rPr>
          <w:color w:val="4F81BD" w:themeColor="accent1"/>
          <w:sz w:val="20"/>
          <w:szCs w:val="20"/>
        </w:rPr>
        <w:t xml:space="preserve"> </w:t>
      </w:r>
      <w:r w:rsidRPr="007B7B99">
        <w:rPr>
          <w:color w:val="4F81BD" w:themeColor="accent1"/>
          <w:sz w:val="20"/>
          <w:szCs w:val="20"/>
        </w:rPr>
        <w:t>analysis, to help to clarify or determine whether these interrelations represent</w:t>
      </w:r>
      <w:r w:rsidRPr="007B7B99">
        <w:rPr>
          <w:color w:val="4F81BD" w:themeColor="accent1"/>
          <w:sz w:val="20"/>
          <w:szCs w:val="20"/>
        </w:rPr>
        <w:t xml:space="preserve"> </w:t>
      </w:r>
      <w:r w:rsidRPr="007B7B99">
        <w:rPr>
          <w:color w:val="4F81BD" w:themeColor="accent1"/>
          <w:sz w:val="20"/>
          <w:szCs w:val="20"/>
        </w:rPr>
        <w:t>confounding effects or indicate biological interactions, given the context of studies (as</w:t>
      </w:r>
      <w:r w:rsidRPr="007B7B99">
        <w:rPr>
          <w:color w:val="4F81BD" w:themeColor="accent1"/>
          <w:sz w:val="20"/>
          <w:szCs w:val="20"/>
        </w:rPr>
        <w:t xml:space="preserve"> </w:t>
      </w:r>
      <w:r w:rsidRPr="007B7B99">
        <w:rPr>
          <w:color w:val="4F81BD" w:themeColor="accent1"/>
          <w:sz w:val="20"/>
          <w:szCs w:val="20"/>
        </w:rPr>
        <w:t>demonstrated in our analysis of the FGFP, AGP and EMP microbiomes).</w:t>
      </w:r>
    </w:p>
    <w:p w:rsidR="007B7B99" w:rsidRPr="007B7B99" w:rsidRDefault="007B7B99" w:rsidP="007B7B99">
      <w:pPr>
        <w:spacing w:after="0" w:line="240" w:lineRule="auto"/>
        <w:rPr>
          <w:sz w:val="20"/>
          <w:szCs w:val="20"/>
        </w:rPr>
      </w:pPr>
    </w:p>
    <w:p w:rsidR="007B7B99" w:rsidRDefault="007B7B99" w:rsidP="007B7B99">
      <w:pPr>
        <w:spacing w:after="0" w:line="240" w:lineRule="auto"/>
        <w:rPr>
          <w:sz w:val="20"/>
          <w:szCs w:val="20"/>
        </w:rPr>
      </w:pPr>
      <w:proofErr w:type="gramStart"/>
      <w:r w:rsidRPr="007B7B99">
        <w:rPr>
          <w:sz w:val="20"/>
          <w:szCs w:val="20"/>
        </w:rPr>
        <w:t xml:space="preserve">Page 8: </w:t>
      </w:r>
      <w:proofErr w:type="spellStart"/>
      <w:r w:rsidRPr="007B7B99">
        <w:rPr>
          <w:sz w:val="20"/>
          <w:szCs w:val="20"/>
        </w:rPr>
        <w:t>enterotype</w:t>
      </w:r>
      <w:proofErr w:type="spellEnd"/>
      <w:r w:rsidRPr="007B7B99">
        <w:rPr>
          <w:sz w:val="20"/>
          <w:szCs w:val="20"/>
        </w:rPr>
        <w:t>-like stratification.</w:t>
      </w:r>
      <w:proofErr w:type="gramEnd"/>
      <w:r w:rsidRPr="007B7B99">
        <w:rPr>
          <w:sz w:val="20"/>
          <w:szCs w:val="20"/>
        </w:rPr>
        <w:t xml:space="preserve"> The concept of </w:t>
      </w:r>
      <w:proofErr w:type="spellStart"/>
      <w:r w:rsidRPr="007B7B99">
        <w:rPr>
          <w:sz w:val="20"/>
          <w:szCs w:val="20"/>
        </w:rPr>
        <w:t>enterotype</w:t>
      </w:r>
      <w:proofErr w:type="spellEnd"/>
      <w:r w:rsidRPr="007B7B99">
        <w:rPr>
          <w:sz w:val="20"/>
          <w:szCs w:val="20"/>
        </w:rPr>
        <w:t xml:space="preserve"> has been abandoned</w:t>
      </w:r>
      <w:r>
        <w:rPr>
          <w:sz w:val="20"/>
          <w:szCs w:val="20"/>
        </w:rPr>
        <w:t xml:space="preserve"> </w:t>
      </w:r>
      <w:r w:rsidRPr="007B7B99">
        <w:rPr>
          <w:sz w:val="20"/>
          <w:szCs w:val="20"/>
        </w:rPr>
        <w:t>in the field (see Knight et al. Cell Host Microbe. 2014 Oct 8</w:t>
      </w:r>
      <w:proofErr w:type="gramStart"/>
      <w:r w:rsidRPr="007B7B99">
        <w:rPr>
          <w:sz w:val="20"/>
          <w:szCs w:val="20"/>
        </w:rPr>
        <w:t>;16</w:t>
      </w:r>
      <w:proofErr w:type="gramEnd"/>
      <w:r w:rsidRPr="007B7B99">
        <w:rPr>
          <w:sz w:val="20"/>
          <w:szCs w:val="20"/>
        </w:rPr>
        <w:t>(4):433-7). As shown in</w:t>
      </w:r>
      <w:r>
        <w:rPr>
          <w:sz w:val="20"/>
          <w:szCs w:val="20"/>
        </w:rPr>
        <w:t xml:space="preserve"> </w:t>
      </w:r>
      <w:r w:rsidRPr="007B7B99">
        <w:rPr>
          <w:sz w:val="20"/>
          <w:szCs w:val="20"/>
        </w:rPr>
        <w:t>Fig 5, different groups can be formed based on the type of species under</w:t>
      </w:r>
      <w:r>
        <w:rPr>
          <w:sz w:val="20"/>
          <w:szCs w:val="20"/>
        </w:rPr>
        <w:t xml:space="preserve"> </w:t>
      </w:r>
      <w:r w:rsidRPr="007B7B99">
        <w:rPr>
          <w:sz w:val="20"/>
          <w:szCs w:val="20"/>
        </w:rPr>
        <w:t>consideration. It is good to remove the concept of "</w:t>
      </w:r>
      <w:proofErr w:type="spellStart"/>
      <w:r w:rsidRPr="007B7B99">
        <w:rPr>
          <w:sz w:val="20"/>
          <w:szCs w:val="20"/>
        </w:rPr>
        <w:t>enterotype</w:t>
      </w:r>
      <w:proofErr w:type="spellEnd"/>
      <w:r w:rsidRPr="007B7B99">
        <w:rPr>
          <w:sz w:val="20"/>
          <w:szCs w:val="20"/>
        </w:rPr>
        <w:t>".</w:t>
      </w:r>
    </w:p>
    <w:p w:rsidR="007B7B99" w:rsidRPr="007B7B99" w:rsidRDefault="007B7B99" w:rsidP="007B7B99">
      <w:pPr>
        <w:spacing w:after="0" w:line="240" w:lineRule="auto"/>
        <w:rPr>
          <w:sz w:val="20"/>
          <w:szCs w:val="20"/>
        </w:rPr>
      </w:pPr>
    </w:p>
    <w:p w:rsidR="007B7B99" w:rsidRPr="007B7B99" w:rsidRDefault="007B7B99" w:rsidP="007B7B99">
      <w:pPr>
        <w:spacing w:after="0" w:line="240" w:lineRule="auto"/>
        <w:rPr>
          <w:color w:val="4F81BD" w:themeColor="accent1"/>
          <w:sz w:val="20"/>
          <w:szCs w:val="20"/>
        </w:rPr>
      </w:pPr>
      <w:r w:rsidRPr="007B7B99">
        <w:rPr>
          <w:color w:val="4F81BD" w:themeColor="accent1"/>
          <w:sz w:val="20"/>
          <w:szCs w:val="20"/>
        </w:rPr>
        <w:t xml:space="preserve">Response: We agree that the concept of </w:t>
      </w:r>
      <w:proofErr w:type="spellStart"/>
      <w:r w:rsidRPr="007B7B99">
        <w:rPr>
          <w:color w:val="4F81BD" w:themeColor="accent1"/>
          <w:sz w:val="20"/>
          <w:szCs w:val="20"/>
        </w:rPr>
        <w:t>enterotype</w:t>
      </w:r>
      <w:proofErr w:type="spellEnd"/>
      <w:r w:rsidRPr="007B7B99">
        <w:rPr>
          <w:color w:val="4F81BD" w:themeColor="accent1"/>
          <w:sz w:val="20"/>
          <w:szCs w:val="20"/>
        </w:rPr>
        <w:t xml:space="preserve"> is arguable, and our results indeed</w:t>
      </w:r>
      <w:r w:rsidRPr="007B7B99">
        <w:rPr>
          <w:color w:val="4F81BD" w:themeColor="accent1"/>
          <w:sz w:val="20"/>
          <w:szCs w:val="20"/>
        </w:rPr>
        <w:t xml:space="preserve"> </w:t>
      </w:r>
      <w:r w:rsidRPr="007B7B99">
        <w:rPr>
          <w:color w:val="4F81BD" w:themeColor="accent1"/>
          <w:sz w:val="20"/>
          <w:szCs w:val="20"/>
        </w:rPr>
        <w:t xml:space="preserve">extend beyond the traditional determination of </w:t>
      </w:r>
      <w:proofErr w:type="spellStart"/>
      <w:r w:rsidRPr="007B7B99">
        <w:rPr>
          <w:color w:val="4F81BD" w:themeColor="accent1"/>
          <w:sz w:val="20"/>
          <w:szCs w:val="20"/>
        </w:rPr>
        <w:t>enterotypes</w:t>
      </w:r>
      <w:proofErr w:type="spellEnd"/>
      <w:r w:rsidRPr="007B7B99">
        <w:rPr>
          <w:color w:val="4F81BD" w:themeColor="accent1"/>
          <w:sz w:val="20"/>
          <w:szCs w:val="20"/>
        </w:rPr>
        <w:t xml:space="preserve"> for microbiome stratification</w:t>
      </w:r>
      <w:r w:rsidRPr="007B7B99">
        <w:rPr>
          <w:color w:val="4F81BD" w:themeColor="accent1"/>
          <w:sz w:val="20"/>
          <w:szCs w:val="20"/>
        </w:rPr>
        <w:t xml:space="preserve"> </w:t>
      </w:r>
      <w:r w:rsidRPr="007B7B99">
        <w:rPr>
          <w:color w:val="4F81BD" w:themeColor="accent1"/>
          <w:sz w:val="20"/>
          <w:szCs w:val="20"/>
        </w:rPr>
        <w:t>(line 17-24, page 9). To make our statement of the results more precise, we have</w:t>
      </w:r>
      <w:r w:rsidRPr="007B7B99">
        <w:rPr>
          <w:color w:val="4F81BD" w:themeColor="accent1"/>
          <w:sz w:val="20"/>
          <w:szCs w:val="20"/>
        </w:rPr>
        <w:t xml:space="preserve"> </w:t>
      </w:r>
      <w:r w:rsidRPr="007B7B99">
        <w:rPr>
          <w:color w:val="4F81BD" w:themeColor="accent1"/>
          <w:sz w:val="20"/>
          <w:szCs w:val="20"/>
        </w:rPr>
        <w:t>removed “</w:t>
      </w:r>
      <w:proofErr w:type="spellStart"/>
      <w:r w:rsidRPr="007B7B99">
        <w:rPr>
          <w:color w:val="4F81BD" w:themeColor="accent1"/>
          <w:sz w:val="20"/>
          <w:szCs w:val="20"/>
        </w:rPr>
        <w:t>enterotype</w:t>
      </w:r>
      <w:proofErr w:type="spellEnd"/>
      <w:r w:rsidRPr="007B7B99">
        <w:rPr>
          <w:color w:val="4F81BD" w:themeColor="accent1"/>
          <w:sz w:val="20"/>
          <w:szCs w:val="20"/>
        </w:rPr>
        <w:t>-like” in our revision. The subtitle and figure legend now read “</w:t>
      </w:r>
      <w:proofErr w:type="spellStart"/>
      <w:r w:rsidRPr="007B7B99">
        <w:rPr>
          <w:color w:val="4F81BD" w:themeColor="accent1"/>
          <w:sz w:val="20"/>
          <w:szCs w:val="20"/>
        </w:rPr>
        <w:t>Indepth</w:t>
      </w:r>
      <w:proofErr w:type="spellEnd"/>
      <w:r w:rsidRPr="007B7B99">
        <w:rPr>
          <w:color w:val="4F81BD" w:themeColor="accent1"/>
          <w:sz w:val="20"/>
          <w:szCs w:val="20"/>
        </w:rPr>
        <w:t xml:space="preserve"> </w:t>
      </w:r>
      <w:r w:rsidRPr="007B7B99">
        <w:rPr>
          <w:color w:val="4F81BD" w:themeColor="accent1"/>
          <w:sz w:val="20"/>
          <w:szCs w:val="20"/>
        </w:rPr>
        <w:t>stratification of …</w:t>
      </w:r>
      <w:proofErr w:type="gramStart"/>
      <w:r w:rsidRPr="007B7B99">
        <w:rPr>
          <w:color w:val="4F81BD" w:themeColor="accent1"/>
          <w:sz w:val="20"/>
          <w:szCs w:val="20"/>
        </w:rPr>
        <w:t>”.</w:t>
      </w:r>
      <w:proofErr w:type="gramEnd"/>
      <w:r w:rsidRPr="007B7B99">
        <w:rPr>
          <w:color w:val="4F81BD" w:themeColor="accent1"/>
          <w:sz w:val="20"/>
          <w:szCs w:val="20"/>
        </w:rPr>
        <w:t xml:space="preserve"> Also, we have now added a discussion on how our result</w:t>
      </w:r>
      <w:r w:rsidRPr="007B7B99">
        <w:rPr>
          <w:color w:val="4F81BD" w:themeColor="accent1"/>
          <w:sz w:val="20"/>
          <w:szCs w:val="20"/>
        </w:rPr>
        <w:t xml:space="preserve"> </w:t>
      </w:r>
      <w:r w:rsidRPr="007B7B99">
        <w:rPr>
          <w:color w:val="4F81BD" w:themeColor="accent1"/>
          <w:sz w:val="20"/>
          <w:szCs w:val="20"/>
        </w:rPr>
        <w:t>revealed in-depth microbiome stratifications according to the change of a particular</w:t>
      </w:r>
      <w:r w:rsidRPr="007B7B99">
        <w:rPr>
          <w:color w:val="4F81BD" w:themeColor="accent1"/>
          <w:sz w:val="20"/>
          <w:szCs w:val="20"/>
        </w:rPr>
        <w:t xml:space="preserve"> </w:t>
      </w:r>
      <w:r w:rsidRPr="007B7B99">
        <w:rPr>
          <w:color w:val="4F81BD" w:themeColor="accent1"/>
          <w:sz w:val="20"/>
          <w:szCs w:val="20"/>
        </w:rPr>
        <w:t>microbiome marker (line 16-20, page 9), and this reference was cited in our text.</w:t>
      </w:r>
    </w:p>
    <w:p w:rsidR="007B7B99" w:rsidRPr="007B7B99" w:rsidRDefault="007B7B99" w:rsidP="007B7B99">
      <w:pPr>
        <w:spacing w:after="0" w:line="240" w:lineRule="auto"/>
        <w:rPr>
          <w:sz w:val="20"/>
          <w:szCs w:val="20"/>
        </w:rPr>
      </w:pPr>
    </w:p>
    <w:p w:rsidR="007B7B99" w:rsidRDefault="007B7B99" w:rsidP="007B7B99">
      <w:pPr>
        <w:spacing w:after="0" w:line="240" w:lineRule="auto"/>
        <w:rPr>
          <w:sz w:val="20"/>
          <w:szCs w:val="20"/>
        </w:rPr>
      </w:pPr>
      <w:r w:rsidRPr="007B7B99">
        <w:rPr>
          <w:sz w:val="20"/>
          <w:szCs w:val="20"/>
        </w:rPr>
        <w:t>L16: "a TDA network is constructed to represent the microbiome diversity". I don't</w:t>
      </w:r>
      <w:r>
        <w:rPr>
          <w:sz w:val="20"/>
          <w:szCs w:val="20"/>
        </w:rPr>
        <w:t xml:space="preserve"> </w:t>
      </w:r>
      <w:r w:rsidRPr="007B7B99">
        <w:rPr>
          <w:sz w:val="20"/>
          <w:szCs w:val="20"/>
        </w:rPr>
        <w:t>understand it. How this network can represent the diversity?</w:t>
      </w:r>
      <w:r>
        <w:rPr>
          <w:sz w:val="20"/>
          <w:szCs w:val="20"/>
        </w:rPr>
        <w:t xml:space="preserve"> </w:t>
      </w:r>
    </w:p>
    <w:p w:rsidR="007B7B99" w:rsidRDefault="007B7B99" w:rsidP="007B7B99">
      <w:pPr>
        <w:spacing w:after="0" w:line="240" w:lineRule="auto"/>
        <w:rPr>
          <w:sz w:val="20"/>
          <w:szCs w:val="20"/>
        </w:rPr>
      </w:pPr>
    </w:p>
    <w:p w:rsidR="000F55F5" w:rsidRDefault="007B7B99" w:rsidP="007B7B99">
      <w:pPr>
        <w:spacing w:after="0" w:line="240" w:lineRule="auto"/>
        <w:rPr>
          <w:color w:val="4F81BD" w:themeColor="accent1"/>
          <w:sz w:val="20"/>
          <w:szCs w:val="20"/>
        </w:rPr>
      </w:pPr>
      <w:r w:rsidRPr="007B7B99">
        <w:rPr>
          <w:color w:val="4F81BD" w:themeColor="accent1"/>
          <w:sz w:val="20"/>
          <w:szCs w:val="20"/>
        </w:rPr>
        <w:t xml:space="preserve">Response: We apologize for the incorrect use of “microbiome diversity”. We have </w:t>
      </w:r>
      <w:proofErr w:type="gramStart"/>
      <w:r w:rsidRPr="007B7B99">
        <w:rPr>
          <w:color w:val="4F81BD" w:themeColor="accent1"/>
          <w:sz w:val="20"/>
          <w:szCs w:val="20"/>
        </w:rPr>
        <w:t>went</w:t>
      </w:r>
      <w:proofErr w:type="gramEnd"/>
      <w:r w:rsidRPr="007B7B99">
        <w:rPr>
          <w:color w:val="4F81BD" w:themeColor="accent1"/>
          <w:sz w:val="20"/>
          <w:szCs w:val="20"/>
        </w:rPr>
        <w:t xml:space="preserve"> </w:t>
      </w:r>
      <w:r w:rsidRPr="007B7B99">
        <w:rPr>
          <w:color w:val="4F81BD" w:themeColor="accent1"/>
          <w:sz w:val="20"/>
          <w:szCs w:val="20"/>
        </w:rPr>
        <w:t>through our manuscript to check for this incorrectness, and have corrected</w:t>
      </w:r>
      <w:r w:rsidRPr="007B7B99">
        <w:rPr>
          <w:color w:val="4F81BD" w:themeColor="accent1"/>
          <w:sz w:val="20"/>
          <w:szCs w:val="20"/>
        </w:rPr>
        <w:t xml:space="preserve"> </w:t>
      </w:r>
      <w:r w:rsidRPr="007B7B99">
        <w:rPr>
          <w:color w:val="4F81BD" w:themeColor="accent1"/>
          <w:sz w:val="20"/>
          <w:szCs w:val="20"/>
        </w:rPr>
        <w:t xml:space="preserve">“microbiome diversity” to “microbiome </w:t>
      </w:r>
      <w:r w:rsidRPr="007B7B99">
        <w:rPr>
          <w:color w:val="4F81BD" w:themeColor="accent1"/>
          <w:sz w:val="20"/>
          <w:szCs w:val="20"/>
        </w:rPr>
        <w:lastRenderedPageBreak/>
        <w:t>variation” appropriately. Thus, the sentence</w:t>
      </w:r>
      <w:r w:rsidRPr="007B7B99">
        <w:rPr>
          <w:color w:val="4F81BD" w:themeColor="accent1"/>
          <w:sz w:val="20"/>
          <w:szCs w:val="20"/>
        </w:rPr>
        <w:t xml:space="preserve"> </w:t>
      </w:r>
      <w:r w:rsidRPr="007B7B99">
        <w:rPr>
          <w:color w:val="4F81BD" w:themeColor="accent1"/>
          <w:sz w:val="20"/>
          <w:szCs w:val="20"/>
        </w:rPr>
        <w:t>reads as “a TDA network to represent the microbiome variation” (line 18, page 4), in</w:t>
      </w:r>
      <w:r w:rsidRPr="007B7B99">
        <w:rPr>
          <w:color w:val="4F81BD" w:themeColor="accent1"/>
          <w:sz w:val="20"/>
          <w:szCs w:val="20"/>
        </w:rPr>
        <w:t xml:space="preserve"> </w:t>
      </w:r>
      <w:r w:rsidRPr="007B7B99">
        <w:rPr>
          <w:color w:val="4F81BD" w:themeColor="accent1"/>
          <w:sz w:val="20"/>
          <w:szCs w:val="20"/>
        </w:rPr>
        <w:t>which we mean that a TDA network captures the patterns of differences and similarities</w:t>
      </w:r>
      <w:r w:rsidRPr="007B7B99">
        <w:rPr>
          <w:color w:val="4F81BD" w:themeColor="accent1"/>
          <w:sz w:val="20"/>
          <w:szCs w:val="20"/>
        </w:rPr>
        <w:t xml:space="preserve"> </w:t>
      </w:r>
      <w:r w:rsidRPr="007B7B99">
        <w:rPr>
          <w:color w:val="4F81BD" w:themeColor="accent1"/>
          <w:sz w:val="20"/>
          <w:szCs w:val="20"/>
        </w:rPr>
        <w:t>between samples in a high-dimensional microbiome space.</w:t>
      </w:r>
    </w:p>
    <w:p w:rsidR="00302047" w:rsidRDefault="00302047" w:rsidP="007B7B99">
      <w:pPr>
        <w:spacing w:after="0" w:line="240" w:lineRule="auto"/>
        <w:rPr>
          <w:color w:val="4F81BD" w:themeColor="accent1"/>
          <w:sz w:val="20"/>
          <w:szCs w:val="20"/>
        </w:rPr>
      </w:pPr>
    </w:p>
    <w:p w:rsidR="00302047" w:rsidRDefault="00302047" w:rsidP="007B7B99">
      <w:pPr>
        <w:spacing w:after="0" w:line="240" w:lineRule="auto"/>
        <w:rPr>
          <w:b/>
          <w:u w:val="single"/>
        </w:rPr>
      </w:pPr>
      <w:r>
        <w:rPr>
          <w:b/>
          <w:u w:val="single"/>
        </w:rPr>
        <w:t>2</w:t>
      </w:r>
      <w:r w:rsidRPr="00302047">
        <w:rPr>
          <w:b/>
          <w:u w:val="single"/>
          <w:vertAlign w:val="superscript"/>
        </w:rPr>
        <w:t>nd</w:t>
      </w:r>
      <w:r>
        <w:rPr>
          <w:b/>
          <w:u w:val="single"/>
        </w:rPr>
        <w:t xml:space="preserve"> round</w:t>
      </w:r>
    </w:p>
    <w:p w:rsidR="00302047" w:rsidRDefault="00302047" w:rsidP="007B7B99">
      <w:pPr>
        <w:spacing w:after="0" w:line="240" w:lineRule="auto"/>
        <w:rPr>
          <w:b/>
        </w:rPr>
      </w:pPr>
      <w:r>
        <w:rPr>
          <w:b/>
        </w:rPr>
        <w:t>Reviewer 1</w:t>
      </w:r>
    </w:p>
    <w:p w:rsidR="00302047" w:rsidRPr="00302047" w:rsidRDefault="00302047" w:rsidP="007B7B99">
      <w:pPr>
        <w:spacing w:after="0" w:line="240" w:lineRule="auto"/>
        <w:rPr>
          <w:sz w:val="20"/>
          <w:szCs w:val="20"/>
        </w:rPr>
      </w:pPr>
      <w:r w:rsidRPr="00302047">
        <w:rPr>
          <w:sz w:val="20"/>
          <w:szCs w:val="20"/>
        </w:rPr>
        <w:t>All my concerns have been addressed.</w:t>
      </w:r>
    </w:p>
    <w:p w:rsidR="00302047" w:rsidRDefault="00302047" w:rsidP="007B7B99">
      <w:pPr>
        <w:spacing w:after="0" w:line="240" w:lineRule="auto"/>
        <w:rPr>
          <w:color w:val="4F81BD" w:themeColor="accent1"/>
          <w:sz w:val="20"/>
          <w:szCs w:val="20"/>
        </w:rPr>
      </w:pPr>
    </w:p>
    <w:p w:rsidR="00302047" w:rsidRDefault="00302047" w:rsidP="007B7B99">
      <w:pPr>
        <w:spacing w:after="0" w:line="240" w:lineRule="auto"/>
        <w:rPr>
          <w:b/>
        </w:rPr>
      </w:pPr>
      <w:r>
        <w:rPr>
          <w:b/>
        </w:rPr>
        <w:t>Reviewer 2</w:t>
      </w:r>
    </w:p>
    <w:p w:rsidR="00302047" w:rsidRPr="00302047" w:rsidRDefault="00302047" w:rsidP="00302047">
      <w:pPr>
        <w:spacing w:after="0" w:line="240" w:lineRule="auto"/>
        <w:rPr>
          <w:sz w:val="20"/>
          <w:szCs w:val="20"/>
        </w:rPr>
      </w:pPr>
      <w:r w:rsidRPr="00302047">
        <w:rPr>
          <w:sz w:val="20"/>
          <w:szCs w:val="20"/>
        </w:rPr>
        <w:t xml:space="preserve">The authors have significantly improved the manuscript by providing more information on the algorithm and methods. However, there are still a few questions need further clarification. </w:t>
      </w:r>
    </w:p>
    <w:p w:rsidR="00302047" w:rsidRPr="00302047" w:rsidRDefault="00302047" w:rsidP="00302047">
      <w:pPr>
        <w:spacing w:after="0" w:line="240" w:lineRule="auto"/>
        <w:rPr>
          <w:sz w:val="20"/>
          <w:szCs w:val="20"/>
        </w:rPr>
      </w:pPr>
    </w:p>
    <w:p w:rsidR="00302047" w:rsidRPr="00302047" w:rsidRDefault="00302047" w:rsidP="00302047">
      <w:pPr>
        <w:spacing w:after="0" w:line="240" w:lineRule="auto"/>
        <w:rPr>
          <w:sz w:val="20"/>
          <w:szCs w:val="20"/>
        </w:rPr>
      </w:pPr>
      <w:r w:rsidRPr="00302047">
        <w:rPr>
          <w:sz w:val="20"/>
          <w:szCs w:val="20"/>
        </w:rPr>
        <w:t xml:space="preserve">Line7-18 on page 21: As TMAP deals with high-dimensional, complex microbiome data, filter function used only the top two PCs to lower dimension. If the first two PCs can sufficiently capture the variation, the data would not be considered as high dimensional. </w:t>
      </w:r>
    </w:p>
    <w:p w:rsidR="00302047" w:rsidRPr="00302047" w:rsidRDefault="00302047" w:rsidP="00302047">
      <w:pPr>
        <w:spacing w:after="0" w:line="240" w:lineRule="auto"/>
        <w:rPr>
          <w:sz w:val="20"/>
          <w:szCs w:val="20"/>
        </w:rPr>
      </w:pPr>
    </w:p>
    <w:p w:rsidR="00302047" w:rsidRPr="00302047" w:rsidRDefault="00302047" w:rsidP="00302047">
      <w:pPr>
        <w:spacing w:after="0" w:line="240" w:lineRule="auto"/>
        <w:rPr>
          <w:sz w:val="20"/>
          <w:szCs w:val="20"/>
        </w:rPr>
      </w:pPr>
      <w:r w:rsidRPr="00302047">
        <w:rPr>
          <w:sz w:val="20"/>
          <w:szCs w:val="20"/>
        </w:rPr>
        <w:t>“At last, all the PCs were ranked according to these weighted scores, to provide information</w:t>
      </w:r>
    </w:p>
    <w:p w:rsidR="00302047" w:rsidRPr="00302047" w:rsidRDefault="00302047" w:rsidP="00302047">
      <w:pPr>
        <w:spacing w:after="0" w:line="240" w:lineRule="auto"/>
        <w:rPr>
          <w:sz w:val="20"/>
          <w:szCs w:val="20"/>
        </w:rPr>
      </w:pPr>
      <w:proofErr w:type="gramStart"/>
      <w:r w:rsidRPr="00302047">
        <w:rPr>
          <w:sz w:val="20"/>
          <w:szCs w:val="20"/>
        </w:rPr>
        <w:t>on</w:t>
      </w:r>
      <w:proofErr w:type="gramEnd"/>
      <w:r w:rsidRPr="00302047">
        <w:rPr>
          <w:sz w:val="20"/>
          <w:szCs w:val="20"/>
        </w:rPr>
        <w:t xml:space="preserve"> how many and which PCs to select as filters in a final analysis”. But the authors still did not explain how to decide the number of PCs and which PCs to be selected. </w:t>
      </w:r>
    </w:p>
    <w:p w:rsidR="00302047" w:rsidRPr="00302047" w:rsidRDefault="00302047" w:rsidP="00302047">
      <w:pPr>
        <w:spacing w:after="0" w:line="240" w:lineRule="auto"/>
        <w:rPr>
          <w:sz w:val="20"/>
          <w:szCs w:val="20"/>
        </w:rPr>
      </w:pPr>
    </w:p>
    <w:p w:rsidR="00302047" w:rsidRPr="00302047" w:rsidRDefault="00302047" w:rsidP="00302047">
      <w:pPr>
        <w:spacing w:after="0" w:line="240" w:lineRule="auto"/>
        <w:rPr>
          <w:sz w:val="20"/>
          <w:szCs w:val="20"/>
        </w:rPr>
      </w:pPr>
      <w:r w:rsidRPr="00302047">
        <w:rPr>
          <w:sz w:val="20"/>
          <w:szCs w:val="20"/>
        </w:rPr>
        <w:t>Line 20: The robustness comparison was only done for the top 2 PCs. It is still a question whether the performance can be improved if more PCs can be used, particularly in the case of a highly complex microbiome data that the top 2 PCs only explained very small proportion of the variation.</w:t>
      </w:r>
    </w:p>
    <w:p w:rsidR="00302047" w:rsidRPr="00302047" w:rsidRDefault="00302047" w:rsidP="00302047">
      <w:pPr>
        <w:spacing w:after="0" w:line="240" w:lineRule="auto"/>
        <w:rPr>
          <w:sz w:val="20"/>
          <w:szCs w:val="20"/>
        </w:rPr>
      </w:pPr>
    </w:p>
    <w:p w:rsidR="00302047" w:rsidRPr="00302047" w:rsidRDefault="00302047" w:rsidP="00302047">
      <w:pPr>
        <w:spacing w:after="0" w:line="240" w:lineRule="auto"/>
        <w:rPr>
          <w:sz w:val="20"/>
          <w:szCs w:val="20"/>
        </w:rPr>
      </w:pPr>
      <w:proofErr w:type="gramStart"/>
      <w:r w:rsidRPr="00302047">
        <w:rPr>
          <w:sz w:val="20"/>
          <w:szCs w:val="20"/>
        </w:rPr>
        <w:t xml:space="preserve">Line 7 on page 6: “The poor performance of </w:t>
      </w:r>
      <w:proofErr w:type="spellStart"/>
      <w:r w:rsidRPr="00302047">
        <w:rPr>
          <w:sz w:val="20"/>
          <w:szCs w:val="20"/>
        </w:rPr>
        <w:t>envfit</w:t>
      </w:r>
      <w:proofErr w:type="spellEnd"/>
      <w:r w:rsidRPr="00302047">
        <w:rPr>
          <w:sz w:val="20"/>
          <w:szCs w:val="20"/>
        </w:rPr>
        <w:t xml:space="preserve"> and </w:t>
      </w:r>
      <w:proofErr w:type="spellStart"/>
      <w:r w:rsidRPr="00302047">
        <w:rPr>
          <w:sz w:val="20"/>
          <w:szCs w:val="20"/>
        </w:rPr>
        <w:t>adonis</w:t>
      </w:r>
      <w:proofErr w:type="spellEnd"/>
      <w:r w:rsidRPr="00302047">
        <w:rPr>
          <w:sz w:val="20"/>
          <w:szCs w:val="20"/>
        </w:rPr>
        <w:t>”.</w:t>
      </w:r>
      <w:proofErr w:type="gramEnd"/>
      <w:r w:rsidRPr="00302047">
        <w:rPr>
          <w:sz w:val="20"/>
          <w:szCs w:val="20"/>
        </w:rPr>
        <w:t xml:space="preserve"> But the </w:t>
      </w:r>
      <w:proofErr w:type="spellStart"/>
      <w:r w:rsidRPr="00302047">
        <w:rPr>
          <w:sz w:val="20"/>
          <w:szCs w:val="20"/>
        </w:rPr>
        <w:t>performace</w:t>
      </w:r>
      <w:proofErr w:type="spellEnd"/>
      <w:r w:rsidRPr="00302047">
        <w:rPr>
          <w:sz w:val="20"/>
          <w:szCs w:val="20"/>
        </w:rPr>
        <w:t xml:space="preserve"> of </w:t>
      </w:r>
      <w:proofErr w:type="spellStart"/>
      <w:r w:rsidRPr="00302047">
        <w:rPr>
          <w:sz w:val="20"/>
          <w:szCs w:val="20"/>
        </w:rPr>
        <w:t>adonis</w:t>
      </w:r>
      <w:proofErr w:type="spellEnd"/>
      <w:r w:rsidRPr="00302047">
        <w:rPr>
          <w:sz w:val="20"/>
          <w:szCs w:val="20"/>
        </w:rPr>
        <w:t xml:space="preserve"> was not bad. The Line </w:t>
      </w:r>
      <w:proofErr w:type="gramStart"/>
      <w:r w:rsidRPr="00302047">
        <w:rPr>
          <w:sz w:val="20"/>
          <w:szCs w:val="20"/>
        </w:rPr>
        <w:t>6 ”</w:t>
      </w:r>
      <w:proofErr w:type="gramEnd"/>
      <w:r w:rsidRPr="00302047">
        <w:rPr>
          <w:sz w:val="20"/>
          <w:szCs w:val="20"/>
        </w:rPr>
        <w:t xml:space="preserve">Average ROC AUC is 0.89 for </w:t>
      </w:r>
      <w:proofErr w:type="spellStart"/>
      <w:r w:rsidRPr="00302047">
        <w:rPr>
          <w:sz w:val="20"/>
          <w:szCs w:val="20"/>
        </w:rPr>
        <w:t>adonis</w:t>
      </w:r>
      <w:proofErr w:type="spellEnd"/>
      <w:r w:rsidRPr="00302047">
        <w:rPr>
          <w:sz w:val="20"/>
          <w:szCs w:val="20"/>
        </w:rPr>
        <w:t xml:space="preserve">, compared to 0.95 for </w:t>
      </w:r>
      <w:proofErr w:type="spellStart"/>
      <w:r w:rsidRPr="00302047">
        <w:rPr>
          <w:sz w:val="20"/>
          <w:szCs w:val="20"/>
        </w:rPr>
        <w:t>tmap</w:t>
      </w:r>
      <w:proofErr w:type="spellEnd"/>
      <w:r w:rsidRPr="00302047">
        <w:rPr>
          <w:sz w:val="20"/>
          <w:szCs w:val="20"/>
        </w:rPr>
        <w:t xml:space="preserve">, 0.55 for </w:t>
      </w:r>
      <w:proofErr w:type="spellStart"/>
      <w:r w:rsidRPr="00302047">
        <w:rPr>
          <w:sz w:val="20"/>
          <w:szCs w:val="20"/>
        </w:rPr>
        <w:t>envift</w:t>
      </w:r>
      <w:proofErr w:type="spellEnd"/>
      <w:r w:rsidRPr="00302047">
        <w:rPr>
          <w:sz w:val="20"/>
          <w:szCs w:val="20"/>
        </w:rPr>
        <w:t xml:space="preserve"> and 0.63 for ANOSIM. At line 12: “Average ROC AUC was 0.93 for </w:t>
      </w:r>
      <w:proofErr w:type="spellStart"/>
      <w:r w:rsidRPr="00302047">
        <w:rPr>
          <w:sz w:val="20"/>
          <w:szCs w:val="20"/>
        </w:rPr>
        <w:t>adonis</w:t>
      </w:r>
      <w:proofErr w:type="spellEnd"/>
      <w:r w:rsidRPr="00302047">
        <w:rPr>
          <w:sz w:val="20"/>
          <w:szCs w:val="20"/>
        </w:rPr>
        <w:t xml:space="preserve">, compared to 0.98 for </w:t>
      </w:r>
      <w:proofErr w:type="spellStart"/>
      <w:r w:rsidRPr="00302047">
        <w:rPr>
          <w:sz w:val="20"/>
          <w:szCs w:val="20"/>
        </w:rPr>
        <w:t>tmap</w:t>
      </w:r>
      <w:proofErr w:type="spellEnd"/>
      <w:r w:rsidRPr="00302047">
        <w:rPr>
          <w:sz w:val="20"/>
          <w:szCs w:val="20"/>
        </w:rPr>
        <w:t xml:space="preserve">, 0.82 for </w:t>
      </w:r>
      <w:proofErr w:type="spellStart"/>
      <w:r w:rsidRPr="00302047">
        <w:rPr>
          <w:sz w:val="20"/>
          <w:szCs w:val="20"/>
        </w:rPr>
        <w:t>envfit</w:t>
      </w:r>
      <w:proofErr w:type="spellEnd"/>
      <w:r w:rsidRPr="00302047">
        <w:rPr>
          <w:sz w:val="20"/>
          <w:szCs w:val="20"/>
        </w:rPr>
        <w:t xml:space="preserve"> and 0.73 for ANOSIM).</w:t>
      </w:r>
    </w:p>
    <w:p w:rsidR="00302047" w:rsidRPr="00302047" w:rsidRDefault="00302047" w:rsidP="00302047">
      <w:pPr>
        <w:spacing w:after="0" w:line="240" w:lineRule="auto"/>
        <w:rPr>
          <w:sz w:val="20"/>
          <w:szCs w:val="20"/>
        </w:rPr>
      </w:pPr>
    </w:p>
    <w:p w:rsidR="00302047" w:rsidRDefault="00302047" w:rsidP="00302047">
      <w:pPr>
        <w:spacing w:after="0" w:line="240" w:lineRule="auto"/>
        <w:rPr>
          <w:sz w:val="20"/>
          <w:szCs w:val="20"/>
        </w:rPr>
      </w:pPr>
      <w:r w:rsidRPr="00302047">
        <w:rPr>
          <w:sz w:val="20"/>
          <w:szCs w:val="20"/>
        </w:rPr>
        <w:t xml:space="preserve">Based on above comparison, </w:t>
      </w:r>
      <w:proofErr w:type="spellStart"/>
      <w:r w:rsidRPr="00302047">
        <w:rPr>
          <w:sz w:val="20"/>
          <w:szCs w:val="20"/>
        </w:rPr>
        <w:t>enfit</w:t>
      </w:r>
      <w:proofErr w:type="spellEnd"/>
      <w:r w:rsidRPr="00302047">
        <w:rPr>
          <w:sz w:val="20"/>
          <w:szCs w:val="20"/>
        </w:rPr>
        <w:t xml:space="preserve"> had the worst performance. It is strange that authors evaluated the improvement of </w:t>
      </w:r>
      <w:proofErr w:type="spellStart"/>
      <w:r w:rsidRPr="00302047">
        <w:rPr>
          <w:sz w:val="20"/>
          <w:szCs w:val="20"/>
        </w:rPr>
        <w:t>tmap</w:t>
      </w:r>
      <w:proofErr w:type="spellEnd"/>
      <w:r w:rsidRPr="00302047">
        <w:rPr>
          <w:sz w:val="20"/>
          <w:szCs w:val="20"/>
        </w:rPr>
        <w:t xml:space="preserve"> by only comparing it to </w:t>
      </w:r>
      <w:proofErr w:type="spellStart"/>
      <w:r w:rsidRPr="00302047">
        <w:rPr>
          <w:sz w:val="20"/>
          <w:szCs w:val="20"/>
        </w:rPr>
        <w:t>envfit</w:t>
      </w:r>
      <w:proofErr w:type="spellEnd"/>
      <w:r w:rsidRPr="00302047">
        <w:rPr>
          <w:sz w:val="20"/>
          <w:szCs w:val="20"/>
        </w:rPr>
        <w:t xml:space="preserve">. Line 13: “Similar improvement by </w:t>
      </w:r>
      <w:proofErr w:type="spellStart"/>
      <w:r w:rsidRPr="00302047">
        <w:rPr>
          <w:sz w:val="20"/>
          <w:szCs w:val="20"/>
        </w:rPr>
        <w:t>tmap</w:t>
      </w:r>
      <w:proofErr w:type="spellEnd"/>
      <w:r w:rsidRPr="00302047">
        <w:rPr>
          <w:sz w:val="20"/>
          <w:szCs w:val="20"/>
        </w:rPr>
        <w:t xml:space="preserve"> was observed when we varied the number of simulated metadata associated with the microbiome (</w:t>
      </w:r>
      <w:proofErr w:type="spellStart"/>
      <w:r w:rsidRPr="00302047">
        <w:rPr>
          <w:sz w:val="20"/>
          <w:szCs w:val="20"/>
        </w:rPr>
        <w:t>tmap</w:t>
      </w:r>
      <w:proofErr w:type="spellEnd"/>
      <w:r w:rsidRPr="00302047">
        <w:rPr>
          <w:sz w:val="20"/>
          <w:szCs w:val="20"/>
        </w:rPr>
        <w:t xml:space="preserve"> vs. </w:t>
      </w:r>
      <w:proofErr w:type="spellStart"/>
      <w:r w:rsidRPr="00302047">
        <w:rPr>
          <w:sz w:val="20"/>
          <w:szCs w:val="20"/>
        </w:rPr>
        <w:t>envfit</w:t>
      </w:r>
      <w:proofErr w:type="spellEnd"/>
      <w:r w:rsidRPr="00302047">
        <w:rPr>
          <w:sz w:val="20"/>
          <w:szCs w:val="20"/>
        </w:rPr>
        <w:t>, Additional file 2: Fig. S2).</w:t>
      </w:r>
    </w:p>
    <w:p w:rsidR="00302047" w:rsidRDefault="00302047" w:rsidP="00302047">
      <w:pPr>
        <w:spacing w:after="0" w:line="240" w:lineRule="auto"/>
        <w:rPr>
          <w:sz w:val="20"/>
          <w:szCs w:val="20"/>
        </w:rPr>
      </w:pPr>
    </w:p>
    <w:p w:rsidR="00302047" w:rsidRDefault="00302047" w:rsidP="00302047">
      <w:pPr>
        <w:spacing w:after="0" w:line="240" w:lineRule="auto"/>
        <w:rPr>
          <w:b/>
        </w:rPr>
      </w:pPr>
      <w:r>
        <w:rPr>
          <w:b/>
        </w:rPr>
        <w:t>Response to reviewers</w:t>
      </w:r>
    </w:p>
    <w:p w:rsidR="00302047" w:rsidRDefault="00302047" w:rsidP="00302047">
      <w:pPr>
        <w:spacing w:after="0" w:line="240" w:lineRule="auto"/>
        <w:rPr>
          <w:b/>
        </w:rPr>
      </w:pPr>
      <w:r>
        <w:rPr>
          <w:b/>
        </w:rPr>
        <w:t>Reviewer #2</w:t>
      </w:r>
    </w:p>
    <w:p w:rsidR="00302047" w:rsidRDefault="00302047" w:rsidP="00302047">
      <w:pPr>
        <w:spacing w:after="0" w:line="240" w:lineRule="auto"/>
        <w:rPr>
          <w:sz w:val="20"/>
          <w:szCs w:val="20"/>
        </w:rPr>
      </w:pPr>
      <w:r w:rsidRPr="00302047">
        <w:rPr>
          <w:sz w:val="20"/>
          <w:szCs w:val="20"/>
        </w:rPr>
        <w:t>Line7-18 on page 21: As TMAP deals with high-dimensional, complex microbiome</w:t>
      </w:r>
      <w:r>
        <w:rPr>
          <w:sz w:val="20"/>
          <w:szCs w:val="20"/>
        </w:rPr>
        <w:t xml:space="preserve"> </w:t>
      </w:r>
      <w:r w:rsidRPr="00302047">
        <w:rPr>
          <w:sz w:val="20"/>
          <w:szCs w:val="20"/>
        </w:rPr>
        <w:t>data, filter function used only the top two PCs to lower dimension. If the first two PCs</w:t>
      </w:r>
      <w:r>
        <w:rPr>
          <w:sz w:val="20"/>
          <w:szCs w:val="20"/>
        </w:rPr>
        <w:t xml:space="preserve"> </w:t>
      </w:r>
      <w:r w:rsidRPr="00302047">
        <w:rPr>
          <w:sz w:val="20"/>
          <w:szCs w:val="20"/>
        </w:rPr>
        <w:t>can sufficiently capture the variation, the data would not be considered as high</w:t>
      </w:r>
      <w:r>
        <w:rPr>
          <w:sz w:val="20"/>
          <w:szCs w:val="20"/>
        </w:rPr>
        <w:t xml:space="preserve"> </w:t>
      </w:r>
      <w:r w:rsidRPr="00302047">
        <w:rPr>
          <w:sz w:val="20"/>
          <w:szCs w:val="20"/>
        </w:rPr>
        <w:t>dimensional.</w:t>
      </w:r>
    </w:p>
    <w:p w:rsidR="00302047" w:rsidRPr="00302047" w:rsidRDefault="00302047" w:rsidP="00302047">
      <w:pPr>
        <w:spacing w:after="0" w:line="240" w:lineRule="auto"/>
        <w:rPr>
          <w:sz w:val="20"/>
          <w:szCs w:val="20"/>
        </w:rPr>
      </w:pPr>
    </w:p>
    <w:p w:rsidR="00302047" w:rsidRPr="00302047" w:rsidRDefault="00302047" w:rsidP="00302047">
      <w:pPr>
        <w:spacing w:after="0" w:line="240" w:lineRule="auto"/>
        <w:rPr>
          <w:color w:val="4F81BD" w:themeColor="accent1"/>
          <w:sz w:val="20"/>
          <w:szCs w:val="20"/>
        </w:rPr>
      </w:pPr>
      <w:r w:rsidRPr="00302047">
        <w:rPr>
          <w:color w:val="4F81BD" w:themeColor="accent1"/>
          <w:sz w:val="20"/>
          <w:szCs w:val="20"/>
        </w:rPr>
        <w:t>Response: Thank you very much for this comment about capturing microbiome</w:t>
      </w:r>
      <w:r w:rsidRPr="00302047">
        <w:rPr>
          <w:color w:val="4F81BD" w:themeColor="accent1"/>
          <w:sz w:val="20"/>
          <w:szCs w:val="20"/>
        </w:rPr>
        <w:t xml:space="preserve"> </w:t>
      </w:r>
      <w:r w:rsidRPr="00302047">
        <w:rPr>
          <w:color w:val="4F81BD" w:themeColor="accent1"/>
          <w:sz w:val="20"/>
          <w:szCs w:val="20"/>
        </w:rPr>
        <w:t>variations in high dimensional space. We have substantially revised our manuscript to</w:t>
      </w:r>
      <w:r w:rsidRPr="00302047">
        <w:rPr>
          <w:color w:val="4F81BD" w:themeColor="accent1"/>
          <w:sz w:val="20"/>
          <w:szCs w:val="20"/>
        </w:rPr>
        <w:t xml:space="preserve"> </w:t>
      </w:r>
      <w:r w:rsidRPr="00302047">
        <w:rPr>
          <w:color w:val="4F81BD" w:themeColor="accent1"/>
          <w:sz w:val="20"/>
          <w:szCs w:val="20"/>
        </w:rPr>
        <w:t xml:space="preserve">fully demonstrate and discuss the ability of </w:t>
      </w:r>
      <w:proofErr w:type="spellStart"/>
      <w:r w:rsidRPr="00302047">
        <w:rPr>
          <w:color w:val="4F81BD" w:themeColor="accent1"/>
          <w:sz w:val="20"/>
          <w:szCs w:val="20"/>
        </w:rPr>
        <w:t>tmap</w:t>
      </w:r>
      <w:proofErr w:type="spellEnd"/>
      <w:r w:rsidRPr="00302047">
        <w:rPr>
          <w:color w:val="4F81BD" w:themeColor="accent1"/>
          <w:sz w:val="20"/>
          <w:szCs w:val="20"/>
        </w:rPr>
        <w:t xml:space="preserve"> to capture and represent complex</w:t>
      </w:r>
      <w:r w:rsidRPr="00302047">
        <w:rPr>
          <w:color w:val="4F81BD" w:themeColor="accent1"/>
          <w:sz w:val="20"/>
          <w:szCs w:val="20"/>
        </w:rPr>
        <w:t xml:space="preserve"> </w:t>
      </w:r>
      <w:r w:rsidRPr="00302047">
        <w:rPr>
          <w:color w:val="4F81BD" w:themeColor="accent1"/>
          <w:sz w:val="20"/>
          <w:szCs w:val="20"/>
        </w:rPr>
        <w:t>microbiome variations from high dimensional datasets, by the following revisions:</w:t>
      </w:r>
      <w:r w:rsidRPr="00302047">
        <w:rPr>
          <w:color w:val="4F81BD" w:themeColor="accent1"/>
          <w:sz w:val="20"/>
          <w:szCs w:val="20"/>
        </w:rPr>
        <w:t xml:space="preserve"> </w:t>
      </w:r>
    </w:p>
    <w:p w:rsidR="00302047" w:rsidRPr="00302047" w:rsidRDefault="00302047" w:rsidP="00302047">
      <w:pPr>
        <w:spacing w:after="0" w:line="240" w:lineRule="auto"/>
        <w:rPr>
          <w:color w:val="4F81BD" w:themeColor="accent1"/>
          <w:sz w:val="20"/>
          <w:szCs w:val="20"/>
        </w:rPr>
      </w:pPr>
      <w:r w:rsidRPr="00302047">
        <w:rPr>
          <w:color w:val="4F81BD" w:themeColor="accent1"/>
          <w:sz w:val="20"/>
          <w:szCs w:val="20"/>
        </w:rPr>
        <w:t>1.A large proportion of microbiome variance is uncaptured by the first two PCs of</w:t>
      </w:r>
      <w:r w:rsidRPr="00302047">
        <w:rPr>
          <w:color w:val="4F81BD" w:themeColor="accent1"/>
          <w:sz w:val="20"/>
          <w:szCs w:val="20"/>
        </w:rPr>
        <w:t xml:space="preserve"> </w:t>
      </w:r>
      <w:proofErr w:type="spellStart"/>
      <w:r w:rsidRPr="00302047">
        <w:rPr>
          <w:color w:val="4F81BD" w:themeColor="accent1"/>
          <w:sz w:val="20"/>
          <w:szCs w:val="20"/>
        </w:rPr>
        <w:t>PCoA</w:t>
      </w:r>
      <w:proofErr w:type="spellEnd"/>
      <w:r w:rsidRPr="00302047">
        <w:rPr>
          <w:color w:val="4F81BD" w:themeColor="accent1"/>
          <w:sz w:val="20"/>
          <w:szCs w:val="20"/>
        </w:rPr>
        <w:t>, e.g. 67.91%, 87.10% and 80.71% for the FGFP, AGP and EMP datasets,</w:t>
      </w:r>
      <w:r w:rsidRPr="00302047">
        <w:rPr>
          <w:color w:val="4F81BD" w:themeColor="accent1"/>
          <w:sz w:val="20"/>
          <w:szCs w:val="20"/>
        </w:rPr>
        <w:t xml:space="preserve"> </w:t>
      </w:r>
      <w:r w:rsidRPr="00302047">
        <w:rPr>
          <w:color w:val="4F81BD" w:themeColor="accent1"/>
          <w:sz w:val="20"/>
          <w:szCs w:val="20"/>
        </w:rPr>
        <w:t>reflecting the high dimensional nature of their microbiome variations (line 7-11, page</w:t>
      </w:r>
      <w:r w:rsidRPr="00302047">
        <w:rPr>
          <w:color w:val="4F81BD" w:themeColor="accent1"/>
          <w:sz w:val="20"/>
          <w:szCs w:val="20"/>
        </w:rPr>
        <w:t xml:space="preserve"> </w:t>
      </w:r>
      <w:r w:rsidRPr="00302047">
        <w:rPr>
          <w:color w:val="4F81BD" w:themeColor="accent1"/>
          <w:sz w:val="20"/>
          <w:szCs w:val="20"/>
        </w:rPr>
        <w:t xml:space="preserve">12; Additional file 11: Fig. S11). Therefore, methods </w:t>
      </w:r>
      <w:proofErr w:type="gramStart"/>
      <w:r w:rsidRPr="00302047">
        <w:rPr>
          <w:color w:val="4F81BD" w:themeColor="accent1"/>
          <w:sz w:val="20"/>
          <w:szCs w:val="20"/>
        </w:rPr>
        <w:t>that are</w:t>
      </w:r>
      <w:proofErr w:type="gramEnd"/>
      <w:r w:rsidRPr="00302047">
        <w:rPr>
          <w:color w:val="4F81BD" w:themeColor="accent1"/>
          <w:sz w:val="20"/>
          <w:szCs w:val="20"/>
        </w:rPr>
        <w:t xml:space="preserve"> able to</w:t>
      </w:r>
      <w:r w:rsidRPr="00302047">
        <w:rPr>
          <w:color w:val="4F81BD" w:themeColor="accent1"/>
          <w:sz w:val="20"/>
          <w:szCs w:val="20"/>
        </w:rPr>
        <w:t xml:space="preserve"> </w:t>
      </w:r>
      <w:r w:rsidRPr="00302047">
        <w:rPr>
          <w:color w:val="4F81BD" w:themeColor="accent1"/>
          <w:sz w:val="20"/>
          <w:szCs w:val="20"/>
        </w:rPr>
        <w:t>capture these</w:t>
      </w:r>
    </w:p>
    <w:p w:rsidR="00302047" w:rsidRPr="00302047" w:rsidRDefault="00302047" w:rsidP="00302047">
      <w:pPr>
        <w:spacing w:after="0" w:line="240" w:lineRule="auto"/>
        <w:rPr>
          <w:color w:val="4F81BD" w:themeColor="accent1"/>
          <w:sz w:val="20"/>
          <w:szCs w:val="20"/>
        </w:rPr>
      </w:pPr>
      <w:proofErr w:type="gramStart"/>
      <w:r w:rsidRPr="00302047">
        <w:rPr>
          <w:color w:val="4F81BD" w:themeColor="accent1"/>
          <w:sz w:val="20"/>
          <w:szCs w:val="20"/>
        </w:rPr>
        <w:t>remained</w:t>
      </w:r>
      <w:proofErr w:type="gramEnd"/>
      <w:r w:rsidRPr="00302047">
        <w:rPr>
          <w:color w:val="4F81BD" w:themeColor="accent1"/>
          <w:sz w:val="20"/>
          <w:szCs w:val="20"/>
        </w:rPr>
        <w:t xml:space="preserve"> variances for microbiome analysis are necessary.</w:t>
      </w:r>
    </w:p>
    <w:p w:rsidR="00302047" w:rsidRPr="00302047" w:rsidRDefault="00302047" w:rsidP="00302047">
      <w:pPr>
        <w:spacing w:after="0" w:line="240" w:lineRule="auto"/>
        <w:rPr>
          <w:color w:val="4F81BD" w:themeColor="accent1"/>
          <w:sz w:val="20"/>
          <w:szCs w:val="20"/>
        </w:rPr>
      </w:pPr>
      <w:r w:rsidRPr="00302047">
        <w:rPr>
          <w:color w:val="4F81BD" w:themeColor="accent1"/>
          <w:sz w:val="20"/>
          <w:szCs w:val="20"/>
        </w:rPr>
        <w:t xml:space="preserve">2 </w:t>
      </w:r>
      <w:r w:rsidRPr="00302047">
        <w:rPr>
          <w:color w:val="4F81BD" w:themeColor="accent1"/>
          <w:sz w:val="20"/>
          <w:szCs w:val="20"/>
        </w:rPr>
        <w:t xml:space="preserve">.We showed that </w:t>
      </w:r>
      <w:proofErr w:type="spellStart"/>
      <w:r w:rsidRPr="00302047">
        <w:rPr>
          <w:color w:val="4F81BD" w:themeColor="accent1"/>
          <w:sz w:val="20"/>
          <w:szCs w:val="20"/>
        </w:rPr>
        <w:t>tmap</w:t>
      </w:r>
      <w:proofErr w:type="spellEnd"/>
      <w:r w:rsidRPr="00302047">
        <w:rPr>
          <w:color w:val="4F81BD" w:themeColor="accent1"/>
          <w:sz w:val="20"/>
          <w:szCs w:val="20"/>
        </w:rPr>
        <w:t xml:space="preserve"> is able to recover microbiome variations from the original high</w:t>
      </w:r>
      <w:r w:rsidRPr="00302047">
        <w:rPr>
          <w:color w:val="4F81BD" w:themeColor="accent1"/>
          <w:sz w:val="20"/>
          <w:szCs w:val="20"/>
        </w:rPr>
        <w:t xml:space="preserve"> </w:t>
      </w:r>
      <w:r w:rsidRPr="00302047">
        <w:rPr>
          <w:color w:val="4F81BD" w:themeColor="accent1"/>
          <w:sz w:val="20"/>
          <w:szCs w:val="20"/>
        </w:rPr>
        <w:t>dimensional space, even though they might be lost by the filters using dimension</w:t>
      </w:r>
      <w:r w:rsidRPr="00302047">
        <w:rPr>
          <w:color w:val="4F81BD" w:themeColor="accent1"/>
          <w:sz w:val="20"/>
          <w:szCs w:val="20"/>
        </w:rPr>
        <w:t xml:space="preserve"> </w:t>
      </w:r>
      <w:r w:rsidRPr="00302047">
        <w:rPr>
          <w:color w:val="4F81BD" w:themeColor="accent1"/>
          <w:sz w:val="20"/>
          <w:szCs w:val="20"/>
        </w:rPr>
        <w:t>reduction methods (added Methods: line 19-28, page 22; line 1-23, page 23; added</w:t>
      </w:r>
      <w:r w:rsidRPr="00302047">
        <w:rPr>
          <w:color w:val="4F81BD" w:themeColor="accent1"/>
          <w:sz w:val="20"/>
          <w:szCs w:val="20"/>
        </w:rPr>
        <w:t xml:space="preserve"> </w:t>
      </w:r>
      <w:r w:rsidRPr="00302047">
        <w:rPr>
          <w:color w:val="4F81BD" w:themeColor="accent1"/>
          <w:sz w:val="20"/>
          <w:szCs w:val="20"/>
        </w:rPr>
        <w:t xml:space="preserve">Discussion: line 12-21, page 12; Additional file 15: Fig. S15). Significant </w:t>
      </w:r>
      <w:proofErr w:type="gramStart"/>
      <w:r w:rsidRPr="00302047">
        <w:rPr>
          <w:color w:val="4F81BD" w:themeColor="accent1"/>
          <w:sz w:val="20"/>
          <w:szCs w:val="20"/>
        </w:rPr>
        <w:t>improvement</w:t>
      </w:r>
      <w:r w:rsidRPr="00302047">
        <w:rPr>
          <w:color w:val="4F81BD" w:themeColor="accent1"/>
          <w:sz w:val="20"/>
          <w:szCs w:val="20"/>
        </w:rPr>
        <w:t xml:space="preserve"> </w:t>
      </w:r>
      <w:r w:rsidRPr="00302047">
        <w:rPr>
          <w:color w:val="4F81BD" w:themeColor="accent1"/>
          <w:sz w:val="20"/>
          <w:szCs w:val="20"/>
        </w:rPr>
        <w:t xml:space="preserve">of </w:t>
      </w:r>
      <w:proofErr w:type="spellStart"/>
      <w:r w:rsidRPr="00302047">
        <w:rPr>
          <w:color w:val="4F81BD" w:themeColor="accent1"/>
          <w:sz w:val="20"/>
          <w:szCs w:val="20"/>
        </w:rPr>
        <w:t>tmap</w:t>
      </w:r>
      <w:proofErr w:type="spellEnd"/>
      <w:r w:rsidRPr="00302047">
        <w:rPr>
          <w:color w:val="4F81BD" w:themeColor="accent1"/>
          <w:sz w:val="20"/>
          <w:szCs w:val="20"/>
        </w:rPr>
        <w:t xml:space="preserve"> in representing original microbiome variations than low dimensional projection</w:t>
      </w:r>
      <w:r w:rsidRPr="00302047">
        <w:rPr>
          <w:color w:val="4F81BD" w:themeColor="accent1"/>
          <w:sz w:val="20"/>
          <w:szCs w:val="20"/>
        </w:rPr>
        <w:t xml:space="preserve"> </w:t>
      </w:r>
      <w:r w:rsidRPr="00302047">
        <w:rPr>
          <w:color w:val="4F81BD" w:themeColor="accent1"/>
          <w:sz w:val="20"/>
          <w:szCs w:val="20"/>
        </w:rPr>
        <w:t>space were</w:t>
      </w:r>
      <w:proofErr w:type="gramEnd"/>
      <w:r w:rsidRPr="00302047">
        <w:rPr>
          <w:color w:val="4F81BD" w:themeColor="accent1"/>
          <w:sz w:val="20"/>
          <w:szCs w:val="20"/>
        </w:rPr>
        <w:t xml:space="preserve"> shown for different methods and datasets (Additional file 16: Fig. S16,</w:t>
      </w:r>
      <w:r w:rsidRPr="00302047">
        <w:rPr>
          <w:color w:val="4F81BD" w:themeColor="accent1"/>
          <w:sz w:val="20"/>
          <w:szCs w:val="20"/>
        </w:rPr>
        <w:t xml:space="preserve"> </w:t>
      </w:r>
      <w:r w:rsidRPr="00302047">
        <w:rPr>
          <w:color w:val="4F81BD" w:themeColor="accent1"/>
          <w:sz w:val="20"/>
          <w:szCs w:val="20"/>
        </w:rPr>
        <w:t xml:space="preserve">Additional file 17: Fig. </w:t>
      </w:r>
      <w:proofErr w:type="gramStart"/>
      <w:r w:rsidRPr="00302047">
        <w:rPr>
          <w:color w:val="4F81BD" w:themeColor="accent1"/>
          <w:sz w:val="20"/>
          <w:szCs w:val="20"/>
        </w:rPr>
        <w:t>S17) in our revised manuscript.</w:t>
      </w:r>
      <w:proofErr w:type="gramEnd"/>
    </w:p>
    <w:p w:rsidR="00302047" w:rsidRPr="00302047" w:rsidRDefault="00302047" w:rsidP="00302047">
      <w:pPr>
        <w:spacing w:after="0" w:line="240" w:lineRule="auto"/>
        <w:rPr>
          <w:color w:val="4F81BD" w:themeColor="accent1"/>
          <w:sz w:val="20"/>
          <w:szCs w:val="20"/>
        </w:rPr>
      </w:pPr>
      <w:proofErr w:type="gramStart"/>
      <w:r w:rsidRPr="00302047">
        <w:rPr>
          <w:color w:val="4F81BD" w:themeColor="accent1"/>
          <w:sz w:val="20"/>
          <w:szCs w:val="20"/>
        </w:rPr>
        <w:t>3.We</w:t>
      </w:r>
      <w:proofErr w:type="gramEnd"/>
      <w:r w:rsidRPr="00302047">
        <w:rPr>
          <w:color w:val="4F81BD" w:themeColor="accent1"/>
          <w:sz w:val="20"/>
          <w:szCs w:val="20"/>
        </w:rPr>
        <w:t xml:space="preserve"> further showed that </w:t>
      </w:r>
      <w:proofErr w:type="spellStart"/>
      <w:r w:rsidRPr="00302047">
        <w:rPr>
          <w:color w:val="4F81BD" w:themeColor="accent1"/>
          <w:sz w:val="20"/>
          <w:szCs w:val="20"/>
        </w:rPr>
        <w:t>tmap</w:t>
      </w:r>
      <w:proofErr w:type="spellEnd"/>
      <w:r w:rsidRPr="00302047">
        <w:rPr>
          <w:color w:val="4F81BD" w:themeColor="accent1"/>
          <w:sz w:val="20"/>
          <w:szCs w:val="20"/>
        </w:rPr>
        <w:t xml:space="preserve"> is robust to the number of PCs used as filters in</w:t>
      </w:r>
      <w:r w:rsidRPr="00302047">
        <w:rPr>
          <w:color w:val="4F81BD" w:themeColor="accent1"/>
          <w:sz w:val="20"/>
          <w:szCs w:val="20"/>
        </w:rPr>
        <w:t xml:space="preserve"> </w:t>
      </w:r>
      <w:r w:rsidRPr="00302047">
        <w:rPr>
          <w:color w:val="4F81BD" w:themeColor="accent1"/>
          <w:sz w:val="20"/>
          <w:szCs w:val="20"/>
        </w:rPr>
        <w:t>capturing the original high dimensional distance information (</w:t>
      </w:r>
      <w:proofErr w:type="spellStart"/>
      <w:r w:rsidRPr="00302047">
        <w:rPr>
          <w:color w:val="4F81BD" w:themeColor="accent1"/>
          <w:sz w:val="20"/>
          <w:szCs w:val="20"/>
        </w:rPr>
        <w:t>tmap</w:t>
      </w:r>
      <w:proofErr w:type="spellEnd"/>
      <w:r w:rsidRPr="00302047">
        <w:rPr>
          <w:color w:val="4F81BD" w:themeColor="accent1"/>
          <w:sz w:val="20"/>
          <w:szCs w:val="20"/>
        </w:rPr>
        <w:t xml:space="preserve"> vs projection space,</w:t>
      </w:r>
      <w:r w:rsidRPr="00302047">
        <w:rPr>
          <w:color w:val="4F81BD" w:themeColor="accent1"/>
          <w:sz w:val="20"/>
          <w:szCs w:val="20"/>
        </w:rPr>
        <w:t xml:space="preserve"> </w:t>
      </w:r>
      <w:r w:rsidRPr="00302047">
        <w:rPr>
          <w:color w:val="4F81BD" w:themeColor="accent1"/>
          <w:sz w:val="20"/>
          <w:szCs w:val="20"/>
        </w:rPr>
        <w:t xml:space="preserve">regression R2 of 0.640.10 vs 0.460.14, Additional </w:t>
      </w:r>
      <w:r w:rsidRPr="00302047">
        <w:rPr>
          <w:color w:val="4F81BD" w:themeColor="accent1"/>
          <w:sz w:val="20"/>
          <w:szCs w:val="20"/>
        </w:rPr>
        <w:lastRenderedPageBreak/>
        <w:t>file 17: Fig. S17, line 22-28, page 12;</w:t>
      </w:r>
      <w:r w:rsidRPr="00302047">
        <w:rPr>
          <w:color w:val="4F81BD" w:themeColor="accent1"/>
          <w:sz w:val="20"/>
          <w:szCs w:val="20"/>
        </w:rPr>
        <w:t xml:space="preserve"> </w:t>
      </w:r>
      <w:r w:rsidRPr="00302047">
        <w:rPr>
          <w:color w:val="4F81BD" w:themeColor="accent1"/>
          <w:sz w:val="20"/>
          <w:szCs w:val="20"/>
        </w:rPr>
        <w:t xml:space="preserve">line 1-8, page 13). Therefore </w:t>
      </w:r>
      <w:proofErr w:type="spellStart"/>
      <w:r w:rsidRPr="00302047">
        <w:rPr>
          <w:color w:val="4F81BD" w:themeColor="accent1"/>
          <w:sz w:val="20"/>
          <w:szCs w:val="20"/>
        </w:rPr>
        <w:t>tmap</w:t>
      </w:r>
      <w:proofErr w:type="spellEnd"/>
      <w:r w:rsidRPr="00302047">
        <w:rPr>
          <w:color w:val="4F81BD" w:themeColor="accent1"/>
          <w:sz w:val="20"/>
          <w:szCs w:val="20"/>
        </w:rPr>
        <w:t xml:space="preserve"> is able to capture high dimensional microbiome</w:t>
      </w:r>
      <w:r w:rsidRPr="00302047">
        <w:rPr>
          <w:color w:val="4F81BD" w:themeColor="accent1"/>
          <w:sz w:val="20"/>
          <w:szCs w:val="20"/>
        </w:rPr>
        <w:t xml:space="preserve"> </w:t>
      </w:r>
      <w:r w:rsidRPr="00302047">
        <w:rPr>
          <w:color w:val="4F81BD" w:themeColor="accent1"/>
          <w:sz w:val="20"/>
          <w:szCs w:val="20"/>
        </w:rPr>
        <w:t>variations even though only two PCs is used as filters, enabled by its clustering step</w:t>
      </w:r>
      <w:r w:rsidRPr="00302047">
        <w:rPr>
          <w:color w:val="4F81BD" w:themeColor="accent1"/>
          <w:sz w:val="20"/>
          <w:szCs w:val="20"/>
        </w:rPr>
        <w:t xml:space="preserve"> </w:t>
      </w:r>
      <w:r w:rsidRPr="00302047">
        <w:rPr>
          <w:color w:val="4F81BD" w:themeColor="accent1"/>
          <w:sz w:val="20"/>
          <w:szCs w:val="20"/>
        </w:rPr>
        <w:t>and network representation.</w:t>
      </w:r>
    </w:p>
    <w:p w:rsidR="00302047" w:rsidRPr="00302047" w:rsidRDefault="00302047" w:rsidP="00302047">
      <w:pPr>
        <w:spacing w:after="0" w:line="240" w:lineRule="auto"/>
        <w:rPr>
          <w:color w:val="4F81BD" w:themeColor="accent1"/>
          <w:sz w:val="20"/>
          <w:szCs w:val="20"/>
        </w:rPr>
      </w:pPr>
      <w:r w:rsidRPr="00302047">
        <w:rPr>
          <w:color w:val="4F81BD" w:themeColor="accent1"/>
          <w:sz w:val="20"/>
          <w:szCs w:val="20"/>
        </w:rPr>
        <w:t>With these added Methods, Discussion and new supplementary figures, we believe</w:t>
      </w:r>
      <w:r w:rsidRPr="00302047">
        <w:rPr>
          <w:color w:val="4F81BD" w:themeColor="accent1"/>
          <w:sz w:val="20"/>
          <w:szCs w:val="20"/>
        </w:rPr>
        <w:t xml:space="preserve"> </w:t>
      </w:r>
      <w:r w:rsidRPr="00302047">
        <w:rPr>
          <w:color w:val="4F81BD" w:themeColor="accent1"/>
          <w:sz w:val="20"/>
          <w:szCs w:val="20"/>
        </w:rPr>
        <w:t xml:space="preserve">that the ability of </w:t>
      </w:r>
      <w:proofErr w:type="spellStart"/>
      <w:r w:rsidRPr="00302047">
        <w:rPr>
          <w:color w:val="4F81BD" w:themeColor="accent1"/>
          <w:sz w:val="20"/>
          <w:szCs w:val="20"/>
        </w:rPr>
        <w:t>tmap</w:t>
      </w:r>
      <w:proofErr w:type="spellEnd"/>
      <w:r w:rsidRPr="00302047">
        <w:rPr>
          <w:color w:val="4F81BD" w:themeColor="accent1"/>
          <w:sz w:val="20"/>
          <w:szCs w:val="20"/>
        </w:rPr>
        <w:t xml:space="preserve"> to </w:t>
      </w:r>
      <w:proofErr w:type="spellStart"/>
      <w:r w:rsidRPr="00302047">
        <w:rPr>
          <w:color w:val="4F81BD" w:themeColor="accent1"/>
          <w:sz w:val="20"/>
          <w:szCs w:val="20"/>
        </w:rPr>
        <w:t>analyze</w:t>
      </w:r>
      <w:proofErr w:type="spellEnd"/>
      <w:r w:rsidRPr="00302047">
        <w:rPr>
          <w:color w:val="4F81BD" w:themeColor="accent1"/>
          <w:sz w:val="20"/>
          <w:szCs w:val="20"/>
        </w:rPr>
        <w:t xml:space="preserve"> complex and high dimensional datasets is promising</w:t>
      </w:r>
      <w:r w:rsidRPr="00302047">
        <w:rPr>
          <w:color w:val="4F81BD" w:themeColor="accent1"/>
          <w:sz w:val="20"/>
          <w:szCs w:val="20"/>
        </w:rPr>
        <w:t xml:space="preserve"> </w:t>
      </w:r>
      <w:r w:rsidRPr="00302047">
        <w:rPr>
          <w:color w:val="4F81BD" w:themeColor="accent1"/>
          <w:sz w:val="20"/>
          <w:szCs w:val="20"/>
        </w:rPr>
        <w:t>for large-scale microbiome studies, especially in comparison with currently available</w:t>
      </w:r>
      <w:r w:rsidRPr="00302047">
        <w:rPr>
          <w:color w:val="4F81BD" w:themeColor="accent1"/>
          <w:sz w:val="20"/>
          <w:szCs w:val="20"/>
        </w:rPr>
        <w:t xml:space="preserve"> </w:t>
      </w:r>
      <w:r w:rsidRPr="00302047">
        <w:rPr>
          <w:color w:val="4F81BD" w:themeColor="accent1"/>
          <w:sz w:val="20"/>
          <w:szCs w:val="20"/>
        </w:rPr>
        <w:t>dimeson reduction methods.</w:t>
      </w:r>
    </w:p>
    <w:p w:rsidR="00302047" w:rsidRDefault="00302047" w:rsidP="00302047">
      <w:pPr>
        <w:spacing w:after="0" w:line="240" w:lineRule="auto"/>
        <w:rPr>
          <w:sz w:val="20"/>
          <w:szCs w:val="20"/>
        </w:rPr>
      </w:pPr>
    </w:p>
    <w:p w:rsidR="00302047" w:rsidRDefault="00302047" w:rsidP="00302047">
      <w:pPr>
        <w:spacing w:after="0" w:line="240" w:lineRule="auto"/>
        <w:rPr>
          <w:sz w:val="20"/>
          <w:szCs w:val="20"/>
        </w:rPr>
      </w:pPr>
      <w:r w:rsidRPr="00302047">
        <w:rPr>
          <w:sz w:val="20"/>
          <w:szCs w:val="20"/>
        </w:rPr>
        <w:t>“At last, all the PCs were ranked according to these weighted scores, to provide</w:t>
      </w:r>
      <w:r>
        <w:rPr>
          <w:sz w:val="20"/>
          <w:szCs w:val="20"/>
        </w:rPr>
        <w:t xml:space="preserve"> </w:t>
      </w:r>
      <w:r w:rsidRPr="00302047">
        <w:rPr>
          <w:sz w:val="20"/>
          <w:szCs w:val="20"/>
        </w:rPr>
        <w:t>information</w:t>
      </w:r>
      <w:r>
        <w:rPr>
          <w:sz w:val="20"/>
          <w:szCs w:val="20"/>
        </w:rPr>
        <w:t xml:space="preserve"> </w:t>
      </w:r>
      <w:r w:rsidRPr="00302047">
        <w:rPr>
          <w:sz w:val="20"/>
          <w:szCs w:val="20"/>
        </w:rPr>
        <w:t xml:space="preserve">on how many and which PCs to select as </w:t>
      </w:r>
      <w:proofErr w:type="gramStart"/>
      <w:r w:rsidRPr="00302047">
        <w:rPr>
          <w:sz w:val="20"/>
          <w:szCs w:val="20"/>
        </w:rPr>
        <w:t>filters</w:t>
      </w:r>
      <w:proofErr w:type="gramEnd"/>
      <w:r w:rsidRPr="00302047">
        <w:rPr>
          <w:sz w:val="20"/>
          <w:szCs w:val="20"/>
        </w:rPr>
        <w:t xml:space="preserve"> in a final analysis”. But the authors still</w:t>
      </w:r>
      <w:r>
        <w:rPr>
          <w:sz w:val="20"/>
          <w:szCs w:val="20"/>
        </w:rPr>
        <w:t xml:space="preserve"> </w:t>
      </w:r>
      <w:r w:rsidRPr="00302047">
        <w:rPr>
          <w:sz w:val="20"/>
          <w:szCs w:val="20"/>
        </w:rPr>
        <w:t>did not explain how to decide the number of PCs and which PCs to be selected.</w:t>
      </w:r>
    </w:p>
    <w:p w:rsidR="00302047" w:rsidRPr="00302047" w:rsidRDefault="00302047" w:rsidP="00302047">
      <w:pPr>
        <w:spacing w:after="0" w:line="240" w:lineRule="auto"/>
        <w:rPr>
          <w:sz w:val="20"/>
          <w:szCs w:val="20"/>
        </w:rPr>
      </w:pPr>
    </w:p>
    <w:p w:rsidR="00302047" w:rsidRPr="00302047" w:rsidRDefault="00302047" w:rsidP="00302047">
      <w:pPr>
        <w:spacing w:after="0" w:line="240" w:lineRule="auto"/>
        <w:rPr>
          <w:color w:val="4F81BD" w:themeColor="accent1"/>
          <w:sz w:val="20"/>
          <w:szCs w:val="20"/>
        </w:rPr>
      </w:pPr>
      <w:r w:rsidRPr="00302047">
        <w:rPr>
          <w:color w:val="4F81BD" w:themeColor="accent1"/>
          <w:sz w:val="20"/>
          <w:szCs w:val="20"/>
        </w:rPr>
        <w:t>Response: We have added a revised workflow (Additional file 18: Fig. S18) for the</w:t>
      </w:r>
      <w:r w:rsidRPr="00302047">
        <w:rPr>
          <w:color w:val="4F81BD" w:themeColor="accent1"/>
          <w:sz w:val="20"/>
          <w:szCs w:val="20"/>
        </w:rPr>
        <w:t xml:space="preserve"> </w:t>
      </w:r>
      <w:r w:rsidRPr="00302047">
        <w:rPr>
          <w:color w:val="4F81BD" w:themeColor="accent1"/>
          <w:sz w:val="20"/>
          <w:szCs w:val="20"/>
        </w:rPr>
        <w:t>evaluation and selection of the most suitable PCs as filters, in the case that a chosen</w:t>
      </w:r>
      <w:r w:rsidRPr="00302047">
        <w:rPr>
          <w:color w:val="4F81BD" w:themeColor="accent1"/>
          <w:sz w:val="20"/>
          <w:szCs w:val="20"/>
        </w:rPr>
        <w:t xml:space="preserve"> </w:t>
      </w:r>
      <w:r w:rsidRPr="00302047">
        <w:rPr>
          <w:color w:val="4F81BD" w:themeColor="accent1"/>
          <w:sz w:val="20"/>
          <w:szCs w:val="20"/>
        </w:rPr>
        <w:t>set of target variables (metadata or microbiome features) are of interest. We believe</w:t>
      </w:r>
      <w:r w:rsidRPr="00302047">
        <w:rPr>
          <w:color w:val="4F81BD" w:themeColor="accent1"/>
          <w:sz w:val="20"/>
          <w:szCs w:val="20"/>
        </w:rPr>
        <w:t xml:space="preserve"> </w:t>
      </w:r>
      <w:r w:rsidRPr="00302047">
        <w:rPr>
          <w:color w:val="4F81BD" w:themeColor="accent1"/>
          <w:sz w:val="20"/>
          <w:szCs w:val="20"/>
        </w:rPr>
        <w:t xml:space="preserve">that the revision (line 9-17, page 13, </w:t>
      </w:r>
      <w:proofErr w:type="gramStart"/>
      <w:r w:rsidRPr="00302047">
        <w:rPr>
          <w:color w:val="4F81BD" w:themeColor="accent1"/>
          <w:sz w:val="20"/>
          <w:szCs w:val="20"/>
        </w:rPr>
        <w:t>Additional</w:t>
      </w:r>
      <w:proofErr w:type="gramEnd"/>
      <w:r w:rsidRPr="00302047">
        <w:rPr>
          <w:color w:val="4F81BD" w:themeColor="accent1"/>
          <w:sz w:val="20"/>
          <w:szCs w:val="20"/>
        </w:rPr>
        <w:t xml:space="preserve"> file 18: Fig. S18) now clearly explain</w:t>
      </w:r>
      <w:r w:rsidRPr="00302047">
        <w:rPr>
          <w:color w:val="4F81BD" w:themeColor="accent1"/>
          <w:sz w:val="20"/>
          <w:szCs w:val="20"/>
        </w:rPr>
        <w:t xml:space="preserve"> </w:t>
      </w:r>
      <w:r w:rsidRPr="00302047">
        <w:rPr>
          <w:color w:val="4F81BD" w:themeColor="accent1"/>
          <w:sz w:val="20"/>
          <w:szCs w:val="20"/>
        </w:rPr>
        <w:t>how to decide the number of PCs and which PCs to be selected as filters to optimize a</w:t>
      </w:r>
      <w:r w:rsidRPr="00302047">
        <w:rPr>
          <w:color w:val="4F81BD" w:themeColor="accent1"/>
          <w:sz w:val="20"/>
          <w:szCs w:val="20"/>
        </w:rPr>
        <w:t xml:space="preserve"> </w:t>
      </w:r>
      <w:r w:rsidRPr="00302047">
        <w:rPr>
          <w:color w:val="4F81BD" w:themeColor="accent1"/>
          <w:sz w:val="20"/>
          <w:szCs w:val="20"/>
        </w:rPr>
        <w:t>TDA network according to the chosen target variables. As a result, given different</w:t>
      </w:r>
      <w:r w:rsidRPr="00302047">
        <w:rPr>
          <w:color w:val="4F81BD" w:themeColor="accent1"/>
          <w:sz w:val="20"/>
          <w:szCs w:val="20"/>
        </w:rPr>
        <w:t xml:space="preserve"> </w:t>
      </w:r>
      <w:r w:rsidRPr="00302047">
        <w:rPr>
          <w:color w:val="4F81BD" w:themeColor="accent1"/>
          <w:sz w:val="20"/>
          <w:szCs w:val="20"/>
        </w:rPr>
        <w:t>target variables of interest, different PCs may be selected as the most informative</w:t>
      </w:r>
      <w:r w:rsidRPr="00302047">
        <w:rPr>
          <w:color w:val="4F81BD" w:themeColor="accent1"/>
          <w:sz w:val="20"/>
          <w:szCs w:val="20"/>
        </w:rPr>
        <w:t xml:space="preserve"> </w:t>
      </w:r>
      <w:r w:rsidRPr="00302047">
        <w:rPr>
          <w:color w:val="4F81BD" w:themeColor="accent1"/>
          <w:sz w:val="20"/>
          <w:szCs w:val="20"/>
        </w:rPr>
        <w:t xml:space="preserve">filters (e.g. PC 8, 3 for </w:t>
      </w:r>
      <w:proofErr w:type="spellStart"/>
      <w:r w:rsidRPr="00302047">
        <w:rPr>
          <w:color w:val="4F81BD" w:themeColor="accent1"/>
          <w:sz w:val="20"/>
          <w:szCs w:val="20"/>
        </w:rPr>
        <w:t>Hemoglobin</w:t>
      </w:r>
      <w:proofErr w:type="spellEnd"/>
      <w:r w:rsidRPr="00302047">
        <w:rPr>
          <w:color w:val="4F81BD" w:themeColor="accent1"/>
          <w:sz w:val="20"/>
          <w:szCs w:val="20"/>
        </w:rPr>
        <w:t xml:space="preserve"> and PC 1, 2 for BSS in the FGFP dataset).</w:t>
      </w:r>
    </w:p>
    <w:p w:rsidR="00302047" w:rsidRPr="00302047" w:rsidRDefault="00302047" w:rsidP="00302047">
      <w:pPr>
        <w:spacing w:after="0" w:line="240" w:lineRule="auto"/>
        <w:rPr>
          <w:sz w:val="20"/>
          <w:szCs w:val="20"/>
        </w:rPr>
      </w:pPr>
    </w:p>
    <w:p w:rsidR="00302047" w:rsidRDefault="00302047" w:rsidP="00302047">
      <w:pPr>
        <w:spacing w:after="0" w:line="240" w:lineRule="auto"/>
        <w:rPr>
          <w:sz w:val="20"/>
          <w:szCs w:val="20"/>
        </w:rPr>
      </w:pPr>
      <w:r w:rsidRPr="00302047">
        <w:rPr>
          <w:sz w:val="20"/>
          <w:szCs w:val="20"/>
        </w:rPr>
        <w:t>Line 20: The robustness comparison was only done for the top 2 PCs. It is still a</w:t>
      </w:r>
      <w:r>
        <w:rPr>
          <w:sz w:val="20"/>
          <w:szCs w:val="20"/>
        </w:rPr>
        <w:t xml:space="preserve"> </w:t>
      </w:r>
      <w:r w:rsidRPr="00302047">
        <w:rPr>
          <w:sz w:val="20"/>
          <w:szCs w:val="20"/>
        </w:rPr>
        <w:t>question whether the performance can be improved if more PCs can be used,</w:t>
      </w:r>
      <w:r>
        <w:rPr>
          <w:sz w:val="20"/>
          <w:szCs w:val="20"/>
        </w:rPr>
        <w:t xml:space="preserve"> </w:t>
      </w:r>
      <w:r w:rsidRPr="00302047">
        <w:rPr>
          <w:sz w:val="20"/>
          <w:szCs w:val="20"/>
        </w:rPr>
        <w:t>particularly in the case of a highly complex microbiome data that the top 2 PCs only</w:t>
      </w:r>
      <w:r>
        <w:rPr>
          <w:sz w:val="20"/>
          <w:szCs w:val="20"/>
        </w:rPr>
        <w:t xml:space="preserve"> </w:t>
      </w:r>
      <w:r w:rsidRPr="00302047">
        <w:rPr>
          <w:sz w:val="20"/>
          <w:szCs w:val="20"/>
        </w:rPr>
        <w:t>explained very small proportion of the variation.</w:t>
      </w:r>
    </w:p>
    <w:p w:rsidR="00302047" w:rsidRPr="00302047" w:rsidRDefault="00302047" w:rsidP="00302047">
      <w:pPr>
        <w:spacing w:after="0" w:line="240" w:lineRule="auto"/>
        <w:rPr>
          <w:sz w:val="20"/>
          <w:szCs w:val="20"/>
        </w:rPr>
      </w:pPr>
    </w:p>
    <w:p w:rsidR="00302047" w:rsidRPr="00302047" w:rsidRDefault="00302047" w:rsidP="00302047">
      <w:pPr>
        <w:spacing w:after="0" w:line="240" w:lineRule="auto"/>
        <w:rPr>
          <w:color w:val="4F81BD" w:themeColor="accent1"/>
          <w:sz w:val="20"/>
          <w:szCs w:val="20"/>
        </w:rPr>
      </w:pPr>
      <w:r w:rsidRPr="00302047">
        <w:rPr>
          <w:color w:val="4F81BD" w:themeColor="accent1"/>
          <w:sz w:val="20"/>
          <w:szCs w:val="20"/>
        </w:rPr>
        <w:t xml:space="preserve">Response: We have included more PCs (up to 4 PCs) for </w:t>
      </w:r>
      <w:proofErr w:type="spellStart"/>
      <w:r w:rsidRPr="00302047">
        <w:rPr>
          <w:color w:val="4F81BD" w:themeColor="accent1"/>
          <w:sz w:val="20"/>
          <w:szCs w:val="20"/>
        </w:rPr>
        <w:t>tmap</w:t>
      </w:r>
      <w:proofErr w:type="spellEnd"/>
      <w:r w:rsidRPr="00302047">
        <w:rPr>
          <w:color w:val="4F81BD" w:themeColor="accent1"/>
          <w:sz w:val="20"/>
          <w:szCs w:val="20"/>
        </w:rPr>
        <w:t xml:space="preserve"> analysis when using</w:t>
      </w:r>
      <w:r w:rsidRPr="00302047">
        <w:rPr>
          <w:color w:val="4F81BD" w:themeColor="accent1"/>
          <w:sz w:val="20"/>
          <w:szCs w:val="20"/>
        </w:rPr>
        <w:t xml:space="preserve"> </w:t>
      </w:r>
      <w:r w:rsidRPr="00302047">
        <w:rPr>
          <w:color w:val="4F81BD" w:themeColor="accent1"/>
          <w:sz w:val="20"/>
          <w:szCs w:val="20"/>
        </w:rPr>
        <w:t>different dimension reduction methods as filters. Although improved regression</w:t>
      </w:r>
      <w:r w:rsidRPr="00302047">
        <w:rPr>
          <w:color w:val="4F81BD" w:themeColor="accent1"/>
          <w:sz w:val="20"/>
          <w:szCs w:val="20"/>
        </w:rPr>
        <w:t xml:space="preserve"> </w:t>
      </w:r>
      <w:r w:rsidRPr="00302047">
        <w:rPr>
          <w:color w:val="4F81BD" w:themeColor="accent1"/>
          <w:sz w:val="20"/>
          <w:szCs w:val="20"/>
        </w:rPr>
        <w:t xml:space="preserve">performance can be observed for the low dimensional projection space, </w:t>
      </w:r>
      <w:proofErr w:type="spellStart"/>
      <w:r w:rsidRPr="00302047">
        <w:rPr>
          <w:color w:val="4F81BD" w:themeColor="accent1"/>
          <w:sz w:val="20"/>
          <w:szCs w:val="20"/>
        </w:rPr>
        <w:t>tmap</w:t>
      </w:r>
      <w:proofErr w:type="spellEnd"/>
      <w:r w:rsidRPr="00302047">
        <w:rPr>
          <w:color w:val="4F81BD" w:themeColor="accent1"/>
          <w:sz w:val="20"/>
          <w:szCs w:val="20"/>
        </w:rPr>
        <w:t xml:space="preserve"> is robust</w:t>
      </w:r>
      <w:r w:rsidRPr="00302047">
        <w:rPr>
          <w:color w:val="4F81BD" w:themeColor="accent1"/>
          <w:sz w:val="20"/>
          <w:szCs w:val="20"/>
        </w:rPr>
        <w:t xml:space="preserve"> </w:t>
      </w:r>
      <w:r w:rsidRPr="00302047">
        <w:rPr>
          <w:color w:val="4F81BD" w:themeColor="accent1"/>
          <w:sz w:val="20"/>
          <w:szCs w:val="20"/>
        </w:rPr>
        <w:t xml:space="preserve">to the number of PCs used (line 3-8, page 13, </w:t>
      </w:r>
      <w:proofErr w:type="gramStart"/>
      <w:r w:rsidRPr="00302047">
        <w:rPr>
          <w:color w:val="4F81BD" w:themeColor="accent1"/>
          <w:sz w:val="20"/>
          <w:szCs w:val="20"/>
        </w:rPr>
        <w:t>Additional</w:t>
      </w:r>
      <w:proofErr w:type="gramEnd"/>
      <w:r w:rsidRPr="00302047">
        <w:rPr>
          <w:color w:val="4F81BD" w:themeColor="accent1"/>
          <w:sz w:val="20"/>
          <w:szCs w:val="20"/>
        </w:rPr>
        <w:t xml:space="preserve"> file 17: Fig. S17, Additional</w:t>
      </w:r>
      <w:r w:rsidRPr="00302047">
        <w:rPr>
          <w:color w:val="4F81BD" w:themeColor="accent1"/>
          <w:sz w:val="20"/>
          <w:szCs w:val="20"/>
        </w:rPr>
        <w:t xml:space="preserve"> </w:t>
      </w:r>
      <w:r w:rsidRPr="00302047">
        <w:rPr>
          <w:color w:val="4F81BD" w:themeColor="accent1"/>
          <w:sz w:val="20"/>
          <w:szCs w:val="20"/>
        </w:rPr>
        <w:t xml:space="preserve">file 14: Fig. S14). As we explained in the revised manuscript, </w:t>
      </w:r>
      <w:proofErr w:type="spellStart"/>
      <w:r w:rsidRPr="00302047">
        <w:rPr>
          <w:color w:val="4F81BD" w:themeColor="accent1"/>
          <w:sz w:val="20"/>
          <w:szCs w:val="20"/>
        </w:rPr>
        <w:t>tmap</w:t>
      </w:r>
      <w:proofErr w:type="spellEnd"/>
      <w:r w:rsidRPr="00302047">
        <w:rPr>
          <w:color w:val="4F81BD" w:themeColor="accent1"/>
          <w:sz w:val="20"/>
          <w:szCs w:val="20"/>
        </w:rPr>
        <w:t xml:space="preserve"> is able to capture</w:t>
      </w:r>
      <w:r w:rsidRPr="00302047">
        <w:rPr>
          <w:color w:val="4F81BD" w:themeColor="accent1"/>
          <w:sz w:val="20"/>
          <w:szCs w:val="20"/>
        </w:rPr>
        <w:t xml:space="preserve"> </w:t>
      </w:r>
      <w:r w:rsidRPr="00302047">
        <w:rPr>
          <w:color w:val="4F81BD" w:themeColor="accent1"/>
          <w:sz w:val="20"/>
          <w:szCs w:val="20"/>
        </w:rPr>
        <w:t>and represent high dimensional distance information even though using filters of low</w:t>
      </w:r>
      <w:r w:rsidRPr="00302047">
        <w:rPr>
          <w:color w:val="4F81BD" w:themeColor="accent1"/>
          <w:sz w:val="20"/>
          <w:szCs w:val="20"/>
        </w:rPr>
        <w:t xml:space="preserve"> </w:t>
      </w:r>
      <w:r w:rsidRPr="00302047">
        <w:rPr>
          <w:color w:val="4F81BD" w:themeColor="accent1"/>
          <w:sz w:val="20"/>
          <w:szCs w:val="20"/>
        </w:rPr>
        <w:t>dimensional projection that might not be able to capture those information (line 12-21,</w:t>
      </w:r>
      <w:r w:rsidRPr="00302047">
        <w:rPr>
          <w:color w:val="4F81BD" w:themeColor="accent1"/>
          <w:sz w:val="20"/>
          <w:szCs w:val="20"/>
        </w:rPr>
        <w:t xml:space="preserve"> </w:t>
      </w:r>
      <w:r w:rsidRPr="00302047">
        <w:rPr>
          <w:color w:val="4F81BD" w:themeColor="accent1"/>
          <w:sz w:val="20"/>
          <w:szCs w:val="20"/>
        </w:rPr>
        <w:t>page 12; Additional file 15: Fig. S15). Therefore the robustness comparison done for</w:t>
      </w:r>
      <w:r w:rsidRPr="00302047">
        <w:rPr>
          <w:color w:val="4F81BD" w:themeColor="accent1"/>
          <w:sz w:val="20"/>
          <w:szCs w:val="20"/>
        </w:rPr>
        <w:t xml:space="preserve"> </w:t>
      </w:r>
      <w:r w:rsidRPr="00302047">
        <w:rPr>
          <w:color w:val="4F81BD" w:themeColor="accent1"/>
          <w:sz w:val="20"/>
          <w:szCs w:val="20"/>
        </w:rPr>
        <w:t>the top 2 PCs should be able to reflect high dimensional variations not explained by the</w:t>
      </w:r>
      <w:r w:rsidRPr="00302047">
        <w:rPr>
          <w:color w:val="4F81BD" w:themeColor="accent1"/>
          <w:sz w:val="20"/>
          <w:szCs w:val="20"/>
        </w:rPr>
        <w:t xml:space="preserve"> </w:t>
      </w:r>
      <w:r w:rsidRPr="00302047">
        <w:rPr>
          <w:color w:val="4F81BD" w:themeColor="accent1"/>
          <w:sz w:val="20"/>
          <w:szCs w:val="20"/>
        </w:rPr>
        <w:t>top 2 PCs.</w:t>
      </w:r>
    </w:p>
    <w:p w:rsidR="00302047" w:rsidRPr="00302047" w:rsidRDefault="00302047" w:rsidP="00302047">
      <w:pPr>
        <w:spacing w:after="0" w:line="240" w:lineRule="auto"/>
        <w:rPr>
          <w:sz w:val="20"/>
          <w:szCs w:val="20"/>
        </w:rPr>
      </w:pPr>
    </w:p>
    <w:p w:rsidR="00302047" w:rsidRDefault="00302047" w:rsidP="00302047">
      <w:pPr>
        <w:spacing w:after="0" w:line="240" w:lineRule="auto"/>
        <w:rPr>
          <w:sz w:val="20"/>
          <w:szCs w:val="20"/>
        </w:rPr>
      </w:pPr>
      <w:proofErr w:type="gramStart"/>
      <w:r w:rsidRPr="00302047">
        <w:rPr>
          <w:sz w:val="20"/>
          <w:szCs w:val="20"/>
        </w:rPr>
        <w:t xml:space="preserve">Line 7 on page 6: “The poor performance of </w:t>
      </w:r>
      <w:proofErr w:type="spellStart"/>
      <w:r w:rsidRPr="00302047">
        <w:rPr>
          <w:sz w:val="20"/>
          <w:szCs w:val="20"/>
        </w:rPr>
        <w:t>envfit</w:t>
      </w:r>
      <w:proofErr w:type="spellEnd"/>
      <w:r w:rsidRPr="00302047">
        <w:rPr>
          <w:sz w:val="20"/>
          <w:szCs w:val="20"/>
        </w:rPr>
        <w:t xml:space="preserve"> and </w:t>
      </w:r>
      <w:proofErr w:type="spellStart"/>
      <w:r w:rsidRPr="00302047">
        <w:rPr>
          <w:sz w:val="20"/>
          <w:szCs w:val="20"/>
        </w:rPr>
        <w:t>adonis</w:t>
      </w:r>
      <w:proofErr w:type="spellEnd"/>
      <w:r w:rsidRPr="00302047">
        <w:rPr>
          <w:sz w:val="20"/>
          <w:szCs w:val="20"/>
        </w:rPr>
        <w:t>”.</w:t>
      </w:r>
      <w:proofErr w:type="gramEnd"/>
      <w:r w:rsidRPr="00302047">
        <w:rPr>
          <w:sz w:val="20"/>
          <w:szCs w:val="20"/>
        </w:rPr>
        <w:t xml:space="preserve"> But the performance of</w:t>
      </w:r>
      <w:r>
        <w:rPr>
          <w:sz w:val="20"/>
          <w:szCs w:val="20"/>
        </w:rPr>
        <w:t xml:space="preserve"> </w:t>
      </w:r>
      <w:proofErr w:type="spellStart"/>
      <w:r w:rsidRPr="00302047">
        <w:rPr>
          <w:sz w:val="20"/>
          <w:szCs w:val="20"/>
        </w:rPr>
        <w:t>adonis</w:t>
      </w:r>
      <w:proofErr w:type="spellEnd"/>
      <w:r w:rsidRPr="00302047">
        <w:rPr>
          <w:sz w:val="20"/>
          <w:szCs w:val="20"/>
        </w:rPr>
        <w:t xml:space="preserve"> was not bad. The Line </w:t>
      </w:r>
      <w:proofErr w:type="gramStart"/>
      <w:r w:rsidRPr="00302047">
        <w:rPr>
          <w:sz w:val="20"/>
          <w:szCs w:val="20"/>
        </w:rPr>
        <w:t>6 ”</w:t>
      </w:r>
      <w:proofErr w:type="gramEnd"/>
      <w:r w:rsidRPr="00302047">
        <w:rPr>
          <w:sz w:val="20"/>
          <w:szCs w:val="20"/>
        </w:rPr>
        <w:t xml:space="preserve">Average ROC AUC is 0.89 for </w:t>
      </w:r>
      <w:proofErr w:type="spellStart"/>
      <w:r w:rsidRPr="00302047">
        <w:rPr>
          <w:sz w:val="20"/>
          <w:szCs w:val="20"/>
        </w:rPr>
        <w:t>adonis</w:t>
      </w:r>
      <w:proofErr w:type="spellEnd"/>
      <w:r w:rsidRPr="00302047">
        <w:rPr>
          <w:sz w:val="20"/>
          <w:szCs w:val="20"/>
        </w:rPr>
        <w:t>, compared to</w:t>
      </w:r>
      <w:r>
        <w:rPr>
          <w:sz w:val="20"/>
          <w:szCs w:val="20"/>
        </w:rPr>
        <w:t xml:space="preserve"> </w:t>
      </w:r>
      <w:r w:rsidRPr="00302047">
        <w:rPr>
          <w:sz w:val="20"/>
          <w:szCs w:val="20"/>
        </w:rPr>
        <w:t xml:space="preserve">0.95 for </w:t>
      </w:r>
      <w:proofErr w:type="spellStart"/>
      <w:r w:rsidRPr="00302047">
        <w:rPr>
          <w:sz w:val="20"/>
          <w:szCs w:val="20"/>
        </w:rPr>
        <w:t>tmap</w:t>
      </w:r>
      <w:proofErr w:type="spellEnd"/>
      <w:r w:rsidRPr="00302047">
        <w:rPr>
          <w:sz w:val="20"/>
          <w:szCs w:val="20"/>
        </w:rPr>
        <w:t xml:space="preserve">, 0.55 for </w:t>
      </w:r>
      <w:proofErr w:type="spellStart"/>
      <w:r w:rsidRPr="00302047">
        <w:rPr>
          <w:sz w:val="20"/>
          <w:szCs w:val="20"/>
        </w:rPr>
        <w:t>envift</w:t>
      </w:r>
      <w:proofErr w:type="spellEnd"/>
      <w:r w:rsidRPr="00302047">
        <w:rPr>
          <w:sz w:val="20"/>
          <w:szCs w:val="20"/>
        </w:rPr>
        <w:t xml:space="preserve"> and 0.63 for ANOSIM. At line 12: “Average ROC AUC</w:t>
      </w:r>
      <w:r>
        <w:rPr>
          <w:sz w:val="20"/>
          <w:szCs w:val="20"/>
        </w:rPr>
        <w:t xml:space="preserve"> </w:t>
      </w:r>
      <w:r w:rsidRPr="00302047">
        <w:rPr>
          <w:sz w:val="20"/>
          <w:szCs w:val="20"/>
        </w:rPr>
        <w:t xml:space="preserve">was 0.93 for </w:t>
      </w:r>
      <w:proofErr w:type="spellStart"/>
      <w:r w:rsidRPr="00302047">
        <w:rPr>
          <w:sz w:val="20"/>
          <w:szCs w:val="20"/>
        </w:rPr>
        <w:t>adonis</w:t>
      </w:r>
      <w:proofErr w:type="spellEnd"/>
      <w:r w:rsidRPr="00302047">
        <w:rPr>
          <w:sz w:val="20"/>
          <w:szCs w:val="20"/>
        </w:rPr>
        <w:t xml:space="preserve">, compared to 0.98 for </w:t>
      </w:r>
      <w:proofErr w:type="spellStart"/>
      <w:r w:rsidRPr="00302047">
        <w:rPr>
          <w:sz w:val="20"/>
          <w:szCs w:val="20"/>
        </w:rPr>
        <w:t>tmap</w:t>
      </w:r>
      <w:proofErr w:type="spellEnd"/>
      <w:r w:rsidRPr="00302047">
        <w:rPr>
          <w:sz w:val="20"/>
          <w:szCs w:val="20"/>
        </w:rPr>
        <w:t xml:space="preserve">, 0.82 for </w:t>
      </w:r>
      <w:proofErr w:type="spellStart"/>
      <w:r w:rsidRPr="00302047">
        <w:rPr>
          <w:sz w:val="20"/>
          <w:szCs w:val="20"/>
        </w:rPr>
        <w:t>envfit</w:t>
      </w:r>
      <w:proofErr w:type="spellEnd"/>
      <w:r w:rsidRPr="00302047">
        <w:rPr>
          <w:sz w:val="20"/>
          <w:szCs w:val="20"/>
        </w:rPr>
        <w:t xml:space="preserve"> and 0.73 for ANOSIM).</w:t>
      </w:r>
    </w:p>
    <w:p w:rsidR="00302047" w:rsidRPr="00302047" w:rsidRDefault="00302047" w:rsidP="00302047">
      <w:pPr>
        <w:spacing w:after="0" w:line="240" w:lineRule="auto"/>
        <w:rPr>
          <w:sz w:val="20"/>
          <w:szCs w:val="20"/>
        </w:rPr>
      </w:pPr>
    </w:p>
    <w:p w:rsidR="00302047" w:rsidRPr="00302047" w:rsidRDefault="00302047" w:rsidP="00302047">
      <w:pPr>
        <w:spacing w:after="0" w:line="240" w:lineRule="auto"/>
        <w:rPr>
          <w:color w:val="4F81BD" w:themeColor="accent1"/>
          <w:sz w:val="20"/>
          <w:szCs w:val="20"/>
        </w:rPr>
      </w:pPr>
      <w:r w:rsidRPr="00302047">
        <w:rPr>
          <w:color w:val="4F81BD" w:themeColor="accent1"/>
          <w:sz w:val="20"/>
          <w:szCs w:val="20"/>
        </w:rPr>
        <w:t xml:space="preserve">Response: We apologize for this imprecise description of the improvement by </w:t>
      </w:r>
      <w:proofErr w:type="spellStart"/>
      <w:r w:rsidRPr="00302047">
        <w:rPr>
          <w:color w:val="4F81BD" w:themeColor="accent1"/>
          <w:sz w:val="20"/>
          <w:szCs w:val="20"/>
        </w:rPr>
        <w:t>tmap</w:t>
      </w:r>
      <w:proofErr w:type="spellEnd"/>
      <w:r w:rsidRPr="00302047">
        <w:rPr>
          <w:color w:val="4F81BD" w:themeColor="accent1"/>
          <w:sz w:val="20"/>
          <w:szCs w:val="20"/>
        </w:rPr>
        <w:t xml:space="preserve"> </w:t>
      </w:r>
      <w:r w:rsidRPr="00302047">
        <w:rPr>
          <w:color w:val="4F81BD" w:themeColor="accent1"/>
          <w:sz w:val="20"/>
          <w:szCs w:val="20"/>
        </w:rPr>
        <w:t>over other methods, in detecting microbiome associated metadata. We have revised</w:t>
      </w:r>
      <w:r w:rsidRPr="00302047">
        <w:rPr>
          <w:color w:val="4F81BD" w:themeColor="accent1"/>
          <w:sz w:val="20"/>
          <w:szCs w:val="20"/>
        </w:rPr>
        <w:t xml:space="preserve"> </w:t>
      </w:r>
      <w:r w:rsidRPr="00302047">
        <w:rPr>
          <w:color w:val="4F81BD" w:themeColor="accent1"/>
          <w:sz w:val="20"/>
          <w:szCs w:val="20"/>
        </w:rPr>
        <w:t xml:space="preserve">the manuscript to describe the significantly improved performance of </w:t>
      </w:r>
      <w:proofErr w:type="spellStart"/>
      <w:r w:rsidRPr="00302047">
        <w:rPr>
          <w:color w:val="4F81BD" w:themeColor="accent1"/>
          <w:sz w:val="20"/>
          <w:szCs w:val="20"/>
        </w:rPr>
        <w:t>tmap</w:t>
      </w:r>
      <w:proofErr w:type="spellEnd"/>
      <w:r w:rsidRPr="00302047">
        <w:rPr>
          <w:color w:val="4F81BD" w:themeColor="accent1"/>
          <w:sz w:val="20"/>
          <w:szCs w:val="20"/>
        </w:rPr>
        <w:t xml:space="preserve"> more</w:t>
      </w:r>
      <w:r w:rsidRPr="00302047">
        <w:rPr>
          <w:color w:val="4F81BD" w:themeColor="accent1"/>
          <w:sz w:val="20"/>
          <w:szCs w:val="20"/>
        </w:rPr>
        <w:t xml:space="preserve"> </w:t>
      </w:r>
      <w:r w:rsidRPr="00302047">
        <w:rPr>
          <w:color w:val="4F81BD" w:themeColor="accent1"/>
          <w:sz w:val="20"/>
          <w:szCs w:val="20"/>
        </w:rPr>
        <w:t>precisely (line 23-29, page 5; line 1-3, page 6).</w:t>
      </w:r>
    </w:p>
    <w:p w:rsidR="00302047" w:rsidRPr="00302047" w:rsidRDefault="00302047" w:rsidP="00302047">
      <w:pPr>
        <w:spacing w:after="0" w:line="240" w:lineRule="auto"/>
        <w:rPr>
          <w:sz w:val="20"/>
          <w:szCs w:val="20"/>
        </w:rPr>
      </w:pPr>
    </w:p>
    <w:p w:rsidR="00302047" w:rsidRDefault="00302047" w:rsidP="00302047">
      <w:pPr>
        <w:spacing w:after="0" w:line="240" w:lineRule="auto"/>
        <w:rPr>
          <w:sz w:val="20"/>
          <w:szCs w:val="20"/>
        </w:rPr>
      </w:pPr>
      <w:r w:rsidRPr="00302047">
        <w:rPr>
          <w:sz w:val="20"/>
          <w:szCs w:val="20"/>
        </w:rPr>
        <w:t xml:space="preserve">Based on above comparison, </w:t>
      </w:r>
      <w:proofErr w:type="spellStart"/>
      <w:r w:rsidRPr="00302047">
        <w:rPr>
          <w:sz w:val="20"/>
          <w:szCs w:val="20"/>
        </w:rPr>
        <w:t>enfit</w:t>
      </w:r>
      <w:proofErr w:type="spellEnd"/>
      <w:r w:rsidRPr="00302047">
        <w:rPr>
          <w:sz w:val="20"/>
          <w:szCs w:val="20"/>
        </w:rPr>
        <w:t xml:space="preserve"> had the worst performance. It is strange that authors</w:t>
      </w:r>
      <w:r>
        <w:rPr>
          <w:sz w:val="20"/>
          <w:szCs w:val="20"/>
        </w:rPr>
        <w:t xml:space="preserve"> </w:t>
      </w:r>
      <w:r w:rsidRPr="00302047">
        <w:rPr>
          <w:sz w:val="20"/>
          <w:szCs w:val="20"/>
        </w:rPr>
        <w:t xml:space="preserve">evaluated the improvement of </w:t>
      </w:r>
      <w:proofErr w:type="spellStart"/>
      <w:r w:rsidRPr="00302047">
        <w:rPr>
          <w:sz w:val="20"/>
          <w:szCs w:val="20"/>
        </w:rPr>
        <w:t>tmap</w:t>
      </w:r>
      <w:proofErr w:type="spellEnd"/>
      <w:r w:rsidRPr="00302047">
        <w:rPr>
          <w:sz w:val="20"/>
          <w:szCs w:val="20"/>
        </w:rPr>
        <w:t xml:space="preserve"> by only comparing it to </w:t>
      </w:r>
      <w:proofErr w:type="spellStart"/>
      <w:r w:rsidRPr="00302047">
        <w:rPr>
          <w:sz w:val="20"/>
          <w:szCs w:val="20"/>
        </w:rPr>
        <w:t>envfit</w:t>
      </w:r>
      <w:proofErr w:type="spellEnd"/>
      <w:r w:rsidRPr="00302047">
        <w:rPr>
          <w:sz w:val="20"/>
          <w:szCs w:val="20"/>
        </w:rPr>
        <w:t>. Line 13: “Similar</w:t>
      </w:r>
      <w:r>
        <w:rPr>
          <w:sz w:val="20"/>
          <w:szCs w:val="20"/>
        </w:rPr>
        <w:t xml:space="preserve"> </w:t>
      </w:r>
      <w:r w:rsidRPr="00302047">
        <w:rPr>
          <w:sz w:val="20"/>
          <w:szCs w:val="20"/>
        </w:rPr>
        <w:t xml:space="preserve">improvement by </w:t>
      </w:r>
      <w:proofErr w:type="spellStart"/>
      <w:r w:rsidRPr="00302047">
        <w:rPr>
          <w:sz w:val="20"/>
          <w:szCs w:val="20"/>
        </w:rPr>
        <w:t>tmap</w:t>
      </w:r>
      <w:proofErr w:type="spellEnd"/>
      <w:r w:rsidRPr="00302047">
        <w:rPr>
          <w:sz w:val="20"/>
          <w:szCs w:val="20"/>
        </w:rPr>
        <w:t xml:space="preserve"> was observed when we varied the number of simulated</w:t>
      </w:r>
      <w:r>
        <w:rPr>
          <w:sz w:val="20"/>
          <w:szCs w:val="20"/>
        </w:rPr>
        <w:t xml:space="preserve"> </w:t>
      </w:r>
      <w:r w:rsidRPr="00302047">
        <w:rPr>
          <w:sz w:val="20"/>
          <w:szCs w:val="20"/>
        </w:rPr>
        <w:t>metadata associated with the microbiome (</w:t>
      </w:r>
      <w:proofErr w:type="spellStart"/>
      <w:r w:rsidRPr="00302047">
        <w:rPr>
          <w:sz w:val="20"/>
          <w:szCs w:val="20"/>
        </w:rPr>
        <w:t>tmap</w:t>
      </w:r>
      <w:proofErr w:type="spellEnd"/>
      <w:r w:rsidRPr="00302047">
        <w:rPr>
          <w:sz w:val="20"/>
          <w:szCs w:val="20"/>
        </w:rPr>
        <w:t xml:space="preserve"> vs. </w:t>
      </w:r>
      <w:proofErr w:type="spellStart"/>
      <w:r w:rsidRPr="00302047">
        <w:rPr>
          <w:sz w:val="20"/>
          <w:szCs w:val="20"/>
        </w:rPr>
        <w:t>envfit</w:t>
      </w:r>
      <w:proofErr w:type="spellEnd"/>
      <w:r w:rsidRPr="00302047">
        <w:rPr>
          <w:sz w:val="20"/>
          <w:szCs w:val="20"/>
        </w:rPr>
        <w:t>, Additional file 2: Fig. S2).</w:t>
      </w:r>
    </w:p>
    <w:p w:rsidR="00302047" w:rsidRPr="00302047" w:rsidRDefault="00302047" w:rsidP="00302047">
      <w:pPr>
        <w:spacing w:after="0" w:line="240" w:lineRule="auto"/>
        <w:rPr>
          <w:sz w:val="20"/>
          <w:szCs w:val="20"/>
        </w:rPr>
      </w:pPr>
    </w:p>
    <w:p w:rsidR="00302047" w:rsidRDefault="00302047" w:rsidP="00302047">
      <w:pPr>
        <w:spacing w:after="0" w:line="240" w:lineRule="auto"/>
        <w:rPr>
          <w:color w:val="4F81BD" w:themeColor="accent1"/>
          <w:sz w:val="20"/>
          <w:szCs w:val="20"/>
        </w:rPr>
      </w:pPr>
      <w:r w:rsidRPr="00302047">
        <w:rPr>
          <w:color w:val="4F81BD" w:themeColor="accent1"/>
          <w:sz w:val="20"/>
          <w:szCs w:val="20"/>
        </w:rPr>
        <w:t>Response: In the revised manuscript, we have included simulations for all the methods</w:t>
      </w:r>
      <w:r w:rsidRPr="00302047">
        <w:rPr>
          <w:color w:val="4F81BD" w:themeColor="accent1"/>
          <w:sz w:val="20"/>
          <w:szCs w:val="20"/>
        </w:rPr>
        <w:t xml:space="preserve"> </w:t>
      </w:r>
      <w:r w:rsidRPr="00302047">
        <w:rPr>
          <w:color w:val="4F81BD" w:themeColor="accent1"/>
          <w:sz w:val="20"/>
          <w:szCs w:val="20"/>
        </w:rPr>
        <w:t xml:space="preserve">in comparison, including </w:t>
      </w:r>
      <w:proofErr w:type="spellStart"/>
      <w:r w:rsidRPr="00302047">
        <w:rPr>
          <w:color w:val="4F81BD" w:themeColor="accent1"/>
          <w:sz w:val="20"/>
          <w:szCs w:val="20"/>
        </w:rPr>
        <w:t>envfit</w:t>
      </w:r>
      <w:proofErr w:type="spellEnd"/>
      <w:r w:rsidRPr="00302047">
        <w:rPr>
          <w:color w:val="4F81BD" w:themeColor="accent1"/>
          <w:sz w:val="20"/>
          <w:szCs w:val="20"/>
        </w:rPr>
        <w:t xml:space="preserve">, </w:t>
      </w:r>
      <w:proofErr w:type="spellStart"/>
      <w:r w:rsidRPr="00302047">
        <w:rPr>
          <w:color w:val="4F81BD" w:themeColor="accent1"/>
          <w:sz w:val="20"/>
          <w:szCs w:val="20"/>
        </w:rPr>
        <w:t>adonis</w:t>
      </w:r>
      <w:proofErr w:type="spellEnd"/>
      <w:r w:rsidRPr="00302047">
        <w:rPr>
          <w:color w:val="4F81BD" w:themeColor="accent1"/>
          <w:sz w:val="20"/>
          <w:szCs w:val="20"/>
        </w:rPr>
        <w:t xml:space="preserve">, ANOSIM and </w:t>
      </w:r>
      <w:proofErr w:type="spellStart"/>
      <w:r w:rsidRPr="00302047">
        <w:rPr>
          <w:color w:val="4F81BD" w:themeColor="accent1"/>
          <w:sz w:val="20"/>
          <w:szCs w:val="20"/>
        </w:rPr>
        <w:t>tmap</w:t>
      </w:r>
      <w:proofErr w:type="spellEnd"/>
      <w:r w:rsidRPr="00302047">
        <w:rPr>
          <w:color w:val="4F81BD" w:themeColor="accent1"/>
          <w:sz w:val="20"/>
          <w:szCs w:val="20"/>
        </w:rPr>
        <w:t xml:space="preserve">. The </w:t>
      </w:r>
      <w:proofErr w:type="gramStart"/>
      <w:r w:rsidRPr="00302047">
        <w:rPr>
          <w:color w:val="4F81BD" w:themeColor="accent1"/>
          <w:sz w:val="20"/>
          <w:szCs w:val="20"/>
        </w:rPr>
        <w:t>result support</w:t>
      </w:r>
      <w:proofErr w:type="gramEnd"/>
      <w:r w:rsidRPr="00302047">
        <w:rPr>
          <w:color w:val="4F81BD" w:themeColor="accent1"/>
          <w:sz w:val="20"/>
          <w:szCs w:val="20"/>
        </w:rPr>
        <w:t xml:space="preserve"> our</w:t>
      </w:r>
      <w:r w:rsidRPr="00302047">
        <w:rPr>
          <w:color w:val="4F81BD" w:themeColor="accent1"/>
          <w:sz w:val="20"/>
          <w:szCs w:val="20"/>
        </w:rPr>
        <w:t xml:space="preserve"> </w:t>
      </w:r>
      <w:r w:rsidRPr="00302047">
        <w:rPr>
          <w:color w:val="4F81BD" w:themeColor="accent1"/>
          <w:sz w:val="20"/>
          <w:szCs w:val="20"/>
        </w:rPr>
        <w:t xml:space="preserve">previous claims on the improvement by </w:t>
      </w:r>
      <w:proofErr w:type="spellStart"/>
      <w:r w:rsidRPr="00302047">
        <w:rPr>
          <w:color w:val="4F81BD" w:themeColor="accent1"/>
          <w:sz w:val="20"/>
          <w:szCs w:val="20"/>
        </w:rPr>
        <w:t>tmap</w:t>
      </w:r>
      <w:proofErr w:type="spellEnd"/>
      <w:r w:rsidRPr="00302047">
        <w:rPr>
          <w:color w:val="4F81BD" w:themeColor="accent1"/>
          <w:sz w:val="20"/>
          <w:szCs w:val="20"/>
        </w:rPr>
        <w:t xml:space="preserve"> over other methods under all the</w:t>
      </w:r>
      <w:r w:rsidRPr="00302047">
        <w:rPr>
          <w:color w:val="4F81BD" w:themeColor="accent1"/>
          <w:sz w:val="20"/>
          <w:szCs w:val="20"/>
        </w:rPr>
        <w:t xml:space="preserve"> </w:t>
      </w:r>
      <w:r w:rsidRPr="00302047">
        <w:rPr>
          <w:color w:val="4F81BD" w:themeColor="accent1"/>
          <w:sz w:val="20"/>
          <w:szCs w:val="20"/>
        </w:rPr>
        <w:t>simulated scenarios when we varied the number of simulated metadata (line 10-11,</w:t>
      </w:r>
      <w:r w:rsidRPr="00302047">
        <w:rPr>
          <w:color w:val="4F81BD" w:themeColor="accent1"/>
          <w:sz w:val="20"/>
          <w:szCs w:val="20"/>
        </w:rPr>
        <w:t xml:space="preserve"> </w:t>
      </w:r>
      <w:r w:rsidRPr="00302047">
        <w:rPr>
          <w:color w:val="4F81BD" w:themeColor="accent1"/>
          <w:sz w:val="20"/>
          <w:szCs w:val="20"/>
        </w:rPr>
        <w:t>page 6; Additional file 2: Fig. S2).</w:t>
      </w:r>
    </w:p>
    <w:p w:rsidR="00302047" w:rsidRDefault="00302047" w:rsidP="00302047">
      <w:pPr>
        <w:spacing w:after="0" w:line="240" w:lineRule="auto"/>
        <w:rPr>
          <w:color w:val="4F81BD" w:themeColor="accent1"/>
          <w:sz w:val="20"/>
          <w:szCs w:val="20"/>
        </w:rPr>
      </w:pPr>
    </w:p>
    <w:p w:rsidR="00302047" w:rsidRPr="00302047" w:rsidRDefault="00302047" w:rsidP="00302047">
      <w:pPr>
        <w:spacing w:after="0" w:line="240" w:lineRule="auto"/>
        <w:rPr>
          <w:b/>
          <w:u w:val="single"/>
        </w:rPr>
      </w:pPr>
      <w:r w:rsidRPr="00302047">
        <w:rPr>
          <w:b/>
          <w:u w:val="single"/>
        </w:rPr>
        <w:t>3</w:t>
      </w:r>
      <w:r w:rsidRPr="00302047">
        <w:rPr>
          <w:b/>
          <w:u w:val="single"/>
          <w:vertAlign w:val="superscript"/>
        </w:rPr>
        <w:t>rd</w:t>
      </w:r>
      <w:r w:rsidRPr="00302047">
        <w:rPr>
          <w:b/>
          <w:u w:val="single"/>
        </w:rPr>
        <w:t xml:space="preserve"> round</w:t>
      </w:r>
    </w:p>
    <w:p w:rsidR="00302047" w:rsidRDefault="00302047" w:rsidP="00302047">
      <w:pPr>
        <w:spacing w:after="0" w:line="240" w:lineRule="auto"/>
        <w:rPr>
          <w:b/>
        </w:rPr>
      </w:pPr>
      <w:r>
        <w:rPr>
          <w:b/>
        </w:rPr>
        <w:t>Reviewer 2</w:t>
      </w:r>
    </w:p>
    <w:p w:rsidR="00302047" w:rsidRPr="00302047" w:rsidRDefault="00302047" w:rsidP="00302047">
      <w:pPr>
        <w:spacing w:after="0" w:line="240" w:lineRule="auto"/>
        <w:rPr>
          <w:sz w:val="20"/>
          <w:szCs w:val="20"/>
        </w:rPr>
      </w:pPr>
      <w:r w:rsidRPr="00302047">
        <w:rPr>
          <w:sz w:val="20"/>
          <w:szCs w:val="20"/>
        </w:rPr>
        <w:t>The authors have sufficiently addressed my comments.</w:t>
      </w:r>
      <w:bookmarkStart w:id="0" w:name="_GoBack"/>
      <w:bookmarkEnd w:id="0"/>
    </w:p>
    <w:sectPr w:rsidR="00302047" w:rsidRPr="0030204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5F5"/>
    <w:rsid w:val="000A5A67"/>
    <w:rsid w:val="000F55F5"/>
    <w:rsid w:val="00302047"/>
    <w:rsid w:val="007B7B99"/>
    <w:rsid w:val="007E3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6</Pages>
  <Words>3749</Words>
  <Characters>21374</Characters>
  <Application>Microsoft Office Word</Application>
  <DocSecurity>0</DocSecurity>
  <Lines>178</Lines>
  <Paragraphs>50</Paragraphs>
  <ScaleCrop>false</ScaleCrop>
  <Company>Springer-SBM</Company>
  <LinksUpToDate>false</LinksUpToDate>
  <CharactersWithSpaces>25073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 Cosgrove</dc:creator>
  <cp:lastModifiedBy>Andrew Cosgrove</cp:lastModifiedBy>
  <cp:revision>3</cp:revision>
  <dcterms:created xsi:type="dcterms:W3CDTF">2019-09-27T11:07:00Z</dcterms:created>
  <dcterms:modified xsi:type="dcterms:W3CDTF">2019-09-27T12:02:00Z</dcterms:modified>
</cp:coreProperties>
</file>