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02549" w14:textId="3ED4AC52" w:rsidR="00702429" w:rsidRDefault="00702429" w:rsidP="002B78ED">
      <w:pPr>
        <w:spacing w:after="0"/>
        <w:jc w:val="center"/>
        <w:rPr>
          <w:b/>
          <w:sz w:val="24"/>
          <w:lang w:val="en-US"/>
        </w:rPr>
      </w:pPr>
      <w:bookmarkStart w:id="0" w:name="_Toc459811029"/>
      <w:r>
        <w:rPr>
          <w:b/>
          <w:sz w:val="24"/>
          <w:lang w:val="en-US"/>
        </w:rPr>
        <w:t>Additional File 1: Supplementary figures for</w:t>
      </w:r>
    </w:p>
    <w:p w14:paraId="0B70661A" w14:textId="410AF4DA" w:rsidR="002B78ED" w:rsidRDefault="007C4E9B" w:rsidP="002B78ED">
      <w:pPr>
        <w:spacing w:after="0"/>
        <w:jc w:val="center"/>
        <w:rPr>
          <w:b/>
          <w:sz w:val="24"/>
          <w:lang w:val="en-US"/>
        </w:rPr>
      </w:pPr>
      <w:r w:rsidRPr="002B78ED">
        <w:rPr>
          <w:b/>
          <w:sz w:val="24"/>
          <w:lang w:val="en-US"/>
        </w:rPr>
        <w:t xml:space="preserve">Enteric infection </w:t>
      </w:r>
      <w:r w:rsidR="00813534" w:rsidRPr="002B78ED">
        <w:rPr>
          <w:b/>
          <w:sz w:val="24"/>
          <w:lang w:val="en-US"/>
        </w:rPr>
        <w:t xml:space="preserve">induces Lark-mediated </w:t>
      </w:r>
      <w:r w:rsidR="00E966C0" w:rsidRPr="002B78ED">
        <w:rPr>
          <w:b/>
          <w:sz w:val="24"/>
          <w:lang w:val="en-US"/>
        </w:rPr>
        <w:t xml:space="preserve">intron </w:t>
      </w:r>
      <w:r w:rsidR="00813534" w:rsidRPr="002B78ED">
        <w:rPr>
          <w:b/>
          <w:sz w:val="24"/>
          <w:lang w:val="en-US"/>
        </w:rPr>
        <w:t>retention</w:t>
      </w:r>
    </w:p>
    <w:p w14:paraId="78ACA13C" w14:textId="5535C917" w:rsidR="007C4E9B" w:rsidRPr="002B78ED" w:rsidRDefault="00E966C0" w:rsidP="002B78ED">
      <w:pPr>
        <w:spacing w:after="0"/>
        <w:jc w:val="center"/>
        <w:rPr>
          <w:b/>
          <w:i/>
          <w:sz w:val="24"/>
          <w:lang w:val="en-US"/>
        </w:rPr>
      </w:pPr>
      <w:r w:rsidRPr="002B78ED">
        <w:rPr>
          <w:b/>
          <w:sz w:val="24"/>
          <w:lang w:val="en-US"/>
        </w:rPr>
        <w:t xml:space="preserve">at </w:t>
      </w:r>
      <w:r w:rsidR="00C9280A" w:rsidRPr="002B78ED">
        <w:rPr>
          <w:b/>
          <w:sz w:val="24"/>
          <w:lang w:val="en-US"/>
        </w:rPr>
        <w:t xml:space="preserve">the </w:t>
      </w:r>
      <w:r w:rsidRPr="002B78ED">
        <w:rPr>
          <w:b/>
          <w:sz w:val="24"/>
          <w:lang w:val="en-US"/>
        </w:rPr>
        <w:t>5’ end of</w:t>
      </w:r>
      <w:r w:rsidR="00813534" w:rsidRPr="002B78ED">
        <w:rPr>
          <w:b/>
          <w:sz w:val="24"/>
          <w:lang w:val="en-US"/>
        </w:rPr>
        <w:t xml:space="preserve"> </w:t>
      </w:r>
      <w:r w:rsidR="00813534" w:rsidRPr="002B78ED">
        <w:rPr>
          <w:b/>
          <w:i/>
          <w:sz w:val="24"/>
          <w:lang w:val="en-US"/>
        </w:rPr>
        <w:t>Drosophila</w:t>
      </w:r>
      <w:r w:rsidRPr="002B78ED">
        <w:rPr>
          <w:b/>
          <w:i/>
          <w:sz w:val="24"/>
          <w:lang w:val="en-US"/>
        </w:rPr>
        <w:t xml:space="preserve"> </w:t>
      </w:r>
      <w:r w:rsidRPr="002B78ED">
        <w:rPr>
          <w:b/>
          <w:sz w:val="24"/>
          <w:lang w:val="en-US"/>
        </w:rPr>
        <w:t>genes</w:t>
      </w:r>
    </w:p>
    <w:p w14:paraId="36402264" w14:textId="77777777" w:rsidR="002B78ED" w:rsidRDefault="002B78ED" w:rsidP="002B78ED">
      <w:pPr>
        <w:spacing w:after="0"/>
        <w:rPr>
          <w:lang w:val="en-US"/>
        </w:rPr>
      </w:pPr>
    </w:p>
    <w:p w14:paraId="41A6632D" w14:textId="2143C500" w:rsidR="00DB5BE1" w:rsidRDefault="00DB5BE1" w:rsidP="002B78ED">
      <w:pPr>
        <w:spacing w:after="0"/>
        <w:rPr>
          <w:vertAlign w:val="superscript"/>
          <w:lang w:val="en-US"/>
        </w:rPr>
      </w:pPr>
      <w:r>
        <w:rPr>
          <w:lang w:val="en-US"/>
        </w:rPr>
        <w:t>Maroun S. Bou Sleiman</w:t>
      </w:r>
      <w:r w:rsidR="00570618" w:rsidRPr="00570618">
        <w:rPr>
          <w:vertAlign w:val="superscript"/>
          <w:lang w:val="en-US"/>
        </w:rPr>
        <w:t>1</w:t>
      </w:r>
      <w:r>
        <w:rPr>
          <w:lang w:val="en-US"/>
        </w:rPr>
        <w:t xml:space="preserve">, </w:t>
      </w:r>
      <w:r w:rsidR="00915663">
        <w:rPr>
          <w:lang w:val="en-US"/>
        </w:rPr>
        <w:t>Michael Frochaux</w:t>
      </w:r>
      <w:r w:rsidR="00570618" w:rsidRPr="00570618">
        <w:rPr>
          <w:vertAlign w:val="superscript"/>
          <w:lang w:val="en-US"/>
        </w:rPr>
        <w:t>2</w:t>
      </w:r>
      <w:r w:rsidR="00915663">
        <w:rPr>
          <w:lang w:val="en-US"/>
        </w:rPr>
        <w:t xml:space="preserve">, </w:t>
      </w:r>
      <w:r w:rsidR="008109B7">
        <w:rPr>
          <w:lang w:val="en-US"/>
        </w:rPr>
        <w:t>Tommaso Andreani</w:t>
      </w:r>
      <w:r w:rsidR="00570618" w:rsidRPr="00570618">
        <w:rPr>
          <w:vertAlign w:val="superscript"/>
          <w:lang w:val="en-US"/>
        </w:rPr>
        <w:t>3</w:t>
      </w:r>
      <w:r w:rsidR="008109B7">
        <w:rPr>
          <w:lang w:val="en-US"/>
        </w:rPr>
        <w:t xml:space="preserve">, </w:t>
      </w:r>
      <w:r w:rsidR="00E1520F">
        <w:rPr>
          <w:lang w:val="en-US"/>
        </w:rPr>
        <w:t>Dani Osman</w:t>
      </w:r>
      <w:r w:rsidR="00570618" w:rsidRPr="00570618">
        <w:rPr>
          <w:vertAlign w:val="superscript"/>
          <w:lang w:val="en-US"/>
        </w:rPr>
        <w:t>4</w:t>
      </w:r>
      <w:r w:rsidR="005D2CED">
        <w:rPr>
          <w:lang w:val="en-US"/>
        </w:rPr>
        <w:t>,</w:t>
      </w:r>
      <w:r w:rsidR="007C4E9B">
        <w:rPr>
          <w:lang w:val="en-US"/>
        </w:rPr>
        <w:t xml:space="preserve"> </w:t>
      </w:r>
      <w:r w:rsidR="00CE7088">
        <w:rPr>
          <w:lang w:val="en-US"/>
        </w:rPr>
        <w:t>Roderic Guigo</w:t>
      </w:r>
      <w:r w:rsidR="00570618" w:rsidRPr="00570618">
        <w:rPr>
          <w:vertAlign w:val="superscript"/>
          <w:lang w:val="en-US"/>
        </w:rPr>
        <w:t>5</w:t>
      </w:r>
      <w:r w:rsidR="00CE7088">
        <w:rPr>
          <w:lang w:val="en-US"/>
        </w:rPr>
        <w:t>, Bart Deplancke</w:t>
      </w:r>
      <w:r w:rsidR="00570618" w:rsidRPr="00570618">
        <w:rPr>
          <w:vertAlign w:val="superscript"/>
          <w:lang w:val="en-US"/>
        </w:rPr>
        <w:t>6</w:t>
      </w:r>
      <w:r w:rsidR="00B72A7E" w:rsidRPr="00B72A7E">
        <w:rPr>
          <w:vertAlign w:val="superscript"/>
          <w:lang w:val="en-US"/>
        </w:rPr>
        <w:t>+</w:t>
      </w:r>
    </w:p>
    <w:bookmarkEnd w:id="0"/>
    <w:p w14:paraId="75291815" w14:textId="2FBF3028" w:rsidR="00FC5517" w:rsidRPr="008433AF" w:rsidRDefault="00FC5517" w:rsidP="00FC5517">
      <w:pPr>
        <w:pStyle w:val="Heading2"/>
        <w:numPr>
          <w:ilvl w:val="0"/>
          <w:numId w:val="0"/>
        </w:numPr>
        <w:rPr>
          <w:lang w:val="en-US"/>
        </w:rPr>
      </w:pPr>
      <w:r w:rsidRPr="008433AF">
        <w:rPr>
          <w:lang w:val="en-US"/>
        </w:rPr>
        <w:t>Supplementary Figure</w:t>
      </w:r>
      <w:r w:rsidR="00AB77CF">
        <w:rPr>
          <w:lang w:val="en-US"/>
        </w:rPr>
        <w:t>s</w:t>
      </w:r>
    </w:p>
    <w:p w14:paraId="448DCF4C" w14:textId="16F51D58" w:rsidR="00FC5517" w:rsidRDefault="004F207C" w:rsidP="003310EE">
      <w:pPr>
        <w:pStyle w:val="Caption"/>
        <w:jc w:val="center"/>
      </w:pPr>
      <w:bookmarkStart w:id="1" w:name="_Toc459811068"/>
      <w:r>
        <w:rPr>
          <w:noProof/>
        </w:rPr>
        <w:drawing>
          <wp:inline distT="0" distB="0" distL="0" distR="0" wp14:anchorId="54736CBE" wp14:editId="35CB5A3D">
            <wp:extent cx="5684146" cy="4167316"/>
            <wp:effectExtent l="0" t="0" r="0" b="5080"/>
            <wp:docPr id="1" name="Bou Sleiman et al_Supplementary 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u Sleiman et al_Supplementary Figure 1.png"/>
                    <pic:cNvPicPr/>
                  </pic:nvPicPr>
                  <pic:blipFill>
                    <a:blip r:embed="rId8" r:link="rId9"/>
                    <a:stretch>
                      <a:fillRect/>
                    </a:stretch>
                  </pic:blipFill>
                  <pic:spPr>
                    <a:xfrm>
                      <a:off x="0" y="0"/>
                      <a:ext cx="5684146" cy="4167316"/>
                    </a:xfrm>
                    <a:prstGeom prst="rect">
                      <a:avLst/>
                    </a:prstGeom>
                  </pic:spPr>
                </pic:pic>
              </a:graphicData>
            </a:graphic>
          </wp:inline>
        </w:drawing>
      </w:r>
    </w:p>
    <w:p w14:paraId="0F565F38" w14:textId="16E715E3" w:rsidR="00FC5517" w:rsidRDefault="00C9147E" w:rsidP="00FC5517">
      <w:pPr>
        <w:pStyle w:val="ParagrapheIntro"/>
      </w:pPr>
      <w:r>
        <w:rPr>
          <w:b/>
        </w:rPr>
        <w:t>Fig</w:t>
      </w:r>
      <w:r w:rsidR="00FC5517" w:rsidRPr="00AF04C5">
        <w:rPr>
          <w:b/>
        </w:rPr>
        <w:t xml:space="preserve"> </w:t>
      </w:r>
      <w:r>
        <w:rPr>
          <w:b/>
        </w:rPr>
        <w:t>S</w:t>
      </w:r>
      <w:r w:rsidR="00FC5517" w:rsidRPr="00AF04C5">
        <w:rPr>
          <w:b/>
        </w:rPr>
        <w:t>1. Enteric infection leads to extensive changes in transcript isoform ratios</w:t>
      </w:r>
      <w:bookmarkEnd w:id="1"/>
      <w:r w:rsidR="00FC5517" w:rsidRPr="00AF04C5">
        <w:rPr>
          <w:b/>
        </w:rPr>
        <w:t xml:space="preserve"> and increased diversity. </w:t>
      </w:r>
      <w:r w:rsidR="00FC5517" w:rsidRPr="00AF04C5">
        <w:rPr>
          <w:b/>
          <w:lang w:val="en-US"/>
        </w:rPr>
        <w:t>(a)</w:t>
      </w:r>
      <w:r w:rsidR="00FC5517" w:rsidRPr="002144A8">
        <w:rPr>
          <w:lang w:val="en-US"/>
        </w:rPr>
        <w:t xml:space="preserve"> </w:t>
      </w:r>
      <w:r w:rsidR="00FC5517" w:rsidRPr="000E2F01">
        <w:t xml:space="preserve">Examples of gene isoform ratios in the different conditions and susceptibility groups. The annotated isoforms of each gene are on the y-axis whereas the isoform ratio is plotted </w:t>
      </w:r>
      <w:r w:rsidR="00FC5517">
        <w:t xml:space="preserve">on </w:t>
      </w:r>
      <w:r w:rsidR="00FC5517" w:rsidRPr="000E2F01">
        <w:t xml:space="preserve">the x-axis. </w:t>
      </w:r>
      <w:r w:rsidR="00FC5517" w:rsidRPr="000E2F01">
        <w:rPr>
          <w:i/>
        </w:rPr>
        <w:t>Atg7</w:t>
      </w:r>
      <w:r w:rsidR="00FC5517" w:rsidRPr="000E2F01">
        <w:t xml:space="preserve"> shows a shift in isoform usage upon infection, whereas </w:t>
      </w:r>
      <w:r w:rsidR="00FC5517" w:rsidRPr="000E2F01">
        <w:rPr>
          <w:i/>
        </w:rPr>
        <w:t>mthl10</w:t>
      </w:r>
      <w:r w:rsidR="00FC5517" w:rsidRPr="000E2F01">
        <w:t xml:space="preserve"> exhibits a slight difference in isoform usage between resistant and susceptible lines in the uninfected state. Both genes have two annotated isoforms. </w:t>
      </w:r>
      <w:r w:rsidR="00FC5517" w:rsidRPr="00AF04C5">
        <w:rPr>
          <w:b/>
        </w:rPr>
        <w:t>(b)</w:t>
      </w:r>
      <w:r w:rsidR="00FC5517" w:rsidRPr="000E2F01">
        <w:t xml:space="preserve"> Distribution of delta Shannon entropy values (Shannon entropy in infected minus uninfected state) per gene per DGRP line. </w:t>
      </w:r>
      <w:r w:rsidR="00FC5517" w:rsidRPr="00AF04C5">
        <w:rPr>
          <w:b/>
        </w:rPr>
        <w:t>(c)</w:t>
      </w:r>
      <w:r w:rsidR="00FC5517" w:rsidRPr="000E2F01">
        <w:t xml:space="preserve"> Boxplot of average delta Shannon entropy per DGRP line, separated by resistance class (one-tailed t-test p-value &lt; 0.05).</w:t>
      </w:r>
    </w:p>
    <w:p w14:paraId="7F8F9B31" w14:textId="7E8A5249" w:rsidR="004F207C" w:rsidRDefault="004F207C">
      <w:pPr>
        <w:spacing w:after="160" w:line="259" w:lineRule="auto"/>
        <w:jc w:val="left"/>
        <w:rPr>
          <w:bCs/>
          <w:sz w:val="20"/>
          <w:szCs w:val="20"/>
        </w:rPr>
      </w:pPr>
      <w:r>
        <w:br w:type="page"/>
      </w:r>
    </w:p>
    <w:p w14:paraId="1B83C810" w14:textId="41C23E9E" w:rsidR="00FC5517" w:rsidRPr="000E2F01" w:rsidRDefault="004F207C" w:rsidP="003310EE">
      <w:pPr>
        <w:pStyle w:val="Caption"/>
        <w:jc w:val="center"/>
      </w:pPr>
      <w:r>
        <w:rPr>
          <w:noProof/>
        </w:rPr>
        <w:lastRenderedPageBreak/>
        <w:drawing>
          <wp:inline distT="0" distB="0" distL="0" distR="0" wp14:anchorId="53E90AFD" wp14:editId="5551A043">
            <wp:extent cx="4167276" cy="5977441"/>
            <wp:effectExtent l="0" t="0" r="5080" b="4445"/>
            <wp:docPr id="2" name="Bou Sleiman et al_Supplementary Figu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u Sleiman et al_Supplementary Figure 2.png"/>
                    <pic:cNvPicPr/>
                  </pic:nvPicPr>
                  <pic:blipFill>
                    <a:blip r:embed="rId10" r:link="rId11"/>
                    <a:stretch>
                      <a:fillRect/>
                    </a:stretch>
                  </pic:blipFill>
                  <pic:spPr>
                    <a:xfrm>
                      <a:off x="0" y="0"/>
                      <a:ext cx="4172559" cy="5985018"/>
                    </a:xfrm>
                    <a:prstGeom prst="rect">
                      <a:avLst/>
                    </a:prstGeom>
                  </pic:spPr>
                </pic:pic>
              </a:graphicData>
            </a:graphic>
          </wp:inline>
        </w:drawing>
      </w:r>
    </w:p>
    <w:p w14:paraId="43419B50" w14:textId="1C35903C" w:rsidR="00FC5517" w:rsidRPr="00C21D4C" w:rsidRDefault="00C9147E" w:rsidP="00C21D4C">
      <w:pPr>
        <w:pStyle w:val="ParagrapheIntro"/>
        <w:rPr>
          <w:lang w:val="en-CH"/>
        </w:rPr>
      </w:pPr>
      <w:r>
        <w:rPr>
          <w:b/>
        </w:rPr>
        <w:t>Fig S</w:t>
      </w:r>
      <w:r w:rsidR="00FC5517" w:rsidRPr="00AF04C5">
        <w:rPr>
          <w:b/>
        </w:rPr>
        <w:t xml:space="preserve">2. Example of the functional relevance of a </w:t>
      </w:r>
      <w:r w:rsidR="00FC5517" w:rsidRPr="00AF04C5">
        <w:rPr>
          <w:b/>
          <w:i/>
        </w:rPr>
        <w:t>local-</w:t>
      </w:r>
      <w:r w:rsidR="00FC5517" w:rsidRPr="00AF04C5">
        <w:rPr>
          <w:b/>
        </w:rPr>
        <w:t>sQTL.</w:t>
      </w:r>
      <w:r w:rsidR="00C21D4C" w:rsidRPr="00F21686">
        <w:rPr>
          <w:lang w:val="en-US"/>
        </w:rPr>
        <w:t xml:space="preserve"> </w:t>
      </w:r>
      <w:r w:rsidR="00C21D4C" w:rsidRPr="00F21686">
        <w:rPr>
          <w:b/>
          <w:lang w:val="en-US"/>
        </w:rPr>
        <w:t>(</w:t>
      </w:r>
      <w:r w:rsidR="00C21D4C">
        <w:rPr>
          <w:b/>
          <w:lang w:val="en-CH"/>
        </w:rPr>
        <w:t>a</w:t>
      </w:r>
      <w:r w:rsidR="00C21D4C" w:rsidRPr="00F21686">
        <w:rPr>
          <w:b/>
          <w:lang w:val="en-US"/>
        </w:rPr>
        <w:t>)</w:t>
      </w:r>
      <w:r w:rsidR="00C21D4C" w:rsidRPr="00F21686">
        <w:rPr>
          <w:lang w:val="en-US"/>
        </w:rPr>
        <w:t xml:space="preserve"> Breakdown of sQTL positions by location and relative to the nearest TSS, 5’ intron splice site, or 3’ intron splice site. sQTLs were further divided into two groups: those that are outside the nearest intron, and those that lie inside the nearest intron. Red bars represent the densities of sQTLs whereas grey bars represent the density of random variants. In the upper panels, the two black vertical lines represent the normalized gene length (from 0 to 100%).</w:t>
      </w:r>
      <w:r w:rsidR="00C21D4C" w:rsidRPr="00AF04C5">
        <w:rPr>
          <w:b/>
          <w:lang w:val="en-US"/>
        </w:rPr>
        <w:t xml:space="preserve"> </w:t>
      </w:r>
      <w:r w:rsidR="00FC5517" w:rsidRPr="00AF04C5">
        <w:rPr>
          <w:b/>
          <w:lang w:val="en-US"/>
        </w:rPr>
        <w:t>(</w:t>
      </w:r>
      <w:r w:rsidR="00C21D4C">
        <w:rPr>
          <w:b/>
          <w:lang w:val="en-CH"/>
        </w:rPr>
        <w:t>b</w:t>
      </w:r>
      <w:r w:rsidR="00FC5517" w:rsidRPr="00AF04C5">
        <w:rPr>
          <w:b/>
          <w:lang w:val="en-US"/>
        </w:rPr>
        <w:t>)</w:t>
      </w:r>
      <w:r w:rsidR="00FC5517" w:rsidRPr="007A1DA3">
        <w:rPr>
          <w:lang w:val="en-US"/>
        </w:rPr>
        <w:t xml:space="preserve"> The isoform ratios of a gene (</w:t>
      </w:r>
      <w:r w:rsidR="00FC5517" w:rsidRPr="007A1DA3">
        <w:rPr>
          <w:i/>
          <w:lang w:val="en-US"/>
        </w:rPr>
        <w:t>Psi</w:t>
      </w:r>
      <w:r w:rsidR="00FC5517" w:rsidRPr="007A1DA3">
        <w:rPr>
          <w:lang w:val="en-US"/>
        </w:rPr>
        <w:t xml:space="preserve">) that has a </w:t>
      </w:r>
      <w:r w:rsidR="00FC5517">
        <w:rPr>
          <w:i/>
          <w:lang w:val="en-US"/>
        </w:rPr>
        <w:t>local</w:t>
      </w:r>
      <w:r w:rsidR="00FC5517" w:rsidRPr="007A1DA3">
        <w:rPr>
          <w:i/>
          <w:lang w:val="en-US"/>
        </w:rPr>
        <w:t>-</w:t>
      </w:r>
      <w:r w:rsidR="00FC5517" w:rsidRPr="007A1DA3">
        <w:rPr>
          <w:lang w:val="en-US"/>
        </w:rPr>
        <w:t xml:space="preserve">sQTL on one of its splice sites. The expression levels are grouped by allele of the </w:t>
      </w:r>
      <w:r w:rsidR="00FC5517">
        <w:rPr>
          <w:i/>
          <w:lang w:val="en-US"/>
        </w:rPr>
        <w:t>local-</w:t>
      </w:r>
      <w:r w:rsidR="00FC5517" w:rsidRPr="007A1DA3">
        <w:rPr>
          <w:lang w:val="en-US"/>
        </w:rPr>
        <w:t xml:space="preserve">sQTL, with 0,1,2 being reference and alternate alleles, respectively. </w:t>
      </w:r>
      <w:r w:rsidR="00FC5517" w:rsidRPr="00AF04C5">
        <w:rPr>
          <w:b/>
          <w:lang w:val="en-US"/>
        </w:rPr>
        <w:t>(</w:t>
      </w:r>
      <w:r w:rsidR="00C21D4C">
        <w:rPr>
          <w:b/>
          <w:lang w:val="en-CH"/>
        </w:rPr>
        <w:t>c</w:t>
      </w:r>
      <w:r w:rsidR="00FC5517" w:rsidRPr="00AF04C5">
        <w:rPr>
          <w:b/>
          <w:lang w:val="en-US"/>
        </w:rPr>
        <w:t>)</w:t>
      </w:r>
      <w:r w:rsidR="00FC5517" w:rsidRPr="007A1DA3">
        <w:rPr>
          <w:lang w:val="en-US"/>
        </w:rPr>
        <w:t xml:space="preserve"> The isoform ratios by DGRP line in the two conditions. The shape of the point indicates </w:t>
      </w:r>
      <w:r w:rsidR="00FC5517" w:rsidRPr="000753ED">
        <w:t>the</w:t>
      </w:r>
      <w:r w:rsidR="00FC5517" w:rsidRPr="007A1DA3">
        <w:rPr>
          <w:lang w:val="en-US"/>
        </w:rPr>
        <w:t xml:space="preserve"> isoform and the color of </w:t>
      </w:r>
      <w:r w:rsidR="00FC5517" w:rsidRPr="00F21686">
        <w:rPr>
          <w:lang w:val="en-US"/>
        </w:rPr>
        <w:t xml:space="preserve">the dashed line indicates genotype. </w:t>
      </w:r>
      <w:r w:rsidR="00FC5517" w:rsidRPr="00F21686">
        <w:rPr>
          <w:b/>
          <w:lang w:val="en-US"/>
        </w:rPr>
        <w:t>(</w:t>
      </w:r>
      <w:r w:rsidR="00C21D4C">
        <w:rPr>
          <w:b/>
          <w:lang w:val="en-CH"/>
        </w:rPr>
        <w:t>d</w:t>
      </w:r>
      <w:r w:rsidR="00FC5517" w:rsidRPr="00F21686">
        <w:rPr>
          <w:b/>
          <w:lang w:val="en-US"/>
        </w:rPr>
        <w:t>)</w:t>
      </w:r>
      <w:r w:rsidR="00FC5517" w:rsidRPr="00F21686">
        <w:rPr>
          <w:lang w:val="en-US"/>
        </w:rPr>
        <w:t xml:space="preserve"> Gene diagram of </w:t>
      </w:r>
      <w:r w:rsidR="00FC5517" w:rsidRPr="00F21686">
        <w:rPr>
          <w:i/>
          <w:lang w:val="en-US"/>
        </w:rPr>
        <w:t>Psi</w:t>
      </w:r>
      <w:r w:rsidR="00FC5517" w:rsidRPr="00F21686">
        <w:rPr>
          <w:lang w:val="en-US"/>
        </w:rPr>
        <w:t xml:space="preserve"> showing the location of the </w:t>
      </w:r>
      <w:r w:rsidR="00FC5517" w:rsidRPr="00F21686">
        <w:rPr>
          <w:i/>
          <w:lang w:val="en-US"/>
        </w:rPr>
        <w:t>local</w:t>
      </w:r>
      <w:r w:rsidR="00FC5517" w:rsidRPr="00F21686">
        <w:rPr>
          <w:lang w:val="en-US"/>
        </w:rPr>
        <w:t>-sQTL</w:t>
      </w:r>
      <w:r w:rsidR="00C21D4C">
        <w:rPr>
          <w:lang w:val="en-CH"/>
        </w:rPr>
        <w:t>.</w:t>
      </w:r>
    </w:p>
    <w:p w14:paraId="46F03749" w14:textId="57358E31" w:rsidR="004F207C" w:rsidRDefault="004F207C">
      <w:pPr>
        <w:spacing w:after="160" w:line="259" w:lineRule="auto"/>
        <w:jc w:val="left"/>
        <w:rPr>
          <w:bCs/>
          <w:sz w:val="20"/>
          <w:szCs w:val="20"/>
        </w:rPr>
      </w:pPr>
      <w:r>
        <w:br w:type="page"/>
      </w:r>
    </w:p>
    <w:p w14:paraId="3C9CDBA5" w14:textId="571DD172" w:rsidR="00FC5517" w:rsidRPr="007A1DA3" w:rsidRDefault="004F207C" w:rsidP="003310EE">
      <w:pPr>
        <w:pStyle w:val="Caption"/>
        <w:jc w:val="center"/>
      </w:pPr>
      <w:r>
        <w:rPr>
          <w:noProof/>
        </w:rPr>
        <w:drawing>
          <wp:inline distT="0" distB="0" distL="0" distR="0" wp14:anchorId="2DF8E7F1" wp14:editId="377E1CD5">
            <wp:extent cx="5124563" cy="7326201"/>
            <wp:effectExtent l="0" t="0" r="0" b="8255"/>
            <wp:docPr id="3" name="Bou Sleiman et al_Supplementary 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u Sleiman et al_Supplementary Figure 3.png"/>
                    <pic:cNvPicPr/>
                  </pic:nvPicPr>
                  <pic:blipFill>
                    <a:blip r:embed="rId12" r:link="rId13"/>
                    <a:stretch>
                      <a:fillRect/>
                    </a:stretch>
                  </pic:blipFill>
                  <pic:spPr>
                    <a:xfrm>
                      <a:off x="0" y="0"/>
                      <a:ext cx="5124563" cy="7326201"/>
                    </a:xfrm>
                    <a:prstGeom prst="rect">
                      <a:avLst/>
                    </a:prstGeom>
                  </pic:spPr>
                </pic:pic>
              </a:graphicData>
            </a:graphic>
          </wp:inline>
        </w:drawing>
      </w:r>
    </w:p>
    <w:p w14:paraId="0885C297" w14:textId="66D1A0E6" w:rsidR="00FC5517" w:rsidRPr="00F21686" w:rsidRDefault="00C9147E" w:rsidP="00FC5517">
      <w:pPr>
        <w:pStyle w:val="ParagrapheIntro"/>
      </w:pPr>
      <w:bookmarkStart w:id="2" w:name="_Toc459811070"/>
      <w:r>
        <w:rPr>
          <w:b/>
        </w:rPr>
        <w:t>Fig S</w:t>
      </w:r>
      <w:r w:rsidR="00FC5517" w:rsidRPr="00236FF8">
        <w:rPr>
          <w:b/>
        </w:rPr>
        <w:t>3. Post-infection transcripts tend to be longer, mainly due to the production of longer 5’ UTRs</w:t>
      </w:r>
      <w:bookmarkEnd w:id="2"/>
      <w:r w:rsidR="00FC5517" w:rsidRPr="00236FF8">
        <w:rPr>
          <w:b/>
        </w:rPr>
        <w:t>.</w:t>
      </w:r>
      <w:r w:rsidR="00FC5517" w:rsidRPr="007E2F5D">
        <w:t xml:space="preserve"> </w:t>
      </w:r>
      <w:r w:rsidR="00FC5517" w:rsidRPr="00236FF8">
        <w:rPr>
          <w:b/>
        </w:rPr>
        <w:t>(a)</w:t>
      </w:r>
      <w:r w:rsidR="00FC5517" w:rsidRPr="00AF04C5">
        <w:t xml:space="preserve"> </w:t>
      </w:r>
      <w:r w:rsidR="00FC5517" w:rsidRPr="007E2F5D">
        <w:t>Left panel:</w:t>
      </w:r>
      <w:r w:rsidR="00FC5517" w:rsidRPr="00AF04C5">
        <w:t xml:space="preserve"> The distribution of coefficients of variation in length of each transcript or feature due to natural variation within the DGRP lines. </w:t>
      </w:r>
      <w:r w:rsidR="00FC5517" w:rsidRPr="007E2F5D">
        <w:t>Right panel:</w:t>
      </w:r>
      <w:r w:rsidR="00FC5517" w:rsidRPr="00AF04C5">
        <w:t xml:space="preserve"> The distribution of coefficients of variation in effective length of each gene due to natural variation within the DGRP lines, isoform transcript ratios, and infection. </w:t>
      </w:r>
      <w:r w:rsidR="00FC5517" w:rsidRPr="00236FF8">
        <w:rPr>
          <w:b/>
        </w:rPr>
        <w:t>(b)</w:t>
      </w:r>
      <w:r w:rsidR="00FC5517" w:rsidRPr="00AF04C5">
        <w:t xml:space="preserve"> Breakdown of number of genes whose effective length increases (in green), decreases (in red) or stays constant (in grey) based on a certain feature (From left to right: the predicted polypeptide- (cds), 3’ UTR-, 5’ UTR-, and the transcript-based effective length change). </w:t>
      </w:r>
      <w:r w:rsidR="00FC5517" w:rsidRPr="00236FF8">
        <w:rPr>
          <w:b/>
        </w:rPr>
        <w:t>(c)</w:t>
      </w:r>
      <w:r w:rsidR="00FC5517" w:rsidRPr="00AF04C5">
        <w:t xml:space="preserve"> The per-gene frequency distribution among the DGRP lines of the number of genes that increase (green) or decrease (red) in </w:t>
      </w:r>
      <w:r w:rsidR="00FC5517" w:rsidRPr="00F21686">
        <w:t xml:space="preserve">effective length based on the features (from left to right: 3’ UTR, transcript, 5’ UTR, and predicted polypeptide). </w:t>
      </w:r>
      <w:r w:rsidR="00FC5517" w:rsidRPr="00F21686">
        <w:rPr>
          <w:b/>
        </w:rPr>
        <w:t xml:space="preserve">(d) </w:t>
      </w:r>
      <w:r w:rsidR="00FC5517" w:rsidRPr="00F21686">
        <w:t>Breakdown of 3’ UTR effective length changes by 3’ UTR class. Each gene with more than 1 isoform, was classified into 3 groups, depending on how its isoform lengths may be affected by 3’ UTRs. Alternate3Poly is the group of genes whose 3’ UTRs vary in 3’ polyadenylation site usage. Splicing is the group that is affected by alternative splicing. The remaining genes are either complex or ambiguous, or do not have diverse 3’ UTRs. The percentage is the percentage of all genes that increase, decrease, or do not change in effective 3’ UTR length.</w:t>
      </w:r>
    </w:p>
    <w:p w14:paraId="0E86D0E2" w14:textId="22903542" w:rsidR="00EF6478" w:rsidRDefault="00EF6478">
      <w:pPr>
        <w:spacing w:after="160" w:line="259" w:lineRule="auto"/>
        <w:jc w:val="left"/>
      </w:pPr>
      <w:r>
        <w:br w:type="page"/>
      </w:r>
    </w:p>
    <w:p w14:paraId="1157E186" w14:textId="6BAE3CCA" w:rsidR="00FC5517" w:rsidRPr="00F21686" w:rsidRDefault="00EF6478" w:rsidP="003310EE">
      <w:pPr>
        <w:jc w:val="center"/>
      </w:pPr>
      <w:r>
        <w:rPr>
          <w:noProof/>
        </w:rPr>
        <w:drawing>
          <wp:inline distT="0" distB="0" distL="0" distR="0" wp14:anchorId="165EFBDC" wp14:editId="7C24DFD5">
            <wp:extent cx="5722027" cy="3615914"/>
            <wp:effectExtent l="0" t="0" r="0" b="3810"/>
            <wp:docPr id="4" name="Bou Sleiman et al_Supplementary Fig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ou Sleiman et al_Supplementary Figure 4.png"/>
                    <pic:cNvPicPr/>
                  </pic:nvPicPr>
                  <pic:blipFill>
                    <a:blip r:embed="rId14" r:link="rId15"/>
                    <a:stretch>
                      <a:fillRect/>
                    </a:stretch>
                  </pic:blipFill>
                  <pic:spPr>
                    <a:xfrm>
                      <a:off x="0" y="0"/>
                      <a:ext cx="5722027" cy="3615914"/>
                    </a:xfrm>
                    <a:prstGeom prst="rect">
                      <a:avLst/>
                    </a:prstGeom>
                  </pic:spPr>
                </pic:pic>
              </a:graphicData>
            </a:graphic>
          </wp:inline>
        </w:drawing>
      </w:r>
    </w:p>
    <w:p w14:paraId="65082027" w14:textId="65865F25" w:rsidR="00FC5517" w:rsidRPr="00A94651" w:rsidRDefault="00C9147E" w:rsidP="00FC5517">
      <w:pPr>
        <w:pStyle w:val="ParagrapheIntro"/>
      </w:pPr>
      <w:r>
        <w:rPr>
          <w:b/>
        </w:rPr>
        <w:t>Fig S</w:t>
      </w:r>
      <w:r w:rsidR="00FC5517" w:rsidRPr="00236FF8">
        <w:rPr>
          <w:b/>
        </w:rPr>
        <w:t>4. Enteric infection with different pathogens leads to widespread changes in intron retention</w:t>
      </w:r>
      <w:r w:rsidR="00FC5517">
        <w:rPr>
          <w:b/>
        </w:rPr>
        <w:t>.</w:t>
      </w:r>
      <w:r w:rsidR="00FC5517" w:rsidRPr="00236FF8">
        <w:rPr>
          <w:b/>
        </w:rPr>
        <w:t xml:space="preserve"> (a)</w:t>
      </w:r>
      <w:r w:rsidR="00FC5517">
        <w:t xml:space="preserve"> </w:t>
      </w:r>
      <w:r w:rsidR="00FC5517" w:rsidRPr="00A94651">
        <w:t xml:space="preserve">Frequency distribution of </w:t>
      </w:r>
      <w:r w:rsidR="00FC5CA3">
        <w:rPr>
          <w:lang w:val="en-CH"/>
        </w:rPr>
        <w:t xml:space="preserve">introns with significant </w:t>
      </w:r>
      <w:r w:rsidR="00317FEC">
        <w:rPr>
          <w:lang w:val="en-CH"/>
        </w:rPr>
        <w:t>increase</w:t>
      </w:r>
      <w:r w:rsidR="00FC5CA3">
        <w:rPr>
          <w:lang w:val="en-CH"/>
        </w:rPr>
        <w:t xml:space="preserve"> or decrease in retention</w:t>
      </w:r>
      <w:r w:rsidR="00FC5517" w:rsidRPr="00A94651">
        <w:t xml:space="preserve"> in the 38 DGRP lines. The two distributions are overlaid, not stacked, and show that there are more introns</w:t>
      </w:r>
      <w:r w:rsidR="00260DF1">
        <w:rPr>
          <w:lang w:val="en-CH"/>
        </w:rPr>
        <w:t xml:space="preserve"> with increased retention</w:t>
      </w:r>
      <w:r w:rsidR="00FC5517" w:rsidRPr="00A94651">
        <w:t xml:space="preserve"> that are shared between different DGRP lines.</w:t>
      </w:r>
      <w:r w:rsidR="00FC5517">
        <w:t xml:space="preserve"> </w:t>
      </w:r>
      <w:r w:rsidR="00FC5517" w:rsidRPr="00236FF8">
        <w:rPr>
          <w:b/>
        </w:rPr>
        <w:t>(b)</w:t>
      </w:r>
      <w:r w:rsidR="00FC5517">
        <w:t xml:space="preserve"> </w:t>
      </w:r>
      <w:r w:rsidR="00FC5517" w:rsidRPr="00A94651">
        <w:t>Scatterplot showing the number of</w:t>
      </w:r>
      <w:r w:rsidR="00260DF1">
        <w:rPr>
          <w:lang w:val="en-CH"/>
        </w:rPr>
        <w:t xml:space="preserve"> introns with</w:t>
      </w:r>
      <w:r w:rsidR="00FC5517" w:rsidRPr="00A94651">
        <w:t xml:space="preserve"> significantly </w:t>
      </w:r>
      <w:r w:rsidR="00260DF1">
        <w:rPr>
          <w:lang w:val="en-CH"/>
        </w:rPr>
        <w:t>decreased</w:t>
      </w:r>
      <w:r w:rsidR="00FC5517" w:rsidRPr="00A94651">
        <w:t xml:space="preserve"> and </w:t>
      </w:r>
      <w:r w:rsidR="00260DF1">
        <w:rPr>
          <w:lang w:val="en-CH"/>
        </w:rPr>
        <w:t>increased retention</w:t>
      </w:r>
      <w:r w:rsidR="00FC5517" w:rsidRPr="00A94651">
        <w:t xml:space="preserve"> in each DGRP line. Most DGRP lines have more </w:t>
      </w:r>
      <w:r w:rsidR="00260DF1">
        <w:rPr>
          <w:lang w:val="en-CH"/>
        </w:rPr>
        <w:t>introns with increased than decreased retention</w:t>
      </w:r>
      <w:r w:rsidR="00FC5517" w:rsidRPr="00A94651">
        <w:t>.</w:t>
      </w:r>
      <w:r w:rsidR="00FC5517">
        <w:t xml:space="preserve"> </w:t>
      </w:r>
      <w:r w:rsidR="00FC5517" w:rsidRPr="00236FF8">
        <w:rPr>
          <w:b/>
          <w:lang w:val="en-US"/>
        </w:rPr>
        <w:t>(c)</w:t>
      </w:r>
      <w:r w:rsidR="00FC5517" w:rsidRPr="000753ED">
        <w:rPr>
          <w:lang w:val="en-US"/>
        </w:rPr>
        <w:t xml:space="preserve"> </w:t>
      </w:r>
      <w:r w:rsidR="00FC5517" w:rsidRPr="00A94651">
        <w:t>Venn diagram showing the intersection of the significant intron retention events under the two conditions (</w:t>
      </w:r>
      <w:r w:rsidR="00FC5517" w:rsidRPr="00A94651">
        <w:rPr>
          <w:i/>
        </w:rPr>
        <w:t>Pe</w:t>
      </w:r>
      <w:r w:rsidR="00FC5517" w:rsidRPr="00A94651">
        <w:t xml:space="preserve"> and </w:t>
      </w:r>
      <w:r w:rsidR="00FC5517" w:rsidRPr="00A94651">
        <w:rPr>
          <w:i/>
        </w:rPr>
        <w:t>Ecc15</w:t>
      </w:r>
      <w:r w:rsidR="00FC5517" w:rsidRPr="00A94651">
        <w:t>).</w:t>
      </w:r>
      <w:r w:rsidR="00FC5517" w:rsidRPr="006257DE">
        <w:t xml:space="preserve"> </w:t>
      </w:r>
      <w:r w:rsidR="00FC5517" w:rsidRPr="00236FF8">
        <w:rPr>
          <w:b/>
        </w:rPr>
        <w:t>(d)</w:t>
      </w:r>
      <w:r w:rsidR="00FC5517" w:rsidRPr="000753ED">
        <w:t xml:space="preserve"> </w:t>
      </w:r>
      <w:r w:rsidR="00FC5517" w:rsidRPr="00A94651">
        <w:t xml:space="preserve">Illustration of multiple intron retention events within a single gene </w:t>
      </w:r>
      <w:r w:rsidR="00FC5517" w:rsidRPr="00A94651">
        <w:rPr>
          <w:i/>
        </w:rPr>
        <w:t>Cyp309a1</w:t>
      </w:r>
      <w:r w:rsidR="00FC5517" w:rsidRPr="00A94651">
        <w:t>. Retained introns are marked by an asterisk. The snapshot was obtained using IGV.</w:t>
      </w:r>
    </w:p>
    <w:p w14:paraId="03C65EE6" w14:textId="6ABB7BF5" w:rsidR="00E74F0D" w:rsidRDefault="00E74F0D">
      <w:pPr>
        <w:spacing w:after="160" w:line="259" w:lineRule="auto"/>
        <w:jc w:val="left"/>
        <w:rPr>
          <w:sz w:val="18"/>
        </w:rPr>
      </w:pPr>
      <w:r>
        <w:br w:type="page"/>
      </w:r>
    </w:p>
    <w:p w14:paraId="358F5C8B" w14:textId="7AF09197" w:rsidR="00FC5517" w:rsidRPr="0078368D" w:rsidRDefault="00E74F0D" w:rsidP="003310EE">
      <w:pPr>
        <w:pStyle w:val="Paragraphe"/>
        <w:jc w:val="center"/>
        <w:rPr>
          <w:lang w:val="en-GB"/>
        </w:rPr>
      </w:pPr>
      <w:r>
        <w:rPr>
          <w:noProof/>
          <w:lang w:val="en-GB"/>
        </w:rPr>
        <w:drawing>
          <wp:inline distT="0" distB="0" distL="0" distR="0" wp14:anchorId="7A0E387A" wp14:editId="02B063F7">
            <wp:extent cx="5689898" cy="4676143"/>
            <wp:effectExtent l="0" t="0" r="6350" b="0"/>
            <wp:docPr id="5" name="Bou Sleiman et al_Supplementary Figu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ou Sleiman et al_Supplementary Figure 5.png"/>
                    <pic:cNvPicPr/>
                  </pic:nvPicPr>
                  <pic:blipFill>
                    <a:blip r:embed="rId16" r:link="rId17"/>
                    <a:stretch>
                      <a:fillRect/>
                    </a:stretch>
                  </pic:blipFill>
                  <pic:spPr>
                    <a:xfrm>
                      <a:off x="0" y="0"/>
                      <a:ext cx="5689898" cy="4676143"/>
                    </a:xfrm>
                    <a:prstGeom prst="rect">
                      <a:avLst/>
                    </a:prstGeom>
                  </pic:spPr>
                </pic:pic>
              </a:graphicData>
            </a:graphic>
          </wp:inline>
        </w:drawing>
      </w:r>
    </w:p>
    <w:p w14:paraId="6C335227" w14:textId="775B47C1" w:rsidR="00FC5517" w:rsidRDefault="00C9147E" w:rsidP="00FC5517">
      <w:pPr>
        <w:pStyle w:val="ParagrapheIntro"/>
      </w:pPr>
      <w:bookmarkStart w:id="3" w:name="_Toc459811072"/>
      <w:r>
        <w:rPr>
          <w:b/>
        </w:rPr>
        <w:t>Fig S</w:t>
      </w:r>
      <w:r w:rsidR="00FC5517" w:rsidRPr="00B577BE">
        <w:rPr>
          <w:b/>
        </w:rPr>
        <w:t xml:space="preserve">5. </w:t>
      </w:r>
      <w:r w:rsidR="00497F63">
        <w:rPr>
          <w:b/>
          <w:lang w:val="en-CH"/>
        </w:rPr>
        <w:t>I</w:t>
      </w:r>
      <w:r w:rsidR="00FC5517" w:rsidRPr="00B577BE">
        <w:rPr>
          <w:b/>
        </w:rPr>
        <w:t>ntrons</w:t>
      </w:r>
      <w:r w:rsidR="00497F63">
        <w:rPr>
          <w:b/>
          <w:lang w:val="en-CH"/>
        </w:rPr>
        <w:t xml:space="preserve"> with increased retention</w:t>
      </w:r>
      <w:r w:rsidR="00FC5517" w:rsidRPr="00B577BE">
        <w:rPr>
          <w:b/>
        </w:rPr>
        <w:t xml:space="preserve"> have exon-like characteristics</w:t>
      </w:r>
      <w:bookmarkEnd w:id="3"/>
      <w:r w:rsidR="00FC5517">
        <w:t xml:space="preserve">. </w:t>
      </w:r>
      <w:r w:rsidR="00FC5517" w:rsidRPr="00132753">
        <w:rPr>
          <w:b/>
        </w:rPr>
        <w:t>(</w:t>
      </w:r>
      <w:r w:rsidR="00FC5517">
        <w:rPr>
          <w:b/>
        </w:rPr>
        <w:t>a</w:t>
      </w:r>
      <w:r w:rsidR="00FC5517" w:rsidRPr="00132753">
        <w:rPr>
          <w:b/>
        </w:rPr>
        <w:t xml:space="preserve">) </w:t>
      </w:r>
      <w:r w:rsidR="00FC5517" w:rsidRPr="00132753">
        <w:t>Distribution of intron lengths (in log</w:t>
      </w:r>
      <w:r w:rsidR="00FC5517" w:rsidRPr="00132753">
        <w:rPr>
          <w:vertAlign w:val="subscript"/>
        </w:rPr>
        <w:t>2</w:t>
      </w:r>
      <w:r w:rsidR="00FC5517" w:rsidRPr="00132753">
        <w:t xml:space="preserve"> scale) as a function of location within the transcript for non-significant (uppe</w:t>
      </w:r>
      <w:r w:rsidR="00FC5517">
        <w:t>r</w:t>
      </w:r>
      <w:r w:rsidR="00FC5517" w:rsidRPr="00132753">
        <w:t xml:space="preserve"> panel</w:t>
      </w:r>
      <w:r w:rsidR="00FC5517">
        <w:t>s</w:t>
      </w:r>
      <w:r w:rsidR="00FC5517" w:rsidRPr="00132753">
        <w:t>, red) and significant</w:t>
      </w:r>
      <w:r w:rsidR="00FC5517">
        <w:t>ly changed introns</w:t>
      </w:r>
      <w:r w:rsidR="00FC5517" w:rsidRPr="00132753">
        <w:t xml:space="preserve"> in at least 4 DGRP lines (lowe</w:t>
      </w:r>
      <w:r w:rsidR="00FC5517">
        <w:t>r</w:t>
      </w:r>
      <w:r w:rsidR="00FC5517" w:rsidRPr="00132753">
        <w:t xml:space="preserve"> panel</w:t>
      </w:r>
      <w:r w:rsidR="00FC5517">
        <w:t>s</w:t>
      </w:r>
      <w:r w:rsidR="00FC5517" w:rsidRPr="00132753">
        <w:t>, blue)</w:t>
      </w:r>
      <w:r w:rsidR="00FC5517">
        <w:t xml:space="preserve">. The left panels show introns that have </w:t>
      </w:r>
      <w:r w:rsidR="00497F63">
        <w:rPr>
          <w:lang w:val="en-CH"/>
        </w:rPr>
        <w:t>decreased retention</w:t>
      </w:r>
      <w:r w:rsidR="00FC5517">
        <w:t xml:space="preserve"> (</w:t>
      </w:r>
      <w:r w:rsidR="00FC5517" w:rsidRPr="00132753">
        <w:t>negative delta PSI</w:t>
      </w:r>
      <w:r w:rsidR="00FC5517">
        <w:t xml:space="preserve">) whereas the right panels </w:t>
      </w:r>
      <w:r w:rsidR="00497F63">
        <w:rPr>
          <w:lang w:val="en-CH"/>
        </w:rPr>
        <w:t>have increased retention</w:t>
      </w:r>
      <w:r w:rsidR="00FC5517" w:rsidRPr="00132753">
        <w:t xml:space="preserve"> (positive delta PSI, right). The blue lines are loess smoothing curves with 95% confidence intervals. </w:t>
      </w:r>
      <w:r w:rsidR="00A22250" w:rsidRPr="00F21686">
        <w:rPr>
          <w:b/>
        </w:rPr>
        <w:t>(</w:t>
      </w:r>
      <w:r w:rsidR="00A22250">
        <w:rPr>
          <w:b/>
          <w:lang w:val="en-CH"/>
        </w:rPr>
        <w:t>b</w:t>
      </w:r>
      <w:r w:rsidR="00A22250" w:rsidRPr="00F21686">
        <w:rPr>
          <w:b/>
        </w:rPr>
        <w:t>)</w:t>
      </w:r>
      <w:r w:rsidR="00A22250" w:rsidRPr="00F21686">
        <w:t xml:space="preserve"> Standardized RNA polymerase II signal density in log</w:t>
      </w:r>
      <w:r w:rsidR="00A22250" w:rsidRPr="00F21686">
        <w:rPr>
          <w:vertAlign w:val="subscript"/>
        </w:rPr>
        <w:t>2</w:t>
      </w:r>
      <w:r w:rsidR="00A22250" w:rsidRPr="00F21686">
        <w:t xml:space="preserve">(rpkm) </w:t>
      </w:r>
      <w:r w:rsidR="00A22250">
        <w:rPr>
          <w:lang w:val="en-CH"/>
        </w:rPr>
        <w:t xml:space="preserve">in the uninfected state, </w:t>
      </w:r>
      <w:r w:rsidR="00A22250" w:rsidRPr="00F21686">
        <w:t xml:space="preserve">in introns and flanking exons for all intron retention events </w:t>
      </w:r>
      <w:r w:rsidR="00A22250">
        <w:rPr>
          <w:lang w:val="en-CH"/>
        </w:rPr>
        <w:t>with significant changes in retention</w:t>
      </w:r>
      <w:r w:rsidR="00A22250" w:rsidRPr="00F21686">
        <w:t xml:space="preserve">. </w:t>
      </w:r>
      <w:r w:rsidR="00FC5517" w:rsidRPr="00DA04A7">
        <w:rPr>
          <w:b/>
        </w:rPr>
        <w:t>(</w:t>
      </w:r>
      <w:r w:rsidR="00A22250">
        <w:rPr>
          <w:b/>
          <w:lang w:val="en-CH"/>
        </w:rPr>
        <w:t>c</w:t>
      </w:r>
      <w:r w:rsidR="00FC5517" w:rsidRPr="00DA04A7">
        <w:rPr>
          <w:b/>
        </w:rPr>
        <w:t>)</w:t>
      </w:r>
      <w:r w:rsidR="00FC5517">
        <w:t xml:space="preserve"> Proportion of introns ov</w:t>
      </w:r>
      <w:bookmarkStart w:id="4" w:name="_GoBack"/>
      <w:bookmarkEnd w:id="4"/>
      <w:r w:rsidR="00FC5517">
        <w:t xml:space="preserve">erlapping a uORF in all tested introns by DGRP line (left panel, paired one-sided t-test p-value = 1.47e-15), and in introns that are significantly changed in each of the DGRP lines (right </w:t>
      </w:r>
      <w:r w:rsidR="00FC5517" w:rsidRPr="00F21686">
        <w:t>panel, paired one-sided t-test p-value = 8.2e-8).</w:t>
      </w:r>
      <w:r w:rsidR="00FC5517" w:rsidRPr="00F21686">
        <w:rPr>
          <w:b/>
        </w:rPr>
        <w:t xml:space="preserve"> (d-e) </w:t>
      </w:r>
      <w:r w:rsidR="00FC5517" w:rsidRPr="00F21686">
        <w:t xml:space="preserve">Histogram representing the motif scanning results, using FIMO, of enriched motifs in the two intron groups: </w:t>
      </w:r>
      <w:r w:rsidR="00FC5517" w:rsidRPr="00F21686">
        <w:rPr>
          <w:b/>
        </w:rPr>
        <w:t>(d)</w:t>
      </w:r>
      <w:r w:rsidR="00FC5517" w:rsidRPr="00F21686">
        <w:t xml:space="preserve"> shows the positional density in nucleotides with respect to the introns’ 5’ splice site, whereas </w:t>
      </w:r>
      <w:r w:rsidR="00FC5517" w:rsidRPr="00F21686">
        <w:rPr>
          <w:b/>
        </w:rPr>
        <w:t>(e)</w:t>
      </w:r>
      <w:r w:rsidR="00FC5517" w:rsidRPr="00F21686">
        <w:t xml:space="preserve"> shows the positional density normalized to the intron length. The scans were performed on introns plus 50 bps from each side, hence some predicted binding sites are found outside the normalized 0-100% range of the intron.</w:t>
      </w:r>
    </w:p>
    <w:p w14:paraId="58102077" w14:textId="7DBA4A45" w:rsidR="00FC58A4" w:rsidRDefault="00FC58A4">
      <w:pPr>
        <w:spacing w:after="160" w:line="259" w:lineRule="auto"/>
        <w:jc w:val="left"/>
      </w:pPr>
      <w:r>
        <w:br w:type="page"/>
      </w:r>
    </w:p>
    <w:p w14:paraId="6EC03F7C" w14:textId="095E89CB" w:rsidR="00FC58A4" w:rsidRPr="00FC58A4" w:rsidRDefault="00FC58A4" w:rsidP="003310EE">
      <w:pPr>
        <w:jc w:val="center"/>
      </w:pPr>
      <w:r>
        <w:rPr>
          <w:noProof/>
        </w:rPr>
        <w:drawing>
          <wp:inline distT="0" distB="0" distL="0" distR="0" wp14:anchorId="0AD8F66F" wp14:editId="35E4535C">
            <wp:extent cx="5714622" cy="3116275"/>
            <wp:effectExtent l="0" t="0" r="635" b="8255"/>
            <wp:docPr id="6" name="Bou Sleiman et al_Fig 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ou Sleiman et al_Fig S6.png"/>
                    <pic:cNvPicPr/>
                  </pic:nvPicPr>
                  <pic:blipFill>
                    <a:blip r:embed="rId18" r:link="rId19"/>
                    <a:stretch>
                      <a:fillRect/>
                    </a:stretch>
                  </pic:blipFill>
                  <pic:spPr>
                    <a:xfrm>
                      <a:off x="0" y="0"/>
                      <a:ext cx="5736247" cy="3128067"/>
                    </a:xfrm>
                    <a:prstGeom prst="rect">
                      <a:avLst/>
                    </a:prstGeom>
                  </pic:spPr>
                </pic:pic>
              </a:graphicData>
            </a:graphic>
          </wp:inline>
        </w:drawing>
      </w:r>
    </w:p>
    <w:p w14:paraId="65C38D07" w14:textId="182A8C38" w:rsidR="00C90C96" w:rsidRPr="00FC5517" w:rsidRDefault="00752E1B" w:rsidP="00FC58A4">
      <w:pPr>
        <w:pStyle w:val="ParagrapheIntro"/>
        <w:rPr>
          <w:lang w:val="en-US"/>
        </w:rPr>
      </w:pPr>
      <w:r>
        <w:rPr>
          <w:b/>
        </w:rPr>
        <w:t>Fig S</w:t>
      </w:r>
      <w:r w:rsidR="00FC5517" w:rsidRPr="00236FF8">
        <w:rPr>
          <w:b/>
        </w:rPr>
        <w:t xml:space="preserve">6. </w:t>
      </w:r>
      <w:r w:rsidR="00FC5517" w:rsidRPr="00236FF8">
        <w:rPr>
          <w:b/>
          <w:lang w:val="en-US"/>
        </w:rPr>
        <w:t>Lark perturbation leads to global changes in gene expression as well as enhanced survival to infection. (a)</w:t>
      </w:r>
      <w:r w:rsidR="00FC5517" w:rsidRPr="00067817">
        <w:rPr>
          <w:lang w:val="en-US"/>
        </w:rPr>
        <w:t xml:space="preserve"> Hierarchical clustering of the generated transcriptomes. We identified two batches where the infection effect was weaker than the genotype effect, so we excluded them from further analyses. </w:t>
      </w:r>
      <w:r w:rsidR="00FC5517" w:rsidRPr="00236FF8">
        <w:rPr>
          <w:b/>
          <w:lang w:val="en-US"/>
        </w:rPr>
        <w:t>(b)</w:t>
      </w:r>
      <w:r w:rsidR="00FC5517" w:rsidRPr="00067817">
        <w:rPr>
          <w:lang w:val="en-US"/>
        </w:rPr>
        <w:t xml:space="preserve"> Pairwise comparisons of log</w:t>
      </w:r>
      <w:r w:rsidR="00FC5517" w:rsidRPr="00067817">
        <w:rPr>
          <w:vertAlign w:val="subscript"/>
          <w:lang w:val="en-US"/>
        </w:rPr>
        <w:t>2</w:t>
      </w:r>
      <w:r w:rsidR="00FC5517" w:rsidRPr="00067817">
        <w:rPr>
          <w:lang w:val="en-US"/>
        </w:rPr>
        <w:t xml:space="preserve">(fold changes) of the infection, overexpression, and knockdown effects. The fold changes were computed using limma with a model that includes genotype (WT, </w:t>
      </w:r>
      <w:r w:rsidR="00FC5517" w:rsidRPr="00067817">
        <w:rPr>
          <w:i/>
          <w:lang w:val="en-US"/>
        </w:rPr>
        <w:t>lark</w:t>
      </w:r>
      <w:r w:rsidR="00FC5517" w:rsidRPr="00067817">
        <w:rPr>
          <w:lang w:val="en-US"/>
        </w:rPr>
        <w:t xml:space="preserve"> knockdown, </w:t>
      </w:r>
      <w:r w:rsidR="00FC5517" w:rsidRPr="00067817">
        <w:rPr>
          <w:i/>
          <w:lang w:val="en-US"/>
        </w:rPr>
        <w:t>lark</w:t>
      </w:r>
      <w:r w:rsidR="00FC5517" w:rsidRPr="00067817">
        <w:rPr>
          <w:lang w:val="en-US"/>
        </w:rPr>
        <w:t xml:space="preserve"> overexpression) and condition (control and infected).</w:t>
      </w:r>
    </w:p>
    <w:sectPr w:rsidR="00C90C96" w:rsidRPr="00FC5517">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B2587" w14:textId="77777777" w:rsidR="0029567C" w:rsidRDefault="0029567C" w:rsidP="003B1B80">
      <w:pPr>
        <w:spacing w:after="0" w:line="240" w:lineRule="auto"/>
      </w:pPr>
      <w:r>
        <w:separator/>
      </w:r>
    </w:p>
  </w:endnote>
  <w:endnote w:type="continuationSeparator" w:id="0">
    <w:p w14:paraId="5CF1C083" w14:textId="77777777" w:rsidR="0029567C" w:rsidRDefault="0029567C" w:rsidP="003B1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altName w:val="Arial"/>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2264037"/>
      <w:docPartObj>
        <w:docPartGallery w:val="Page Numbers (Bottom of Page)"/>
        <w:docPartUnique/>
      </w:docPartObj>
    </w:sdtPr>
    <w:sdtEndPr>
      <w:rPr>
        <w:noProof/>
      </w:rPr>
    </w:sdtEndPr>
    <w:sdtContent>
      <w:p w14:paraId="66F1EC40" w14:textId="57F632CA" w:rsidR="0077263A" w:rsidRDefault="0077263A">
        <w:pPr>
          <w:pStyle w:val="Footer"/>
          <w:jc w:val="right"/>
        </w:pPr>
        <w:r>
          <w:fldChar w:fldCharType="begin"/>
        </w:r>
        <w:r>
          <w:instrText xml:space="preserve"> PAGE   \* MERGEFORMAT </w:instrText>
        </w:r>
        <w:r>
          <w:fldChar w:fldCharType="separate"/>
        </w:r>
        <w:r w:rsidR="00AB77CF">
          <w:rPr>
            <w:noProof/>
          </w:rPr>
          <w:t>1</w:t>
        </w:r>
        <w:r>
          <w:rPr>
            <w:noProof/>
          </w:rPr>
          <w:fldChar w:fldCharType="end"/>
        </w:r>
      </w:p>
    </w:sdtContent>
  </w:sdt>
  <w:p w14:paraId="35D30A99" w14:textId="77777777" w:rsidR="0077263A" w:rsidRDefault="00772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82E8BC" w14:textId="77777777" w:rsidR="0029567C" w:rsidRDefault="0029567C" w:rsidP="003B1B80">
      <w:pPr>
        <w:spacing w:after="0" w:line="240" w:lineRule="auto"/>
      </w:pPr>
      <w:r>
        <w:separator/>
      </w:r>
    </w:p>
  </w:footnote>
  <w:footnote w:type="continuationSeparator" w:id="0">
    <w:p w14:paraId="503BDC72" w14:textId="77777777" w:rsidR="0029567C" w:rsidRDefault="0029567C" w:rsidP="003B1B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9110F"/>
    <w:multiLevelType w:val="hybridMultilevel"/>
    <w:tmpl w:val="7CAA17D4"/>
    <w:lvl w:ilvl="0" w:tplc="D75C85E8">
      <w:start w:val="1"/>
      <w:numFmt w:val="lowerLetter"/>
      <w:lvlText w:val="(%1)"/>
      <w:lvlJc w:val="left"/>
      <w:pPr>
        <w:ind w:left="405" w:hanging="360"/>
      </w:pPr>
      <w:rPr>
        <w:rFonts w:hint="default"/>
        <w:b/>
      </w:rPr>
    </w:lvl>
    <w:lvl w:ilvl="1" w:tplc="100C0019" w:tentative="1">
      <w:start w:val="1"/>
      <w:numFmt w:val="lowerLetter"/>
      <w:lvlText w:val="%2."/>
      <w:lvlJc w:val="left"/>
      <w:pPr>
        <w:ind w:left="1125" w:hanging="360"/>
      </w:pPr>
    </w:lvl>
    <w:lvl w:ilvl="2" w:tplc="100C001B" w:tentative="1">
      <w:start w:val="1"/>
      <w:numFmt w:val="lowerRoman"/>
      <w:lvlText w:val="%3."/>
      <w:lvlJc w:val="right"/>
      <w:pPr>
        <w:ind w:left="1845" w:hanging="180"/>
      </w:pPr>
    </w:lvl>
    <w:lvl w:ilvl="3" w:tplc="100C000F" w:tentative="1">
      <w:start w:val="1"/>
      <w:numFmt w:val="decimal"/>
      <w:lvlText w:val="%4."/>
      <w:lvlJc w:val="left"/>
      <w:pPr>
        <w:ind w:left="2565" w:hanging="360"/>
      </w:pPr>
    </w:lvl>
    <w:lvl w:ilvl="4" w:tplc="100C0019" w:tentative="1">
      <w:start w:val="1"/>
      <w:numFmt w:val="lowerLetter"/>
      <w:lvlText w:val="%5."/>
      <w:lvlJc w:val="left"/>
      <w:pPr>
        <w:ind w:left="3285" w:hanging="360"/>
      </w:pPr>
    </w:lvl>
    <w:lvl w:ilvl="5" w:tplc="100C001B" w:tentative="1">
      <w:start w:val="1"/>
      <w:numFmt w:val="lowerRoman"/>
      <w:lvlText w:val="%6."/>
      <w:lvlJc w:val="right"/>
      <w:pPr>
        <w:ind w:left="4005" w:hanging="180"/>
      </w:pPr>
    </w:lvl>
    <w:lvl w:ilvl="6" w:tplc="100C000F" w:tentative="1">
      <w:start w:val="1"/>
      <w:numFmt w:val="decimal"/>
      <w:lvlText w:val="%7."/>
      <w:lvlJc w:val="left"/>
      <w:pPr>
        <w:ind w:left="4725" w:hanging="360"/>
      </w:pPr>
    </w:lvl>
    <w:lvl w:ilvl="7" w:tplc="100C0019" w:tentative="1">
      <w:start w:val="1"/>
      <w:numFmt w:val="lowerLetter"/>
      <w:lvlText w:val="%8."/>
      <w:lvlJc w:val="left"/>
      <w:pPr>
        <w:ind w:left="5445" w:hanging="360"/>
      </w:pPr>
    </w:lvl>
    <w:lvl w:ilvl="8" w:tplc="100C001B" w:tentative="1">
      <w:start w:val="1"/>
      <w:numFmt w:val="lowerRoman"/>
      <w:lvlText w:val="%9."/>
      <w:lvlJc w:val="right"/>
      <w:pPr>
        <w:ind w:left="6165" w:hanging="180"/>
      </w:pPr>
    </w:lvl>
  </w:abstractNum>
  <w:abstractNum w:abstractNumId="1" w15:restartNumberingAfterBreak="0">
    <w:nsid w:val="225963B8"/>
    <w:multiLevelType w:val="hybridMultilevel"/>
    <w:tmpl w:val="E0ACA57E"/>
    <w:lvl w:ilvl="0" w:tplc="BD1A1F08">
      <w:start w:val="1"/>
      <w:numFmt w:val="decimal"/>
      <w:lvlText w:val="Additional File %1 -"/>
      <w:lvlJc w:val="left"/>
      <w:pPr>
        <w:ind w:left="720" w:hanging="360"/>
      </w:pPr>
      <w:rPr>
        <w:rFonts w:hint="default"/>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618A3432"/>
    <w:multiLevelType w:val="multilevel"/>
    <w:tmpl w:val="8A4A9D22"/>
    <w:lvl w:ilvl="0">
      <w:start w:val="1"/>
      <w:numFmt w:val="decimal"/>
      <w:pStyle w:val="Heading1"/>
      <w:lvlText w:val="Chapter %1"/>
      <w:lvlJc w:val="left"/>
      <w:pPr>
        <w:ind w:left="1353" w:hanging="360"/>
      </w:pPr>
      <w:rPr>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1002" w:hanging="576"/>
      </w:pPr>
    </w:lvl>
    <w:lvl w:ilvl="2">
      <w:start w:val="1"/>
      <w:numFmt w:val="decimal"/>
      <w:pStyle w:val="Heading3"/>
      <w:lvlText w:val="%1.%2.%3"/>
      <w:lvlJc w:val="left"/>
      <w:pPr>
        <w:ind w:left="862" w:hanging="720"/>
      </w:pPr>
    </w:lvl>
    <w:lvl w:ilvl="3">
      <w:start w:val="1"/>
      <w:numFmt w:val="decimal"/>
      <w:pStyle w:val="Heading4"/>
      <w:lvlText w:val="%1.%2.%3.%4"/>
      <w:lvlJc w:val="left"/>
      <w:pPr>
        <w:ind w:left="1006" w:hanging="864"/>
      </w:pPr>
    </w:lvl>
    <w:lvl w:ilvl="4">
      <w:start w:val="1"/>
      <w:numFmt w:val="decimal"/>
      <w:pStyle w:val="Heading5"/>
      <w:lvlText w:val="%1.%2.%3.%4.%5"/>
      <w:lvlJc w:val="left"/>
      <w:pPr>
        <w:ind w:left="1150" w:hanging="1008"/>
      </w:pPr>
    </w:lvl>
    <w:lvl w:ilvl="5">
      <w:start w:val="1"/>
      <w:numFmt w:val="decimal"/>
      <w:pStyle w:val="Heading6"/>
      <w:lvlText w:val="%1.%2.%3.%4.%5.%6"/>
      <w:lvlJc w:val="left"/>
      <w:pPr>
        <w:ind w:left="1294" w:hanging="1152"/>
      </w:pPr>
    </w:lvl>
    <w:lvl w:ilvl="6">
      <w:start w:val="1"/>
      <w:numFmt w:val="decimal"/>
      <w:pStyle w:val="Heading7"/>
      <w:lvlText w:val="%1.%2.%3.%4.%5.%6.%7"/>
      <w:lvlJc w:val="left"/>
      <w:pPr>
        <w:ind w:left="1438" w:hanging="1296"/>
      </w:pPr>
    </w:lvl>
    <w:lvl w:ilvl="7">
      <w:start w:val="1"/>
      <w:numFmt w:val="decimal"/>
      <w:pStyle w:val="Heading8"/>
      <w:lvlText w:val="%1.%2.%3.%4.%5.%6.%7.%8"/>
      <w:lvlJc w:val="left"/>
      <w:pPr>
        <w:ind w:left="1582" w:hanging="1440"/>
      </w:pPr>
    </w:lvl>
    <w:lvl w:ilvl="8">
      <w:start w:val="1"/>
      <w:numFmt w:val="decimal"/>
      <w:pStyle w:val="Heading9"/>
      <w:lvlText w:val="%1.%2.%3.%4.%5.%6.%7.%8.%9"/>
      <w:lvlJc w:val="left"/>
      <w:pPr>
        <w:ind w:left="1726" w:hanging="1584"/>
      </w:pPr>
    </w:lvl>
  </w:abstractNum>
  <w:abstractNum w:abstractNumId="3" w15:restartNumberingAfterBreak="0">
    <w:nsid w:val="67CD7AF8"/>
    <w:multiLevelType w:val="hybridMultilevel"/>
    <w:tmpl w:val="AE3804E0"/>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769F7A83"/>
    <w:multiLevelType w:val="hybridMultilevel"/>
    <w:tmpl w:val="9900432A"/>
    <w:lvl w:ilvl="0" w:tplc="B2864C32">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4"/>
  </w:num>
  <w:num w:numId="6">
    <w:abstractNumId w:val="2"/>
  </w:num>
  <w:num w:numId="7">
    <w:abstractNumId w:val="0"/>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fr-CH" w:vendorID="64" w:dllVersion="6" w:nlCheck="1" w:checkStyle="0"/>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fr-FR" w:vendorID="64" w:dllVersion="6" w:nlCheck="1" w:checkStyle="0"/>
  <w:activeWritingStyle w:appName="MSWord" w:lang="en-CH" w:vendorID="64" w:dllVersion="4096" w:nlCheck="1" w:checkStyle="0"/>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sd9dpxd8etwroezw2pvep2pf0zpadf2xtw5&quot;&gt;Bou Sleiman&lt;record-ids&gt;&lt;item&gt;7&lt;/item&gt;&lt;item&gt;9&lt;/item&gt;&lt;item&gt;15&lt;/item&gt;&lt;item&gt;18&lt;/item&gt;&lt;item&gt;26&lt;/item&gt;&lt;item&gt;28&lt;/item&gt;&lt;item&gt;31&lt;/item&gt;&lt;item&gt;47&lt;/item&gt;&lt;item&gt;56&lt;/item&gt;&lt;item&gt;60&lt;/item&gt;&lt;item&gt;68&lt;/item&gt;&lt;item&gt;69&lt;/item&gt;&lt;item&gt;72&lt;/item&gt;&lt;item&gt;74&lt;/item&gt;&lt;item&gt;75&lt;/item&gt;&lt;item&gt;78&lt;/item&gt;&lt;item&gt;79&lt;/item&gt;&lt;item&gt;85&lt;/item&gt;&lt;item&gt;89&lt;/item&gt;&lt;item&gt;90&lt;/item&gt;&lt;item&gt;91&lt;/item&gt;&lt;item&gt;92&lt;/item&gt;&lt;item&gt;93&lt;/item&gt;&lt;item&gt;94&lt;/item&gt;&lt;item&gt;95&lt;/item&gt;&lt;item&gt;96&lt;/item&gt;&lt;item&gt;97&lt;/item&gt;&lt;item&gt;98&lt;/item&gt;&lt;item&gt;99&lt;/item&gt;&lt;item&gt;100&lt;/item&gt;&lt;item&gt;129&lt;/item&gt;&lt;item&gt;134&lt;/item&gt;&lt;item&gt;135&lt;/item&gt;&lt;item&gt;136&lt;/item&gt;&lt;item&gt;137&lt;/item&gt;&lt;item&gt;192&lt;/item&gt;&lt;item&gt;193&lt;/item&gt;&lt;item&gt;198&lt;/item&gt;&lt;item&gt;212&lt;/item&gt;&lt;item&gt;213&lt;/item&gt;&lt;item&gt;215&lt;/item&gt;&lt;item&gt;216&lt;/item&gt;&lt;item&gt;229&lt;/item&gt;&lt;item&gt;443&lt;/item&gt;&lt;item&gt;504&lt;/item&gt;&lt;item&gt;505&lt;/item&gt;&lt;item&gt;506&lt;/item&gt;&lt;item&gt;507&lt;/item&gt;&lt;item&gt;509&lt;/item&gt;&lt;item&gt;565&lt;/item&gt;&lt;item&gt;584&lt;/item&gt;&lt;item&gt;585&lt;/item&gt;&lt;item&gt;586&lt;/item&gt;&lt;item&gt;587&lt;/item&gt;&lt;item&gt;588&lt;/item&gt;&lt;item&gt;589&lt;/item&gt;&lt;/record-ids&gt;&lt;/item&gt;&lt;/Libraries&gt;"/>
  </w:docVars>
  <w:rsids>
    <w:rsidRoot w:val="00BB4478"/>
    <w:rsid w:val="00006873"/>
    <w:rsid w:val="00007278"/>
    <w:rsid w:val="00007281"/>
    <w:rsid w:val="000121FD"/>
    <w:rsid w:val="00015741"/>
    <w:rsid w:val="00017385"/>
    <w:rsid w:val="00021043"/>
    <w:rsid w:val="000229BC"/>
    <w:rsid w:val="00023C97"/>
    <w:rsid w:val="00024651"/>
    <w:rsid w:val="000257DF"/>
    <w:rsid w:val="00027ECF"/>
    <w:rsid w:val="00033644"/>
    <w:rsid w:val="00033696"/>
    <w:rsid w:val="0003711E"/>
    <w:rsid w:val="00037154"/>
    <w:rsid w:val="00043F37"/>
    <w:rsid w:val="0004594B"/>
    <w:rsid w:val="0005049D"/>
    <w:rsid w:val="00054F5D"/>
    <w:rsid w:val="00055BF9"/>
    <w:rsid w:val="00056105"/>
    <w:rsid w:val="00060EDD"/>
    <w:rsid w:val="000620F0"/>
    <w:rsid w:val="0006392B"/>
    <w:rsid w:val="000654BA"/>
    <w:rsid w:val="0006692B"/>
    <w:rsid w:val="00066CAF"/>
    <w:rsid w:val="00067817"/>
    <w:rsid w:val="000753ED"/>
    <w:rsid w:val="00092C28"/>
    <w:rsid w:val="000A1A1E"/>
    <w:rsid w:val="000A4FC4"/>
    <w:rsid w:val="000A63FC"/>
    <w:rsid w:val="000B394E"/>
    <w:rsid w:val="000B3F48"/>
    <w:rsid w:val="000B5F3D"/>
    <w:rsid w:val="000B6A80"/>
    <w:rsid w:val="000C47E3"/>
    <w:rsid w:val="000C5090"/>
    <w:rsid w:val="000C73BE"/>
    <w:rsid w:val="000D0818"/>
    <w:rsid w:val="000D2C46"/>
    <w:rsid w:val="000D4D2E"/>
    <w:rsid w:val="000D7087"/>
    <w:rsid w:val="000E1171"/>
    <w:rsid w:val="000E1E3C"/>
    <w:rsid w:val="000E2263"/>
    <w:rsid w:val="000E268D"/>
    <w:rsid w:val="000E2F01"/>
    <w:rsid w:val="000E38F2"/>
    <w:rsid w:val="000E6F35"/>
    <w:rsid w:val="000F0762"/>
    <w:rsid w:val="000F1139"/>
    <w:rsid w:val="000F4370"/>
    <w:rsid w:val="000F4A6E"/>
    <w:rsid w:val="000F547C"/>
    <w:rsid w:val="000F7F47"/>
    <w:rsid w:val="00104361"/>
    <w:rsid w:val="001063EC"/>
    <w:rsid w:val="00112DFB"/>
    <w:rsid w:val="00116510"/>
    <w:rsid w:val="001211DE"/>
    <w:rsid w:val="00121FA0"/>
    <w:rsid w:val="00123229"/>
    <w:rsid w:val="00124F61"/>
    <w:rsid w:val="00130DEC"/>
    <w:rsid w:val="001314ED"/>
    <w:rsid w:val="001346B1"/>
    <w:rsid w:val="00136F5C"/>
    <w:rsid w:val="001445E7"/>
    <w:rsid w:val="00145685"/>
    <w:rsid w:val="001479B1"/>
    <w:rsid w:val="001564EC"/>
    <w:rsid w:val="00164942"/>
    <w:rsid w:val="0016629A"/>
    <w:rsid w:val="00172E64"/>
    <w:rsid w:val="0017629C"/>
    <w:rsid w:val="00176D18"/>
    <w:rsid w:val="00180F53"/>
    <w:rsid w:val="00181548"/>
    <w:rsid w:val="00184F50"/>
    <w:rsid w:val="00185DB7"/>
    <w:rsid w:val="00187B11"/>
    <w:rsid w:val="00191468"/>
    <w:rsid w:val="001956B7"/>
    <w:rsid w:val="001A1DD9"/>
    <w:rsid w:val="001A4650"/>
    <w:rsid w:val="001A6EC1"/>
    <w:rsid w:val="001B0BBB"/>
    <w:rsid w:val="001B1145"/>
    <w:rsid w:val="001B2BBC"/>
    <w:rsid w:val="001B3B23"/>
    <w:rsid w:val="001D128E"/>
    <w:rsid w:val="001D767F"/>
    <w:rsid w:val="001E068D"/>
    <w:rsid w:val="001E1EDA"/>
    <w:rsid w:val="001E2EC5"/>
    <w:rsid w:val="001E4005"/>
    <w:rsid w:val="001E7A8E"/>
    <w:rsid w:val="001F6245"/>
    <w:rsid w:val="00201260"/>
    <w:rsid w:val="00203F96"/>
    <w:rsid w:val="00203FE4"/>
    <w:rsid w:val="00204EBC"/>
    <w:rsid w:val="002100D1"/>
    <w:rsid w:val="0021381C"/>
    <w:rsid w:val="002144A8"/>
    <w:rsid w:val="00215458"/>
    <w:rsid w:val="0021719A"/>
    <w:rsid w:val="00217920"/>
    <w:rsid w:val="00217F2C"/>
    <w:rsid w:val="00220D16"/>
    <w:rsid w:val="00221A91"/>
    <w:rsid w:val="00233F2D"/>
    <w:rsid w:val="002368DD"/>
    <w:rsid w:val="00236FF8"/>
    <w:rsid w:val="00243286"/>
    <w:rsid w:val="00243C83"/>
    <w:rsid w:val="00243D9E"/>
    <w:rsid w:val="00252FD8"/>
    <w:rsid w:val="002537C0"/>
    <w:rsid w:val="002553F5"/>
    <w:rsid w:val="00255B17"/>
    <w:rsid w:val="00260DF1"/>
    <w:rsid w:val="00263921"/>
    <w:rsid w:val="0026477F"/>
    <w:rsid w:val="00265100"/>
    <w:rsid w:val="002677F9"/>
    <w:rsid w:val="00271730"/>
    <w:rsid w:val="00273CEE"/>
    <w:rsid w:val="00276288"/>
    <w:rsid w:val="002801F6"/>
    <w:rsid w:val="00281AD8"/>
    <w:rsid w:val="00282493"/>
    <w:rsid w:val="00282CF2"/>
    <w:rsid w:val="00282E12"/>
    <w:rsid w:val="002831CB"/>
    <w:rsid w:val="00283555"/>
    <w:rsid w:val="00284039"/>
    <w:rsid w:val="00291F13"/>
    <w:rsid w:val="00294198"/>
    <w:rsid w:val="0029567C"/>
    <w:rsid w:val="00297DF5"/>
    <w:rsid w:val="002A0D07"/>
    <w:rsid w:val="002A2656"/>
    <w:rsid w:val="002B0687"/>
    <w:rsid w:val="002B12FA"/>
    <w:rsid w:val="002B222E"/>
    <w:rsid w:val="002B73EE"/>
    <w:rsid w:val="002B78ED"/>
    <w:rsid w:val="002C6491"/>
    <w:rsid w:val="002C68C8"/>
    <w:rsid w:val="002D1E00"/>
    <w:rsid w:val="002D75BF"/>
    <w:rsid w:val="002E0318"/>
    <w:rsid w:val="002E2A2B"/>
    <w:rsid w:val="002F43DF"/>
    <w:rsid w:val="002F668B"/>
    <w:rsid w:val="00300CFA"/>
    <w:rsid w:val="00304A7A"/>
    <w:rsid w:val="00310485"/>
    <w:rsid w:val="00311616"/>
    <w:rsid w:val="00311DB7"/>
    <w:rsid w:val="00312130"/>
    <w:rsid w:val="00313CA2"/>
    <w:rsid w:val="00317FEC"/>
    <w:rsid w:val="00320CB3"/>
    <w:rsid w:val="00326D54"/>
    <w:rsid w:val="00327434"/>
    <w:rsid w:val="0033108D"/>
    <w:rsid w:val="003310EE"/>
    <w:rsid w:val="003317B9"/>
    <w:rsid w:val="00335A26"/>
    <w:rsid w:val="003377B6"/>
    <w:rsid w:val="00340F53"/>
    <w:rsid w:val="00341ECF"/>
    <w:rsid w:val="00342723"/>
    <w:rsid w:val="0034415D"/>
    <w:rsid w:val="0034595E"/>
    <w:rsid w:val="00351CB1"/>
    <w:rsid w:val="003571FF"/>
    <w:rsid w:val="00360B0C"/>
    <w:rsid w:val="003613D9"/>
    <w:rsid w:val="003655B3"/>
    <w:rsid w:val="00371CB0"/>
    <w:rsid w:val="0037201D"/>
    <w:rsid w:val="0038059D"/>
    <w:rsid w:val="00383530"/>
    <w:rsid w:val="00384C5C"/>
    <w:rsid w:val="0038594E"/>
    <w:rsid w:val="003979A0"/>
    <w:rsid w:val="003A221D"/>
    <w:rsid w:val="003A6390"/>
    <w:rsid w:val="003A6C53"/>
    <w:rsid w:val="003B1B80"/>
    <w:rsid w:val="003B2233"/>
    <w:rsid w:val="003B3738"/>
    <w:rsid w:val="003B6578"/>
    <w:rsid w:val="003C1590"/>
    <w:rsid w:val="003C4F82"/>
    <w:rsid w:val="003D014A"/>
    <w:rsid w:val="003D1283"/>
    <w:rsid w:val="003D1762"/>
    <w:rsid w:val="003D3A46"/>
    <w:rsid w:val="003D42F8"/>
    <w:rsid w:val="003E10A0"/>
    <w:rsid w:val="003E2638"/>
    <w:rsid w:val="003E411F"/>
    <w:rsid w:val="003F0C68"/>
    <w:rsid w:val="003F180E"/>
    <w:rsid w:val="003F5170"/>
    <w:rsid w:val="00401E05"/>
    <w:rsid w:val="00404DF4"/>
    <w:rsid w:val="00405EB5"/>
    <w:rsid w:val="004069F8"/>
    <w:rsid w:val="00407FD3"/>
    <w:rsid w:val="00420E19"/>
    <w:rsid w:val="00423AFF"/>
    <w:rsid w:val="0042589E"/>
    <w:rsid w:val="004279FF"/>
    <w:rsid w:val="004330F3"/>
    <w:rsid w:val="00444934"/>
    <w:rsid w:val="004514B5"/>
    <w:rsid w:val="00455EFA"/>
    <w:rsid w:val="00460F46"/>
    <w:rsid w:val="004614E3"/>
    <w:rsid w:val="004738D6"/>
    <w:rsid w:val="004739CA"/>
    <w:rsid w:val="00477B8A"/>
    <w:rsid w:val="004831FB"/>
    <w:rsid w:val="004853FF"/>
    <w:rsid w:val="00495951"/>
    <w:rsid w:val="00496681"/>
    <w:rsid w:val="00497C17"/>
    <w:rsid w:val="00497EDD"/>
    <w:rsid w:val="00497F63"/>
    <w:rsid w:val="004A13EE"/>
    <w:rsid w:val="004A488B"/>
    <w:rsid w:val="004A639B"/>
    <w:rsid w:val="004A6FF8"/>
    <w:rsid w:val="004B42FE"/>
    <w:rsid w:val="004B52E1"/>
    <w:rsid w:val="004B5A4B"/>
    <w:rsid w:val="004B6534"/>
    <w:rsid w:val="004C1E12"/>
    <w:rsid w:val="004C4BC5"/>
    <w:rsid w:val="004C55BB"/>
    <w:rsid w:val="004C5747"/>
    <w:rsid w:val="004C6978"/>
    <w:rsid w:val="004C6E2F"/>
    <w:rsid w:val="004D0CCF"/>
    <w:rsid w:val="004D2A74"/>
    <w:rsid w:val="004D2F66"/>
    <w:rsid w:val="004D4017"/>
    <w:rsid w:val="004D7380"/>
    <w:rsid w:val="004E4084"/>
    <w:rsid w:val="004F207C"/>
    <w:rsid w:val="004F24BE"/>
    <w:rsid w:val="004F3D82"/>
    <w:rsid w:val="004F5227"/>
    <w:rsid w:val="004F53E5"/>
    <w:rsid w:val="004F6871"/>
    <w:rsid w:val="004F7F6C"/>
    <w:rsid w:val="00500BAF"/>
    <w:rsid w:val="00503F2F"/>
    <w:rsid w:val="00503FF4"/>
    <w:rsid w:val="0050643F"/>
    <w:rsid w:val="00510586"/>
    <w:rsid w:val="005119ED"/>
    <w:rsid w:val="00513BE2"/>
    <w:rsid w:val="00516357"/>
    <w:rsid w:val="00523B37"/>
    <w:rsid w:val="00525250"/>
    <w:rsid w:val="005273B5"/>
    <w:rsid w:val="0053122B"/>
    <w:rsid w:val="00531525"/>
    <w:rsid w:val="00532D5E"/>
    <w:rsid w:val="0053316B"/>
    <w:rsid w:val="005347BA"/>
    <w:rsid w:val="00541E0E"/>
    <w:rsid w:val="005425FF"/>
    <w:rsid w:val="00542897"/>
    <w:rsid w:val="00542C16"/>
    <w:rsid w:val="00544D4B"/>
    <w:rsid w:val="00545965"/>
    <w:rsid w:val="0054627F"/>
    <w:rsid w:val="00546CEC"/>
    <w:rsid w:val="00550EBB"/>
    <w:rsid w:val="00554416"/>
    <w:rsid w:val="00556BBF"/>
    <w:rsid w:val="0055709C"/>
    <w:rsid w:val="00561F89"/>
    <w:rsid w:val="00562521"/>
    <w:rsid w:val="00563D70"/>
    <w:rsid w:val="005657D9"/>
    <w:rsid w:val="00570618"/>
    <w:rsid w:val="00573885"/>
    <w:rsid w:val="00575439"/>
    <w:rsid w:val="00575F30"/>
    <w:rsid w:val="00577F2D"/>
    <w:rsid w:val="00587926"/>
    <w:rsid w:val="00587D3E"/>
    <w:rsid w:val="00590A0C"/>
    <w:rsid w:val="00592F26"/>
    <w:rsid w:val="005977A6"/>
    <w:rsid w:val="005A2C4E"/>
    <w:rsid w:val="005A7F82"/>
    <w:rsid w:val="005B28FD"/>
    <w:rsid w:val="005B4E9F"/>
    <w:rsid w:val="005B58D1"/>
    <w:rsid w:val="005B72B3"/>
    <w:rsid w:val="005B76A5"/>
    <w:rsid w:val="005C73B4"/>
    <w:rsid w:val="005C7B6B"/>
    <w:rsid w:val="005D2CED"/>
    <w:rsid w:val="005D343E"/>
    <w:rsid w:val="005D4C6D"/>
    <w:rsid w:val="005D50BE"/>
    <w:rsid w:val="005D6C44"/>
    <w:rsid w:val="005D6FBA"/>
    <w:rsid w:val="005E09EC"/>
    <w:rsid w:val="005E3E1E"/>
    <w:rsid w:val="005E5BC8"/>
    <w:rsid w:val="005F1658"/>
    <w:rsid w:val="005F692D"/>
    <w:rsid w:val="00606044"/>
    <w:rsid w:val="00610737"/>
    <w:rsid w:val="00613545"/>
    <w:rsid w:val="00613B8E"/>
    <w:rsid w:val="00615FCC"/>
    <w:rsid w:val="00621797"/>
    <w:rsid w:val="0062250C"/>
    <w:rsid w:val="006247F6"/>
    <w:rsid w:val="006257DE"/>
    <w:rsid w:val="00627373"/>
    <w:rsid w:val="00627BAC"/>
    <w:rsid w:val="006305AD"/>
    <w:rsid w:val="00630899"/>
    <w:rsid w:val="006321F9"/>
    <w:rsid w:val="006336BF"/>
    <w:rsid w:val="00640B82"/>
    <w:rsid w:val="00642D1F"/>
    <w:rsid w:val="006468A9"/>
    <w:rsid w:val="00646F21"/>
    <w:rsid w:val="00651B0F"/>
    <w:rsid w:val="00651EC3"/>
    <w:rsid w:val="0065336A"/>
    <w:rsid w:val="00657C86"/>
    <w:rsid w:val="00663213"/>
    <w:rsid w:val="00670DEA"/>
    <w:rsid w:val="0067325B"/>
    <w:rsid w:val="00674253"/>
    <w:rsid w:val="006745F6"/>
    <w:rsid w:val="0067754C"/>
    <w:rsid w:val="006825C8"/>
    <w:rsid w:val="0068293E"/>
    <w:rsid w:val="00685D58"/>
    <w:rsid w:val="00686736"/>
    <w:rsid w:val="00687275"/>
    <w:rsid w:val="00694DE4"/>
    <w:rsid w:val="00694F5A"/>
    <w:rsid w:val="006A5FF2"/>
    <w:rsid w:val="006B2CBC"/>
    <w:rsid w:val="006B36F2"/>
    <w:rsid w:val="006B3937"/>
    <w:rsid w:val="006B5D81"/>
    <w:rsid w:val="006B62EB"/>
    <w:rsid w:val="006C1A99"/>
    <w:rsid w:val="006C1B73"/>
    <w:rsid w:val="006C462B"/>
    <w:rsid w:val="006C645E"/>
    <w:rsid w:val="006C6B87"/>
    <w:rsid w:val="006D204A"/>
    <w:rsid w:val="006D38FF"/>
    <w:rsid w:val="006D64BF"/>
    <w:rsid w:val="006D6F6C"/>
    <w:rsid w:val="006D780F"/>
    <w:rsid w:val="006E0693"/>
    <w:rsid w:val="006E3348"/>
    <w:rsid w:val="006F1F38"/>
    <w:rsid w:val="006F6E66"/>
    <w:rsid w:val="00700490"/>
    <w:rsid w:val="00700F1E"/>
    <w:rsid w:val="00702429"/>
    <w:rsid w:val="0070536C"/>
    <w:rsid w:val="00720C55"/>
    <w:rsid w:val="00731F17"/>
    <w:rsid w:val="00732934"/>
    <w:rsid w:val="007333D8"/>
    <w:rsid w:val="007338E7"/>
    <w:rsid w:val="0074154B"/>
    <w:rsid w:val="007418AA"/>
    <w:rsid w:val="00741EB6"/>
    <w:rsid w:val="0074327A"/>
    <w:rsid w:val="00751327"/>
    <w:rsid w:val="00752524"/>
    <w:rsid w:val="00752E1B"/>
    <w:rsid w:val="007564E2"/>
    <w:rsid w:val="00761523"/>
    <w:rsid w:val="00762135"/>
    <w:rsid w:val="00765A26"/>
    <w:rsid w:val="00766741"/>
    <w:rsid w:val="0077231A"/>
    <w:rsid w:val="0077263A"/>
    <w:rsid w:val="0077300D"/>
    <w:rsid w:val="00774275"/>
    <w:rsid w:val="00774C47"/>
    <w:rsid w:val="00777183"/>
    <w:rsid w:val="00777D3C"/>
    <w:rsid w:val="0078066A"/>
    <w:rsid w:val="00781C07"/>
    <w:rsid w:val="0078368D"/>
    <w:rsid w:val="007836CF"/>
    <w:rsid w:val="00793298"/>
    <w:rsid w:val="007A0295"/>
    <w:rsid w:val="007A1DA3"/>
    <w:rsid w:val="007B3C22"/>
    <w:rsid w:val="007B47D1"/>
    <w:rsid w:val="007C16CC"/>
    <w:rsid w:val="007C1BDB"/>
    <w:rsid w:val="007C4E9B"/>
    <w:rsid w:val="007C6AC9"/>
    <w:rsid w:val="007C7200"/>
    <w:rsid w:val="007D23AD"/>
    <w:rsid w:val="007D3B73"/>
    <w:rsid w:val="007D61BA"/>
    <w:rsid w:val="007D6370"/>
    <w:rsid w:val="007E002B"/>
    <w:rsid w:val="007E05A2"/>
    <w:rsid w:val="007E28E4"/>
    <w:rsid w:val="007E2F5D"/>
    <w:rsid w:val="007F06C9"/>
    <w:rsid w:val="007F33EB"/>
    <w:rsid w:val="007F7F46"/>
    <w:rsid w:val="00800A39"/>
    <w:rsid w:val="00806DA7"/>
    <w:rsid w:val="008077EA"/>
    <w:rsid w:val="008109B7"/>
    <w:rsid w:val="00811AD6"/>
    <w:rsid w:val="00813534"/>
    <w:rsid w:val="0081505D"/>
    <w:rsid w:val="0081574F"/>
    <w:rsid w:val="008320FD"/>
    <w:rsid w:val="008329AC"/>
    <w:rsid w:val="00832BEA"/>
    <w:rsid w:val="008338EC"/>
    <w:rsid w:val="00840E12"/>
    <w:rsid w:val="00841513"/>
    <w:rsid w:val="008433AF"/>
    <w:rsid w:val="0084686D"/>
    <w:rsid w:val="00850652"/>
    <w:rsid w:val="008548DC"/>
    <w:rsid w:val="0085526A"/>
    <w:rsid w:val="00856444"/>
    <w:rsid w:val="008565C0"/>
    <w:rsid w:val="0085674C"/>
    <w:rsid w:val="00857804"/>
    <w:rsid w:val="008634F7"/>
    <w:rsid w:val="00864406"/>
    <w:rsid w:val="00872755"/>
    <w:rsid w:val="0087282A"/>
    <w:rsid w:val="00873319"/>
    <w:rsid w:val="00874417"/>
    <w:rsid w:val="00875DE2"/>
    <w:rsid w:val="00883EC1"/>
    <w:rsid w:val="0088670B"/>
    <w:rsid w:val="008923C2"/>
    <w:rsid w:val="0089450B"/>
    <w:rsid w:val="00895DC5"/>
    <w:rsid w:val="008A1515"/>
    <w:rsid w:val="008A5B91"/>
    <w:rsid w:val="008B10E0"/>
    <w:rsid w:val="008B20CE"/>
    <w:rsid w:val="008C1765"/>
    <w:rsid w:val="008C359B"/>
    <w:rsid w:val="008C409D"/>
    <w:rsid w:val="008C6C4A"/>
    <w:rsid w:val="008D668F"/>
    <w:rsid w:val="008D702B"/>
    <w:rsid w:val="008E064B"/>
    <w:rsid w:val="008E092E"/>
    <w:rsid w:val="008E4F92"/>
    <w:rsid w:val="008E6ED1"/>
    <w:rsid w:val="008E6EDB"/>
    <w:rsid w:val="008F0ADD"/>
    <w:rsid w:val="008F2CB4"/>
    <w:rsid w:val="008F372D"/>
    <w:rsid w:val="008F76B9"/>
    <w:rsid w:val="00900082"/>
    <w:rsid w:val="0090149C"/>
    <w:rsid w:val="009047AF"/>
    <w:rsid w:val="00904DC7"/>
    <w:rsid w:val="0091466F"/>
    <w:rsid w:val="00915663"/>
    <w:rsid w:val="00917E61"/>
    <w:rsid w:val="00927709"/>
    <w:rsid w:val="00931324"/>
    <w:rsid w:val="0093173C"/>
    <w:rsid w:val="00934380"/>
    <w:rsid w:val="009352D9"/>
    <w:rsid w:val="009371CF"/>
    <w:rsid w:val="0094533C"/>
    <w:rsid w:val="00946AE4"/>
    <w:rsid w:val="009521E7"/>
    <w:rsid w:val="00953C22"/>
    <w:rsid w:val="009562FD"/>
    <w:rsid w:val="00963C08"/>
    <w:rsid w:val="00967AC5"/>
    <w:rsid w:val="0097031E"/>
    <w:rsid w:val="00970EDD"/>
    <w:rsid w:val="00977E8E"/>
    <w:rsid w:val="00980F32"/>
    <w:rsid w:val="009823FD"/>
    <w:rsid w:val="00982F93"/>
    <w:rsid w:val="00983424"/>
    <w:rsid w:val="00983CDB"/>
    <w:rsid w:val="009873AA"/>
    <w:rsid w:val="0099081A"/>
    <w:rsid w:val="00990C94"/>
    <w:rsid w:val="00992D5E"/>
    <w:rsid w:val="0099384F"/>
    <w:rsid w:val="00993D3E"/>
    <w:rsid w:val="009947D6"/>
    <w:rsid w:val="00996AE1"/>
    <w:rsid w:val="00997D4B"/>
    <w:rsid w:val="009A226A"/>
    <w:rsid w:val="009A389C"/>
    <w:rsid w:val="009A421D"/>
    <w:rsid w:val="009A47A6"/>
    <w:rsid w:val="009A5732"/>
    <w:rsid w:val="009A597A"/>
    <w:rsid w:val="009A65F7"/>
    <w:rsid w:val="009A68BF"/>
    <w:rsid w:val="009B219B"/>
    <w:rsid w:val="009B5D4A"/>
    <w:rsid w:val="009C0B6F"/>
    <w:rsid w:val="009C0DE0"/>
    <w:rsid w:val="009C7411"/>
    <w:rsid w:val="009C7DFC"/>
    <w:rsid w:val="009D39C5"/>
    <w:rsid w:val="009D518E"/>
    <w:rsid w:val="009D663E"/>
    <w:rsid w:val="009D76BB"/>
    <w:rsid w:val="009E512A"/>
    <w:rsid w:val="009E5EF7"/>
    <w:rsid w:val="009E7480"/>
    <w:rsid w:val="009F69C8"/>
    <w:rsid w:val="00A00D7B"/>
    <w:rsid w:val="00A02D40"/>
    <w:rsid w:val="00A06AEB"/>
    <w:rsid w:val="00A07805"/>
    <w:rsid w:val="00A13543"/>
    <w:rsid w:val="00A1457A"/>
    <w:rsid w:val="00A212B4"/>
    <w:rsid w:val="00A22250"/>
    <w:rsid w:val="00A22762"/>
    <w:rsid w:val="00A255A3"/>
    <w:rsid w:val="00A25F5C"/>
    <w:rsid w:val="00A3300F"/>
    <w:rsid w:val="00A33A53"/>
    <w:rsid w:val="00A35389"/>
    <w:rsid w:val="00A40F55"/>
    <w:rsid w:val="00A44E44"/>
    <w:rsid w:val="00A46343"/>
    <w:rsid w:val="00A47E09"/>
    <w:rsid w:val="00A54A59"/>
    <w:rsid w:val="00A566E6"/>
    <w:rsid w:val="00A61660"/>
    <w:rsid w:val="00A62703"/>
    <w:rsid w:val="00A63B81"/>
    <w:rsid w:val="00A67C86"/>
    <w:rsid w:val="00A71967"/>
    <w:rsid w:val="00A71D4E"/>
    <w:rsid w:val="00A758CB"/>
    <w:rsid w:val="00A81B56"/>
    <w:rsid w:val="00A83302"/>
    <w:rsid w:val="00A868F5"/>
    <w:rsid w:val="00A91037"/>
    <w:rsid w:val="00A92061"/>
    <w:rsid w:val="00A94651"/>
    <w:rsid w:val="00A94988"/>
    <w:rsid w:val="00A94BA6"/>
    <w:rsid w:val="00A96313"/>
    <w:rsid w:val="00AA4030"/>
    <w:rsid w:val="00AA4481"/>
    <w:rsid w:val="00AA7877"/>
    <w:rsid w:val="00AB091B"/>
    <w:rsid w:val="00AB093F"/>
    <w:rsid w:val="00AB44E5"/>
    <w:rsid w:val="00AB620A"/>
    <w:rsid w:val="00AB74D2"/>
    <w:rsid w:val="00AB77CF"/>
    <w:rsid w:val="00AC0788"/>
    <w:rsid w:val="00AC3450"/>
    <w:rsid w:val="00AC470E"/>
    <w:rsid w:val="00AC4CF1"/>
    <w:rsid w:val="00AD0106"/>
    <w:rsid w:val="00AD5605"/>
    <w:rsid w:val="00AD76F0"/>
    <w:rsid w:val="00AD784A"/>
    <w:rsid w:val="00AE0151"/>
    <w:rsid w:val="00AE1F85"/>
    <w:rsid w:val="00AE2AE1"/>
    <w:rsid w:val="00AE5FB7"/>
    <w:rsid w:val="00AF04C5"/>
    <w:rsid w:val="00AF0FD4"/>
    <w:rsid w:val="00AF2863"/>
    <w:rsid w:val="00AF5C5D"/>
    <w:rsid w:val="00AF6655"/>
    <w:rsid w:val="00AF689C"/>
    <w:rsid w:val="00AF6AB2"/>
    <w:rsid w:val="00AF794A"/>
    <w:rsid w:val="00B00973"/>
    <w:rsid w:val="00B00C28"/>
    <w:rsid w:val="00B06A12"/>
    <w:rsid w:val="00B128BF"/>
    <w:rsid w:val="00B12B49"/>
    <w:rsid w:val="00B20410"/>
    <w:rsid w:val="00B21EC3"/>
    <w:rsid w:val="00B2570A"/>
    <w:rsid w:val="00B268BA"/>
    <w:rsid w:val="00B26EC1"/>
    <w:rsid w:val="00B2728D"/>
    <w:rsid w:val="00B27AD3"/>
    <w:rsid w:val="00B31977"/>
    <w:rsid w:val="00B37956"/>
    <w:rsid w:val="00B37B3E"/>
    <w:rsid w:val="00B41FC8"/>
    <w:rsid w:val="00B436FF"/>
    <w:rsid w:val="00B45B7F"/>
    <w:rsid w:val="00B5044D"/>
    <w:rsid w:val="00B507BD"/>
    <w:rsid w:val="00B515CF"/>
    <w:rsid w:val="00B52CEE"/>
    <w:rsid w:val="00B577BE"/>
    <w:rsid w:val="00B61427"/>
    <w:rsid w:val="00B61E7A"/>
    <w:rsid w:val="00B72A7E"/>
    <w:rsid w:val="00B73B25"/>
    <w:rsid w:val="00B75770"/>
    <w:rsid w:val="00B82F21"/>
    <w:rsid w:val="00B83369"/>
    <w:rsid w:val="00B83F61"/>
    <w:rsid w:val="00B8411B"/>
    <w:rsid w:val="00B841C8"/>
    <w:rsid w:val="00B846F1"/>
    <w:rsid w:val="00B851D8"/>
    <w:rsid w:val="00B855B4"/>
    <w:rsid w:val="00B86365"/>
    <w:rsid w:val="00B86BE2"/>
    <w:rsid w:val="00B927EE"/>
    <w:rsid w:val="00B93C84"/>
    <w:rsid w:val="00B940E5"/>
    <w:rsid w:val="00B9503C"/>
    <w:rsid w:val="00B97BA4"/>
    <w:rsid w:val="00BA2328"/>
    <w:rsid w:val="00BA41ED"/>
    <w:rsid w:val="00BB1308"/>
    <w:rsid w:val="00BB4478"/>
    <w:rsid w:val="00BC3008"/>
    <w:rsid w:val="00BC3CC7"/>
    <w:rsid w:val="00BC7B15"/>
    <w:rsid w:val="00BD6687"/>
    <w:rsid w:val="00BE17B9"/>
    <w:rsid w:val="00BE3A56"/>
    <w:rsid w:val="00BE3EC1"/>
    <w:rsid w:val="00BE6C30"/>
    <w:rsid w:val="00BF0843"/>
    <w:rsid w:val="00C04F55"/>
    <w:rsid w:val="00C07863"/>
    <w:rsid w:val="00C15948"/>
    <w:rsid w:val="00C21D4C"/>
    <w:rsid w:val="00C24F9B"/>
    <w:rsid w:val="00C250A1"/>
    <w:rsid w:val="00C313B8"/>
    <w:rsid w:val="00C3422A"/>
    <w:rsid w:val="00C35521"/>
    <w:rsid w:val="00C36627"/>
    <w:rsid w:val="00C45074"/>
    <w:rsid w:val="00C457C3"/>
    <w:rsid w:val="00C4645E"/>
    <w:rsid w:val="00C465F0"/>
    <w:rsid w:val="00C46637"/>
    <w:rsid w:val="00C472B3"/>
    <w:rsid w:val="00C47329"/>
    <w:rsid w:val="00C51A3B"/>
    <w:rsid w:val="00C55F48"/>
    <w:rsid w:val="00C561BF"/>
    <w:rsid w:val="00C60B9D"/>
    <w:rsid w:val="00C62107"/>
    <w:rsid w:val="00C7023A"/>
    <w:rsid w:val="00C710F9"/>
    <w:rsid w:val="00C71FC2"/>
    <w:rsid w:val="00C728E8"/>
    <w:rsid w:val="00C80227"/>
    <w:rsid w:val="00C81F24"/>
    <w:rsid w:val="00C90ACD"/>
    <w:rsid w:val="00C90C96"/>
    <w:rsid w:val="00C90F07"/>
    <w:rsid w:val="00C9147E"/>
    <w:rsid w:val="00C918C3"/>
    <w:rsid w:val="00C9280A"/>
    <w:rsid w:val="00C94D90"/>
    <w:rsid w:val="00C963F0"/>
    <w:rsid w:val="00C96F50"/>
    <w:rsid w:val="00CA6263"/>
    <w:rsid w:val="00CB1ABE"/>
    <w:rsid w:val="00CC274E"/>
    <w:rsid w:val="00CC2D0F"/>
    <w:rsid w:val="00CC34EE"/>
    <w:rsid w:val="00CC4A97"/>
    <w:rsid w:val="00CC4BAE"/>
    <w:rsid w:val="00CD1356"/>
    <w:rsid w:val="00CD19D3"/>
    <w:rsid w:val="00CD1EE3"/>
    <w:rsid w:val="00CD3591"/>
    <w:rsid w:val="00CD692C"/>
    <w:rsid w:val="00CE1061"/>
    <w:rsid w:val="00CE2939"/>
    <w:rsid w:val="00CE6328"/>
    <w:rsid w:val="00CE7088"/>
    <w:rsid w:val="00CF1987"/>
    <w:rsid w:val="00CF1BB2"/>
    <w:rsid w:val="00CF73E7"/>
    <w:rsid w:val="00D039F3"/>
    <w:rsid w:val="00D0410E"/>
    <w:rsid w:val="00D05A36"/>
    <w:rsid w:val="00D07211"/>
    <w:rsid w:val="00D07322"/>
    <w:rsid w:val="00D0784D"/>
    <w:rsid w:val="00D11B1E"/>
    <w:rsid w:val="00D139F8"/>
    <w:rsid w:val="00D168B3"/>
    <w:rsid w:val="00D17829"/>
    <w:rsid w:val="00D17E9A"/>
    <w:rsid w:val="00D21FF6"/>
    <w:rsid w:val="00D220E5"/>
    <w:rsid w:val="00D31C78"/>
    <w:rsid w:val="00D330FB"/>
    <w:rsid w:val="00D3442B"/>
    <w:rsid w:val="00D36966"/>
    <w:rsid w:val="00D36BE3"/>
    <w:rsid w:val="00D3750B"/>
    <w:rsid w:val="00D40E3A"/>
    <w:rsid w:val="00D40EB3"/>
    <w:rsid w:val="00D42245"/>
    <w:rsid w:val="00D4273F"/>
    <w:rsid w:val="00D4564D"/>
    <w:rsid w:val="00D47F55"/>
    <w:rsid w:val="00D578B1"/>
    <w:rsid w:val="00D57FE3"/>
    <w:rsid w:val="00D611C0"/>
    <w:rsid w:val="00D62A06"/>
    <w:rsid w:val="00D634E0"/>
    <w:rsid w:val="00D654F9"/>
    <w:rsid w:val="00D6677F"/>
    <w:rsid w:val="00D67A43"/>
    <w:rsid w:val="00D70274"/>
    <w:rsid w:val="00D72843"/>
    <w:rsid w:val="00D743E9"/>
    <w:rsid w:val="00D75767"/>
    <w:rsid w:val="00D81EBB"/>
    <w:rsid w:val="00D82A4E"/>
    <w:rsid w:val="00D82DC2"/>
    <w:rsid w:val="00D8574C"/>
    <w:rsid w:val="00D912C0"/>
    <w:rsid w:val="00D92C09"/>
    <w:rsid w:val="00D93274"/>
    <w:rsid w:val="00D95A3E"/>
    <w:rsid w:val="00DA04A7"/>
    <w:rsid w:val="00DA06B8"/>
    <w:rsid w:val="00DA2371"/>
    <w:rsid w:val="00DA2CBA"/>
    <w:rsid w:val="00DA329B"/>
    <w:rsid w:val="00DA36E2"/>
    <w:rsid w:val="00DA3F84"/>
    <w:rsid w:val="00DA6C74"/>
    <w:rsid w:val="00DB0E25"/>
    <w:rsid w:val="00DB1568"/>
    <w:rsid w:val="00DB4C7F"/>
    <w:rsid w:val="00DB5BE1"/>
    <w:rsid w:val="00DD1918"/>
    <w:rsid w:val="00DD2263"/>
    <w:rsid w:val="00DD2D74"/>
    <w:rsid w:val="00DD4102"/>
    <w:rsid w:val="00DD49B3"/>
    <w:rsid w:val="00DD54BE"/>
    <w:rsid w:val="00DE66E7"/>
    <w:rsid w:val="00DE6C67"/>
    <w:rsid w:val="00DF3616"/>
    <w:rsid w:val="00DF55B2"/>
    <w:rsid w:val="00E0120B"/>
    <w:rsid w:val="00E01B54"/>
    <w:rsid w:val="00E0251D"/>
    <w:rsid w:val="00E03CA6"/>
    <w:rsid w:val="00E040FD"/>
    <w:rsid w:val="00E064EE"/>
    <w:rsid w:val="00E06BF3"/>
    <w:rsid w:val="00E10FDE"/>
    <w:rsid w:val="00E15125"/>
    <w:rsid w:val="00E1520F"/>
    <w:rsid w:val="00E17895"/>
    <w:rsid w:val="00E2299D"/>
    <w:rsid w:val="00E23990"/>
    <w:rsid w:val="00E24E69"/>
    <w:rsid w:val="00E26BF0"/>
    <w:rsid w:val="00E31081"/>
    <w:rsid w:val="00E33571"/>
    <w:rsid w:val="00E41814"/>
    <w:rsid w:val="00E4351E"/>
    <w:rsid w:val="00E4708B"/>
    <w:rsid w:val="00E50BB9"/>
    <w:rsid w:val="00E51BDE"/>
    <w:rsid w:val="00E54D4A"/>
    <w:rsid w:val="00E572FF"/>
    <w:rsid w:val="00E6600A"/>
    <w:rsid w:val="00E706AC"/>
    <w:rsid w:val="00E722E6"/>
    <w:rsid w:val="00E738AB"/>
    <w:rsid w:val="00E7419C"/>
    <w:rsid w:val="00E7461C"/>
    <w:rsid w:val="00E74F0D"/>
    <w:rsid w:val="00E83427"/>
    <w:rsid w:val="00E8352B"/>
    <w:rsid w:val="00E85D75"/>
    <w:rsid w:val="00E966C0"/>
    <w:rsid w:val="00EA11B3"/>
    <w:rsid w:val="00EA4047"/>
    <w:rsid w:val="00EB2859"/>
    <w:rsid w:val="00EC3A6D"/>
    <w:rsid w:val="00EC6FD9"/>
    <w:rsid w:val="00ED2CBE"/>
    <w:rsid w:val="00ED5BD0"/>
    <w:rsid w:val="00ED69D4"/>
    <w:rsid w:val="00EE4702"/>
    <w:rsid w:val="00EE57CD"/>
    <w:rsid w:val="00EF0028"/>
    <w:rsid w:val="00EF0310"/>
    <w:rsid w:val="00EF28D3"/>
    <w:rsid w:val="00EF6478"/>
    <w:rsid w:val="00EF6ECB"/>
    <w:rsid w:val="00EF70E5"/>
    <w:rsid w:val="00F04681"/>
    <w:rsid w:val="00F11201"/>
    <w:rsid w:val="00F11487"/>
    <w:rsid w:val="00F12F6E"/>
    <w:rsid w:val="00F179AF"/>
    <w:rsid w:val="00F20A14"/>
    <w:rsid w:val="00F21686"/>
    <w:rsid w:val="00F21F4B"/>
    <w:rsid w:val="00F26742"/>
    <w:rsid w:val="00F268CB"/>
    <w:rsid w:val="00F327FC"/>
    <w:rsid w:val="00F36BCB"/>
    <w:rsid w:val="00F40040"/>
    <w:rsid w:val="00F43C70"/>
    <w:rsid w:val="00F440B1"/>
    <w:rsid w:val="00F45479"/>
    <w:rsid w:val="00F46B2C"/>
    <w:rsid w:val="00F50BEB"/>
    <w:rsid w:val="00F53FEB"/>
    <w:rsid w:val="00F568F1"/>
    <w:rsid w:val="00F56C07"/>
    <w:rsid w:val="00F5794B"/>
    <w:rsid w:val="00F57FD9"/>
    <w:rsid w:val="00F613B7"/>
    <w:rsid w:val="00F65C5A"/>
    <w:rsid w:val="00F66995"/>
    <w:rsid w:val="00F6742C"/>
    <w:rsid w:val="00F7161B"/>
    <w:rsid w:val="00F81DEE"/>
    <w:rsid w:val="00F839FE"/>
    <w:rsid w:val="00F84971"/>
    <w:rsid w:val="00F84A89"/>
    <w:rsid w:val="00F84D34"/>
    <w:rsid w:val="00F84E93"/>
    <w:rsid w:val="00F901F9"/>
    <w:rsid w:val="00FA1905"/>
    <w:rsid w:val="00FA23BA"/>
    <w:rsid w:val="00FA35F9"/>
    <w:rsid w:val="00FA4C58"/>
    <w:rsid w:val="00FA6050"/>
    <w:rsid w:val="00FA6541"/>
    <w:rsid w:val="00FB252C"/>
    <w:rsid w:val="00FB35C6"/>
    <w:rsid w:val="00FB5566"/>
    <w:rsid w:val="00FB5C4B"/>
    <w:rsid w:val="00FB771F"/>
    <w:rsid w:val="00FB773C"/>
    <w:rsid w:val="00FC0792"/>
    <w:rsid w:val="00FC1369"/>
    <w:rsid w:val="00FC5517"/>
    <w:rsid w:val="00FC58A4"/>
    <w:rsid w:val="00FC5BD9"/>
    <w:rsid w:val="00FC5CA3"/>
    <w:rsid w:val="00FC788C"/>
    <w:rsid w:val="00FC7944"/>
    <w:rsid w:val="00FD196B"/>
    <w:rsid w:val="00FD222D"/>
    <w:rsid w:val="00FD5ED8"/>
    <w:rsid w:val="00FE0D36"/>
    <w:rsid w:val="00FE18C4"/>
    <w:rsid w:val="00FE1C5E"/>
    <w:rsid w:val="00FE3CFC"/>
    <w:rsid w:val="00FE4A5F"/>
    <w:rsid w:val="00FE6A87"/>
    <w:rsid w:val="00FE6CA0"/>
    <w:rsid w:val="00FF1943"/>
    <w:rsid w:val="00FF4CFA"/>
    <w:rsid w:val="00FF6AA4"/>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412EA6"/>
  <w15:docId w15:val="{FF5E7658-3260-46EC-9E9F-6C32E3C0E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0618"/>
    <w:pPr>
      <w:spacing w:after="200" w:line="360" w:lineRule="auto"/>
      <w:jc w:val="both"/>
    </w:pPr>
    <w:rPr>
      <w:rFonts w:ascii="Arial" w:hAnsi="Arial"/>
      <w:szCs w:val="18"/>
      <w:lang w:val="en-GB"/>
    </w:rPr>
  </w:style>
  <w:style w:type="paragraph" w:styleId="Heading1">
    <w:name w:val="heading 1"/>
    <w:basedOn w:val="Title"/>
    <w:next w:val="ParagrapheIntro"/>
    <w:link w:val="Heading1Char"/>
    <w:uiPriority w:val="9"/>
    <w:qFormat/>
    <w:rsid w:val="00BB4478"/>
    <w:pPr>
      <w:pageBreakBefore/>
      <w:numPr>
        <w:numId w:val="1"/>
      </w:numPr>
      <w:tabs>
        <w:tab w:val="left" w:pos="2552"/>
      </w:tabs>
      <w:spacing w:before="1800" w:after="200" w:line="360" w:lineRule="auto"/>
      <w:ind w:left="0" w:firstLine="0"/>
      <w:contextualSpacing w:val="0"/>
      <w:outlineLvl w:val="0"/>
    </w:pPr>
    <w:rPr>
      <w:rFonts w:eastAsiaTheme="minorHAnsi" w:cstheme="minorBidi"/>
      <w:spacing w:val="0"/>
      <w:kern w:val="0"/>
      <w:sz w:val="48"/>
      <w:szCs w:val="48"/>
    </w:rPr>
  </w:style>
  <w:style w:type="paragraph" w:styleId="Heading2">
    <w:name w:val="heading 2"/>
    <w:basedOn w:val="Normal"/>
    <w:next w:val="Normal"/>
    <w:link w:val="Heading2Char"/>
    <w:uiPriority w:val="9"/>
    <w:unhideWhenUsed/>
    <w:qFormat/>
    <w:rsid w:val="009A65F7"/>
    <w:pPr>
      <w:keepNext/>
      <w:keepLines/>
      <w:numPr>
        <w:ilvl w:val="1"/>
        <w:numId w:val="1"/>
      </w:numPr>
      <w:spacing w:before="240" w:after="120"/>
      <w:outlineLvl w:val="1"/>
    </w:pPr>
    <w:rPr>
      <w:rFonts w:eastAsiaTheme="majorEastAsia" w:cstheme="majorBidi"/>
      <w:b/>
      <w:bCs/>
      <w:sz w:val="28"/>
      <w:szCs w:val="26"/>
      <w:lang w:val="fr-CH"/>
    </w:rPr>
  </w:style>
  <w:style w:type="paragraph" w:styleId="Heading3">
    <w:name w:val="heading 3"/>
    <w:basedOn w:val="Heading2"/>
    <w:next w:val="Normal"/>
    <w:link w:val="Heading3Char"/>
    <w:uiPriority w:val="9"/>
    <w:unhideWhenUsed/>
    <w:qFormat/>
    <w:rsid w:val="009A65F7"/>
    <w:pPr>
      <w:numPr>
        <w:ilvl w:val="2"/>
      </w:numPr>
      <w:outlineLvl w:val="2"/>
    </w:pPr>
    <w:rPr>
      <w:b w:val="0"/>
      <w:szCs w:val="32"/>
    </w:rPr>
  </w:style>
  <w:style w:type="paragraph" w:styleId="Heading4">
    <w:name w:val="heading 4"/>
    <w:basedOn w:val="Normal"/>
    <w:next w:val="Normal"/>
    <w:link w:val="Heading4Char"/>
    <w:uiPriority w:val="9"/>
    <w:semiHidden/>
    <w:unhideWhenUsed/>
    <w:rsid w:val="00BB4478"/>
    <w:pPr>
      <w:keepNext/>
      <w:keepLines/>
      <w:numPr>
        <w:ilvl w:val="3"/>
        <w:numId w:val="1"/>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B4478"/>
    <w:pPr>
      <w:keepNext/>
      <w:keepLines/>
      <w:numPr>
        <w:ilvl w:val="4"/>
        <w:numId w:val="1"/>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BB4478"/>
    <w:pPr>
      <w:keepNext/>
      <w:keepLines/>
      <w:numPr>
        <w:ilvl w:val="5"/>
        <w:numId w:val="1"/>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BB447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BB447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B447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478"/>
    <w:rPr>
      <w:rFonts w:asciiTheme="majorHAnsi" w:hAnsiTheme="majorHAnsi"/>
      <w:sz w:val="48"/>
      <w:szCs w:val="48"/>
      <w:lang w:val="en-GB"/>
    </w:rPr>
  </w:style>
  <w:style w:type="character" w:customStyle="1" w:styleId="Heading2Char">
    <w:name w:val="Heading 2 Char"/>
    <w:basedOn w:val="DefaultParagraphFont"/>
    <w:link w:val="Heading2"/>
    <w:uiPriority w:val="9"/>
    <w:rsid w:val="009A65F7"/>
    <w:rPr>
      <w:rFonts w:ascii="Arial" w:eastAsiaTheme="majorEastAsia" w:hAnsi="Arial" w:cstheme="majorBidi"/>
      <w:b/>
      <w:bCs/>
      <w:sz w:val="28"/>
      <w:szCs w:val="26"/>
    </w:rPr>
  </w:style>
  <w:style w:type="character" w:customStyle="1" w:styleId="Heading3Char">
    <w:name w:val="Heading 3 Char"/>
    <w:basedOn w:val="DefaultParagraphFont"/>
    <w:link w:val="Heading3"/>
    <w:uiPriority w:val="9"/>
    <w:rsid w:val="009A65F7"/>
    <w:rPr>
      <w:rFonts w:ascii="Arial" w:eastAsiaTheme="majorEastAsia" w:hAnsi="Arial" w:cstheme="majorBidi"/>
      <w:bCs/>
      <w:sz w:val="28"/>
      <w:szCs w:val="32"/>
    </w:rPr>
  </w:style>
  <w:style w:type="character" w:customStyle="1" w:styleId="Heading4Char">
    <w:name w:val="Heading 4 Char"/>
    <w:basedOn w:val="DefaultParagraphFont"/>
    <w:link w:val="Heading4"/>
    <w:uiPriority w:val="9"/>
    <w:semiHidden/>
    <w:rsid w:val="00BB4478"/>
    <w:rPr>
      <w:rFonts w:asciiTheme="majorHAnsi" w:eastAsiaTheme="majorEastAsia" w:hAnsiTheme="majorHAnsi" w:cstheme="majorBidi"/>
      <w:b/>
      <w:bCs/>
      <w:i/>
      <w:iCs/>
      <w:color w:val="5B9BD5" w:themeColor="accent1"/>
      <w:szCs w:val="18"/>
      <w:lang w:val="en-GB"/>
    </w:rPr>
  </w:style>
  <w:style w:type="character" w:customStyle="1" w:styleId="Heading5Char">
    <w:name w:val="Heading 5 Char"/>
    <w:basedOn w:val="DefaultParagraphFont"/>
    <w:link w:val="Heading5"/>
    <w:uiPriority w:val="9"/>
    <w:semiHidden/>
    <w:rsid w:val="00BB4478"/>
    <w:rPr>
      <w:rFonts w:asciiTheme="majorHAnsi" w:eastAsiaTheme="majorEastAsia" w:hAnsiTheme="majorHAnsi" w:cstheme="majorBidi"/>
      <w:color w:val="1F4D78" w:themeColor="accent1" w:themeShade="7F"/>
      <w:szCs w:val="18"/>
      <w:lang w:val="en-GB"/>
    </w:rPr>
  </w:style>
  <w:style w:type="character" w:customStyle="1" w:styleId="Heading6Char">
    <w:name w:val="Heading 6 Char"/>
    <w:basedOn w:val="DefaultParagraphFont"/>
    <w:link w:val="Heading6"/>
    <w:uiPriority w:val="9"/>
    <w:semiHidden/>
    <w:rsid w:val="00BB4478"/>
    <w:rPr>
      <w:rFonts w:asciiTheme="majorHAnsi" w:eastAsiaTheme="majorEastAsia" w:hAnsiTheme="majorHAnsi" w:cstheme="majorBidi"/>
      <w:i/>
      <w:iCs/>
      <w:color w:val="1F4D78" w:themeColor="accent1" w:themeShade="7F"/>
      <w:szCs w:val="18"/>
      <w:lang w:val="en-GB"/>
    </w:rPr>
  </w:style>
  <w:style w:type="character" w:customStyle="1" w:styleId="Heading7Char">
    <w:name w:val="Heading 7 Char"/>
    <w:basedOn w:val="DefaultParagraphFont"/>
    <w:link w:val="Heading7"/>
    <w:uiPriority w:val="9"/>
    <w:semiHidden/>
    <w:rsid w:val="00BB4478"/>
    <w:rPr>
      <w:rFonts w:asciiTheme="majorHAnsi" w:eastAsiaTheme="majorEastAsia" w:hAnsiTheme="majorHAnsi" w:cstheme="majorBidi"/>
      <w:i/>
      <w:iCs/>
      <w:color w:val="404040" w:themeColor="text1" w:themeTint="BF"/>
      <w:szCs w:val="18"/>
      <w:lang w:val="en-GB"/>
    </w:rPr>
  </w:style>
  <w:style w:type="character" w:customStyle="1" w:styleId="Heading8Char">
    <w:name w:val="Heading 8 Char"/>
    <w:basedOn w:val="DefaultParagraphFont"/>
    <w:link w:val="Heading8"/>
    <w:uiPriority w:val="9"/>
    <w:semiHidden/>
    <w:rsid w:val="00BB4478"/>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BB4478"/>
    <w:rPr>
      <w:rFonts w:asciiTheme="majorHAnsi" w:eastAsiaTheme="majorEastAsia" w:hAnsiTheme="majorHAnsi" w:cstheme="majorBidi"/>
      <w:i/>
      <w:iCs/>
      <w:color w:val="404040" w:themeColor="text1" w:themeTint="BF"/>
      <w:sz w:val="20"/>
      <w:szCs w:val="20"/>
      <w:lang w:val="en-GB"/>
    </w:rPr>
  </w:style>
  <w:style w:type="paragraph" w:customStyle="1" w:styleId="ParagrapheIntro">
    <w:name w:val="Paragraphe Intro"/>
    <w:basedOn w:val="Normal"/>
    <w:next w:val="Normal"/>
    <w:qFormat/>
    <w:rsid w:val="004F207C"/>
    <w:pPr>
      <w:spacing w:line="480" w:lineRule="auto"/>
    </w:pPr>
    <w:rPr>
      <w:sz w:val="18"/>
    </w:rPr>
  </w:style>
  <w:style w:type="paragraph" w:styleId="Title">
    <w:name w:val="Title"/>
    <w:basedOn w:val="Normal"/>
    <w:next w:val="Normal"/>
    <w:link w:val="TitleChar"/>
    <w:uiPriority w:val="10"/>
    <w:qFormat/>
    <w:rsid w:val="00BB447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478"/>
    <w:rPr>
      <w:rFonts w:asciiTheme="majorHAnsi" w:eastAsiaTheme="majorEastAsia" w:hAnsiTheme="majorHAnsi" w:cstheme="majorBidi"/>
      <w:spacing w:val="-10"/>
      <w:kern w:val="28"/>
      <w:sz w:val="56"/>
      <w:szCs w:val="56"/>
      <w:lang w:val="en-GB"/>
    </w:rPr>
  </w:style>
  <w:style w:type="paragraph" w:customStyle="1" w:styleId="Paragraphe">
    <w:name w:val="Paragraphe"/>
    <w:basedOn w:val="ParagrapheIntro"/>
    <w:qFormat/>
    <w:rsid w:val="00BB4478"/>
    <w:rPr>
      <w:lang w:val="fr-CH"/>
    </w:rPr>
  </w:style>
  <w:style w:type="character" w:styleId="CommentReference">
    <w:name w:val="annotation reference"/>
    <w:basedOn w:val="DefaultParagraphFont"/>
    <w:uiPriority w:val="99"/>
    <w:semiHidden/>
    <w:unhideWhenUsed/>
    <w:rsid w:val="005D2CED"/>
    <w:rPr>
      <w:sz w:val="16"/>
      <w:szCs w:val="16"/>
    </w:rPr>
  </w:style>
  <w:style w:type="paragraph" w:styleId="CommentText">
    <w:name w:val="annotation text"/>
    <w:basedOn w:val="Normal"/>
    <w:link w:val="CommentTextChar"/>
    <w:uiPriority w:val="99"/>
    <w:unhideWhenUsed/>
    <w:rsid w:val="005D2CED"/>
    <w:pPr>
      <w:spacing w:line="240" w:lineRule="auto"/>
    </w:pPr>
    <w:rPr>
      <w:sz w:val="20"/>
      <w:szCs w:val="20"/>
    </w:rPr>
  </w:style>
  <w:style w:type="character" w:customStyle="1" w:styleId="CommentTextChar">
    <w:name w:val="Comment Text Char"/>
    <w:basedOn w:val="DefaultParagraphFont"/>
    <w:link w:val="CommentText"/>
    <w:uiPriority w:val="99"/>
    <w:rsid w:val="005D2CED"/>
    <w:rPr>
      <w:sz w:val="20"/>
      <w:szCs w:val="20"/>
      <w:lang w:val="en-GB"/>
    </w:rPr>
  </w:style>
  <w:style w:type="paragraph" w:styleId="CommentSubject">
    <w:name w:val="annotation subject"/>
    <w:basedOn w:val="CommentText"/>
    <w:next w:val="CommentText"/>
    <w:link w:val="CommentSubjectChar"/>
    <w:uiPriority w:val="99"/>
    <w:semiHidden/>
    <w:unhideWhenUsed/>
    <w:rsid w:val="005D2CED"/>
    <w:rPr>
      <w:b/>
      <w:bCs/>
    </w:rPr>
  </w:style>
  <w:style w:type="character" w:customStyle="1" w:styleId="CommentSubjectChar">
    <w:name w:val="Comment Subject Char"/>
    <w:basedOn w:val="CommentTextChar"/>
    <w:link w:val="CommentSubject"/>
    <w:uiPriority w:val="99"/>
    <w:semiHidden/>
    <w:rsid w:val="005D2CED"/>
    <w:rPr>
      <w:b/>
      <w:bCs/>
      <w:sz w:val="20"/>
      <w:szCs w:val="20"/>
      <w:lang w:val="en-GB"/>
    </w:rPr>
  </w:style>
  <w:style w:type="paragraph" w:styleId="BalloonText">
    <w:name w:val="Balloon Text"/>
    <w:basedOn w:val="Normal"/>
    <w:link w:val="BalloonTextChar"/>
    <w:uiPriority w:val="99"/>
    <w:semiHidden/>
    <w:unhideWhenUsed/>
    <w:rsid w:val="005D2CED"/>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5D2CED"/>
    <w:rPr>
      <w:rFonts w:ascii="Segoe UI" w:hAnsi="Segoe UI" w:cs="Segoe UI"/>
      <w:sz w:val="18"/>
      <w:szCs w:val="18"/>
      <w:lang w:val="en-GB"/>
    </w:rPr>
  </w:style>
  <w:style w:type="character" w:styleId="Hyperlink">
    <w:name w:val="Hyperlink"/>
    <w:basedOn w:val="DefaultParagraphFont"/>
    <w:uiPriority w:val="99"/>
    <w:unhideWhenUsed/>
    <w:rsid w:val="00E0251D"/>
    <w:rPr>
      <w:color w:val="0563C1" w:themeColor="hyperlink"/>
      <w:u w:val="single"/>
    </w:rPr>
  </w:style>
  <w:style w:type="paragraph" w:styleId="Caption">
    <w:name w:val="caption"/>
    <w:basedOn w:val="Normal"/>
    <w:next w:val="Paragraphe"/>
    <w:autoRedefine/>
    <w:uiPriority w:val="35"/>
    <w:unhideWhenUsed/>
    <w:qFormat/>
    <w:rsid w:val="00067817"/>
    <w:pPr>
      <w:jc w:val="left"/>
    </w:pPr>
    <w:rPr>
      <w:bCs/>
      <w:sz w:val="20"/>
      <w:szCs w:val="20"/>
    </w:rPr>
  </w:style>
  <w:style w:type="character" w:styleId="LineNumber">
    <w:name w:val="line number"/>
    <w:basedOn w:val="DefaultParagraphFont"/>
    <w:uiPriority w:val="99"/>
    <w:semiHidden/>
    <w:unhideWhenUsed/>
    <w:rsid w:val="003B1B80"/>
  </w:style>
  <w:style w:type="paragraph" w:styleId="Header">
    <w:name w:val="header"/>
    <w:basedOn w:val="Normal"/>
    <w:link w:val="HeaderChar"/>
    <w:uiPriority w:val="99"/>
    <w:unhideWhenUsed/>
    <w:rsid w:val="003B1B80"/>
    <w:pPr>
      <w:tabs>
        <w:tab w:val="center" w:pos="4536"/>
        <w:tab w:val="right" w:pos="9072"/>
      </w:tabs>
      <w:spacing w:after="0" w:line="240" w:lineRule="auto"/>
    </w:pPr>
  </w:style>
  <w:style w:type="character" w:customStyle="1" w:styleId="HeaderChar">
    <w:name w:val="Header Char"/>
    <w:basedOn w:val="DefaultParagraphFont"/>
    <w:link w:val="Header"/>
    <w:uiPriority w:val="99"/>
    <w:rsid w:val="003B1B80"/>
    <w:rPr>
      <w:szCs w:val="18"/>
      <w:lang w:val="en-GB"/>
    </w:rPr>
  </w:style>
  <w:style w:type="paragraph" w:styleId="Footer">
    <w:name w:val="footer"/>
    <w:basedOn w:val="Normal"/>
    <w:link w:val="FooterChar"/>
    <w:uiPriority w:val="99"/>
    <w:unhideWhenUsed/>
    <w:rsid w:val="003B1B8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B1B80"/>
    <w:rPr>
      <w:szCs w:val="18"/>
      <w:lang w:val="en-GB"/>
    </w:rPr>
  </w:style>
  <w:style w:type="paragraph" w:styleId="Revision">
    <w:name w:val="Revision"/>
    <w:hidden/>
    <w:uiPriority w:val="99"/>
    <w:semiHidden/>
    <w:rsid w:val="00A02D40"/>
    <w:pPr>
      <w:spacing w:after="0" w:line="240" w:lineRule="auto"/>
    </w:pPr>
    <w:rPr>
      <w:szCs w:val="18"/>
      <w:lang w:val="en-GB"/>
    </w:rPr>
  </w:style>
  <w:style w:type="character" w:styleId="FollowedHyperlink">
    <w:name w:val="FollowedHyperlink"/>
    <w:basedOn w:val="DefaultParagraphFont"/>
    <w:uiPriority w:val="99"/>
    <w:semiHidden/>
    <w:unhideWhenUsed/>
    <w:rsid w:val="007564E2"/>
    <w:rPr>
      <w:color w:val="954F72" w:themeColor="followedHyperlink"/>
      <w:u w:val="single"/>
    </w:rPr>
  </w:style>
  <w:style w:type="paragraph" w:styleId="ListParagraph">
    <w:name w:val="List Paragraph"/>
    <w:basedOn w:val="Normal"/>
    <w:uiPriority w:val="34"/>
    <w:qFormat/>
    <w:rsid w:val="005706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071994">
      <w:bodyDiv w:val="1"/>
      <w:marLeft w:val="0"/>
      <w:marRight w:val="0"/>
      <w:marTop w:val="0"/>
      <w:marBottom w:val="0"/>
      <w:divBdr>
        <w:top w:val="none" w:sz="0" w:space="0" w:color="auto"/>
        <w:left w:val="none" w:sz="0" w:space="0" w:color="auto"/>
        <w:bottom w:val="none" w:sz="0" w:space="0" w:color="auto"/>
        <w:right w:val="none" w:sz="0" w:space="0" w:color="auto"/>
      </w:divBdr>
    </w:div>
    <w:div w:id="1424958247">
      <w:bodyDiv w:val="1"/>
      <w:marLeft w:val="0"/>
      <w:marRight w:val="0"/>
      <w:marTop w:val="0"/>
      <w:marBottom w:val="0"/>
      <w:divBdr>
        <w:top w:val="none" w:sz="0" w:space="0" w:color="auto"/>
        <w:left w:val="none" w:sz="0" w:space="0" w:color="auto"/>
        <w:bottom w:val="none" w:sz="0" w:space="0" w:color="auto"/>
        <w:right w:val="none" w:sz="0" w:space="0" w:color="auto"/>
      </w:divBdr>
    </w:div>
    <w:div w:id="1428380791">
      <w:bodyDiv w:val="1"/>
      <w:marLeft w:val="0"/>
      <w:marRight w:val="0"/>
      <w:marTop w:val="0"/>
      <w:marBottom w:val="0"/>
      <w:divBdr>
        <w:top w:val="none" w:sz="0" w:space="0" w:color="auto"/>
        <w:left w:val="none" w:sz="0" w:space="0" w:color="auto"/>
        <w:bottom w:val="none" w:sz="0" w:space="0" w:color="auto"/>
        <w:right w:val="none" w:sz="0" w:space="0" w:color="auto"/>
      </w:divBdr>
    </w:div>
    <w:div w:id="1471704670">
      <w:bodyDiv w:val="1"/>
      <w:marLeft w:val="0"/>
      <w:marRight w:val="0"/>
      <w:marTop w:val="0"/>
      <w:marBottom w:val="0"/>
      <w:divBdr>
        <w:top w:val="none" w:sz="0" w:space="0" w:color="auto"/>
        <w:left w:val="none" w:sz="0" w:space="0" w:color="auto"/>
        <w:bottom w:val="none" w:sz="0" w:space="0" w:color="auto"/>
        <w:right w:val="none" w:sz="0" w:space="0" w:color="auto"/>
      </w:divBdr>
    </w:div>
    <w:div w:id="1809476065">
      <w:bodyDiv w:val="1"/>
      <w:marLeft w:val="0"/>
      <w:marRight w:val="0"/>
      <w:marTop w:val="0"/>
      <w:marBottom w:val="0"/>
      <w:divBdr>
        <w:top w:val="none" w:sz="0" w:space="0" w:color="auto"/>
        <w:left w:val="none" w:sz="0" w:space="0" w:color="auto"/>
        <w:bottom w:val="none" w:sz="0" w:space="0" w:color="auto"/>
        <w:right w:val="none" w:sz="0" w:space="0" w:color="auto"/>
      </w:divBdr>
    </w:div>
    <w:div w:id="194499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file:///C:\Users\bousleim\Dropbox%20(Personal)\Temporary%20working%20folder\My%20Papers\DGRP%20splicing-v3\Figures\png\Bou%20Sleiman%20et%20al_Fig%20S3.png"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file:///C:\Users\bousleim\Dropbox%20(Personal)\Temporary%20working%20folder\My%20Papers\DGRP%20splicing-v3\Figures\png\Bou%20Sleiman%20et%20al_Fig%20S5.png"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Users\bousleim\Dropbox%20(Personal)\Temporary%20working%20folder\My%20Papers\DGRP%20splicing-v3\Figures\png\Bou%20Sleiman%20et%20al_Fig%20S2.png" TargetMode="External"/><Relationship Id="rId5" Type="http://schemas.openxmlformats.org/officeDocument/2006/relationships/webSettings" Target="webSettings.xml"/><Relationship Id="rId15" Type="http://schemas.openxmlformats.org/officeDocument/2006/relationships/image" Target="file:///C:\Users\bousleim\Dropbox%20(Personal)\Temporary%20working%20folder\My%20Papers\DGRP%20splicing-v3\Figures\png\Bou%20Sleiman%20et%20al_Fig%20S4.png" TargetMode="External"/><Relationship Id="rId10" Type="http://schemas.openxmlformats.org/officeDocument/2006/relationships/image" Target="media/image2.png"/><Relationship Id="rId19" Type="http://schemas.openxmlformats.org/officeDocument/2006/relationships/image" Target="file:///C:\Users\bousleim\Dropbox%20(Personal)\Temporary%20working%20folder\My%20Papers\DGRP%20splicing-v3\Figures\png\Bou%20Sleiman%20et%20al_Fig%20S6.png" TargetMode="External"/><Relationship Id="rId4" Type="http://schemas.openxmlformats.org/officeDocument/2006/relationships/settings" Target="settings.xml"/><Relationship Id="rId9" Type="http://schemas.openxmlformats.org/officeDocument/2006/relationships/image" Target="file:///C:\Users\bousleim\Dropbox%20(Personal)\Temporary%20working%20folder\My%20Papers\DGRP%20splicing-v3\Figures\png\Bou%20Sleiman%20et%20al_Fig%20S1.png" TargetMode="Externa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6F31C-1638-455F-AEC6-1681BC358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3251</TotalTime>
  <Pages>7</Pages>
  <Words>980</Words>
  <Characters>5396</Characters>
  <Application>Microsoft Office Word</Application>
  <DocSecurity>0</DocSecurity>
  <Lines>44</Lines>
  <Paragraphs>12</Paragraphs>
  <ScaleCrop>false</ScaleCrop>
  <HeadingPairs>
    <vt:vector size="6" baseType="variant">
      <vt:variant>
        <vt:lpstr>Title</vt:lpstr>
      </vt:variant>
      <vt:variant>
        <vt:i4>1</vt:i4>
      </vt:variant>
      <vt:variant>
        <vt:lpstr>Headings</vt:lpstr>
      </vt:variant>
      <vt:variant>
        <vt:i4>1</vt:i4>
      </vt:variant>
      <vt:variant>
        <vt:lpstr>Titolo</vt:lpstr>
      </vt:variant>
      <vt:variant>
        <vt:i4>1</vt:i4>
      </vt:variant>
    </vt:vector>
  </HeadingPairs>
  <TitlesOfParts>
    <vt:vector size="3" baseType="lpstr">
      <vt:lpstr/>
      <vt:lpstr>    Supplementary Figures</vt:lpstr>
      <vt:lpstr/>
    </vt:vector>
  </TitlesOfParts>
  <Company>EPFL</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 Sleiman Maroun</dc:creator>
  <cp:lastModifiedBy>Bou Sleiman Maroun</cp:lastModifiedBy>
  <cp:revision>77</cp:revision>
  <cp:lastPrinted>2018-08-03T07:43:00Z</cp:lastPrinted>
  <dcterms:created xsi:type="dcterms:W3CDTF">2019-04-06T08:10:00Z</dcterms:created>
  <dcterms:modified xsi:type="dcterms:W3CDTF">2019-12-19T14:03:00Z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id="2lvZWjUg"/&gt;&lt;style id="" hasBibliography="0" bibliographyStyleHasBeenSet="0"/&gt;&lt;prefs/&gt;&lt;/data&gt;</vt:lpwstr>
  </property>
</Properties>
</file>