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595" w:rsidRDefault="00C973A3" w:rsidP="00C973A3">
      <w:pPr>
        <w:spacing w:after="0" w:line="240" w:lineRule="auto"/>
        <w:rPr>
          <w:b/>
          <w:u w:val="single"/>
        </w:rPr>
      </w:pPr>
      <w:r>
        <w:rPr>
          <w:b/>
          <w:u w:val="single"/>
        </w:rPr>
        <w:t>First round</w:t>
      </w:r>
    </w:p>
    <w:p w:rsidR="00C973A3" w:rsidRDefault="00C973A3" w:rsidP="00C973A3">
      <w:pPr>
        <w:spacing w:after="0" w:line="240" w:lineRule="auto"/>
        <w:rPr>
          <w:b/>
        </w:rPr>
      </w:pPr>
      <w:r>
        <w:rPr>
          <w:b/>
        </w:rPr>
        <w:t>Reviewer 1</w:t>
      </w:r>
    </w:p>
    <w:p w:rsidR="00C973A3" w:rsidRDefault="00C973A3" w:rsidP="00C973A3">
      <w:pPr>
        <w:spacing w:after="0" w:line="240" w:lineRule="auto"/>
        <w:rPr>
          <w:shd w:val="clear" w:color="auto" w:fill="FFFFFF"/>
        </w:rPr>
      </w:pPr>
      <w:r w:rsidRPr="00C973A3">
        <w:rPr>
          <w:shd w:val="clear" w:color="auto" w:fill="FFFFFF"/>
        </w:rPr>
        <w:t xml:space="preserve">Authors describe HINT pipeline, which allows for detection of copy number variations and translocations from Hi-C data. The paper is overall well written, though lacking in detail in some sections. Authors validate method performance by using real and simulated data and convincingly show that they have a useful method. Necessary comparisons to most existing methods are performed, showing that HINT largely outperforms other methods at CNV and translocation detection. This is a useful manuscript that can </w:t>
      </w:r>
      <w:proofErr w:type="gramStart"/>
      <w:r w:rsidRPr="00C973A3">
        <w:rPr>
          <w:shd w:val="clear" w:color="auto" w:fill="FFFFFF"/>
        </w:rPr>
        <w:t>adopted</w:t>
      </w:r>
      <w:proofErr w:type="gramEnd"/>
      <w:r w:rsidRPr="00C973A3">
        <w:rPr>
          <w:shd w:val="clear" w:color="auto" w:fill="FFFFFF"/>
        </w:rPr>
        <w:t xml:space="preserve"> by researchers in the field. I think the paper can benefit from extending some of the analysis to a couple other cell types and better explaining the method.</w:t>
      </w:r>
      <w:r w:rsidRPr="00C973A3">
        <w:br/>
      </w:r>
      <w:r w:rsidRPr="00C973A3">
        <w:rPr>
          <w:shd w:val="clear" w:color="auto" w:fill="FFFFFF"/>
        </w:rPr>
        <w:t>Major points</w:t>
      </w:r>
      <w:proofErr w:type="gramStart"/>
      <w:r w:rsidRPr="00C973A3">
        <w:rPr>
          <w:shd w:val="clear" w:color="auto" w:fill="FFFFFF"/>
        </w:rPr>
        <w:t>:</w:t>
      </w:r>
      <w:proofErr w:type="gramEnd"/>
      <w:r w:rsidRPr="00C973A3">
        <w:br/>
      </w:r>
      <w:r w:rsidRPr="00C973A3">
        <w:rPr>
          <w:shd w:val="clear" w:color="auto" w:fill="FFFFFF"/>
        </w:rPr>
        <w:t xml:space="preserve">Can the GAM model be used to model biases in an iterative manner, by removing regions with CNVs, and refitting the GAM model to remaining bins? A similar strategy is adopted by Fit-Hi-C in learning the background model where outliers are removed in an iterative process where background model is refined </w:t>
      </w:r>
      <w:proofErr w:type="gramStart"/>
      <w:r w:rsidRPr="00C973A3">
        <w:rPr>
          <w:shd w:val="clear" w:color="auto" w:fill="FFFFFF"/>
        </w:rPr>
        <w:t>at each iteration</w:t>
      </w:r>
      <w:proofErr w:type="gramEnd"/>
      <w:r w:rsidRPr="00C973A3">
        <w:rPr>
          <w:shd w:val="clear" w:color="auto" w:fill="FFFFFF"/>
        </w:rPr>
        <w:t>.</w:t>
      </w:r>
      <w:r w:rsidRPr="00C973A3">
        <w:br/>
      </w:r>
      <w:r w:rsidRPr="00C973A3">
        <w:rPr>
          <w:shd w:val="clear" w:color="auto" w:fill="FFFFFF"/>
        </w:rPr>
        <w:t xml:space="preserve">How is the </w:t>
      </w:r>
      <w:proofErr w:type="spellStart"/>
      <w:r w:rsidRPr="00C973A3">
        <w:rPr>
          <w:shd w:val="clear" w:color="auto" w:fill="FFFFFF"/>
        </w:rPr>
        <w:t>mappability</w:t>
      </w:r>
      <w:proofErr w:type="spellEnd"/>
      <w:r w:rsidRPr="00C973A3">
        <w:rPr>
          <w:shd w:val="clear" w:color="auto" w:fill="FFFFFF"/>
        </w:rPr>
        <w:t xml:space="preserve"> estimated? This detail is missing in the method section. Since BWA-MEM is used, measuring </w:t>
      </w:r>
      <w:proofErr w:type="spellStart"/>
      <w:r w:rsidRPr="00C973A3">
        <w:rPr>
          <w:shd w:val="clear" w:color="auto" w:fill="FFFFFF"/>
        </w:rPr>
        <w:t>mappability</w:t>
      </w:r>
      <w:proofErr w:type="spellEnd"/>
      <w:r w:rsidRPr="00C973A3">
        <w:rPr>
          <w:shd w:val="clear" w:color="auto" w:fill="FFFFFF"/>
        </w:rPr>
        <w:t xml:space="preserve"> of a genome segment does not seem trivial.</w:t>
      </w:r>
      <w:r w:rsidRPr="00C973A3">
        <w:br/>
      </w:r>
      <w:r w:rsidRPr="00C973A3">
        <w:rPr>
          <w:shd w:val="clear" w:color="auto" w:fill="FFFFFF"/>
        </w:rPr>
        <w:t xml:space="preserve">The GAM based normalization approach is quite similar to </w:t>
      </w:r>
      <w:proofErr w:type="spellStart"/>
      <w:r w:rsidRPr="00C973A3">
        <w:rPr>
          <w:shd w:val="clear" w:color="auto" w:fill="FFFFFF"/>
        </w:rPr>
        <w:t>HiCNorm</w:t>
      </w:r>
      <w:proofErr w:type="spellEnd"/>
      <w:r w:rsidRPr="00C973A3">
        <w:rPr>
          <w:shd w:val="clear" w:color="auto" w:fill="FFFFFF"/>
        </w:rPr>
        <w:t xml:space="preserve"> (Hu et al.). A </w:t>
      </w:r>
      <w:proofErr w:type="gramStart"/>
      <w:r w:rsidRPr="00C973A3">
        <w:rPr>
          <w:shd w:val="clear" w:color="auto" w:fill="FFFFFF"/>
        </w:rPr>
        <w:t>cite</w:t>
      </w:r>
      <w:proofErr w:type="gramEnd"/>
      <w:r w:rsidRPr="00C973A3">
        <w:rPr>
          <w:shd w:val="clear" w:color="auto" w:fill="FFFFFF"/>
        </w:rPr>
        <w:t xml:space="preserve"> seems appropriate.</w:t>
      </w:r>
      <w:r w:rsidRPr="00C973A3">
        <w:br/>
      </w:r>
      <w:r w:rsidRPr="00C973A3">
        <w:rPr>
          <w:shd w:val="clear" w:color="auto" w:fill="FFFFFF"/>
        </w:rPr>
        <w:t>CNV detection performance of HINT in impressive but using only two cell types seems limited. Consider extending the analysis to more cell lines, and maybe include HAP1 (a largely haploid cell type) as a negative control.</w:t>
      </w:r>
      <w:r w:rsidRPr="00C973A3">
        <w:br/>
      </w:r>
      <w:r w:rsidRPr="00C973A3">
        <w:rPr>
          <w:shd w:val="clear" w:color="auto" w:fill="FFFFFF"/>
        </w:rPr>
        <w:t xml:space="preserve">I recommend </w:t>
      </w:r>
      <w:proofErr w:type="spellStart"/>
      <w:r w:rsidRPr="00C973A3">
        <w:rPr>
          <w:shd w:val="clear" w:color="auto" w:fill="FFFFFF"/>
        </w:rPr>
        <w:t>tha</w:t>
      </w:r>
      <w:proofErr w:type="spellEnd"/>
      <w:r w:rsidRPr="00C973A3">
        <w:rPr>
          <w:shd w:val="clear" w:color="auto" w:fill="FFFFFF"/>
        </w:rPr>
        <w:t xml:space="preserve"> the authors compare their method against </w:t>
      </w:r>
      <w:proofErr w:type="spellStart"/>
      <w:r w:rsidRPr="00C973A3">
        <w:rPr>
          <w:shd w:val="clear" w:color="auto" w:fill="FFFFFF"/>
        </w:rPr>
        <w:t>OneD</w:t>
      </w:r>
      <w:proofErr w:type="spellEnd"/>
      <w:r w:rsidRPr="00C973A3">
        <w:rPr>
          <w:shd w:val="clear" w:color="auto" w:fill="FFFFFF"/>
        </w:rPr>
        <w:t xml:space="preserve"> (Vidal et al. 2018 NAR) as this recent method also measures CNVs.</w:t>
      </w:r>
      <w:r w:rsidRPr="00C973A3">
        <w:br/>
      </w:r>
      <w:r w:rsidRPr="00C973A3">
        <w:rPr>
          <w:shd w:val="clear" w:color="auto" w:fill="FFFFFF"/>
        </w:rPr>
        <w:t xml:space="preserve">In detecting inter-chromosomal translocation, authors rightfully point out that </w:t>
      </w:r>
      <w:proofErr w:type="spellStart"/>
      <w:r w:rsidRPr="00C973A3">
        <w:rPr>
          <w:shd w:val="clear" w:color="auto" w:fill="FFFFFF"/>
        </w:rPr>
        <w:t>interchromosomal</w:t>
      </w:r>
      <w:proofErr w:type="spellEnd"/>
      <w:r w:rsidRPr="00C973A3">
        <w:rPr>
          <w:shd w:val="clear" w:color="auto" w:fill="FFFFFF"/>
        </w:rPr>
        <w:t xml:space="preserve"> interactions are confounded by compartmentalization </w:t>
      </w:r>
      <w:proofErr w:type="gramStart"/>
      <w:r w:rsidRPr="00C973A3">
        <w:rPr>
          <w:shd w:val="clear" w:color="auto" w:fill="FFFFFF"/>
        </w:rPr>
        <w:t>( and</w:t>
      </w:r>
      <w:proofErr w:type="gramEnd"/>
      <w:r w:rsidRPr="00C973A3">
        <w:rPr>
          <w:shd w:val="clear" w:color="auto" w:fill="FFFFFF"/>
        </w:rPr>
        <w:t xml:space="preserve"> sub-compartmentalization) effects which may confound the translocation detection method. Authors try to normalize such effects away by using an average matrix from different cell types, but this approach is flawed since compartments can be dynamic across cell types. Can an alternative normalization strategy be used where the effects of compartmentalization </w:t>
      </w:r>
      <w:proofErr w:type="gramStart"/>
      <w:r w:rsidRPr="00C973A3">
        <w:rPr>
          <w:shd w:val="clear" w:color="auto" w:fill="FFFFFF"/>
        </w:rPr>
        <w:t>be</w:t>
      </w:r>
      <w:proofErr w:type="gramEnd"/>
      <w:r w:rsidRPr="00C973A3">
        <w:rPr>
          <w:shd w:val="clear" w:color="auto" w:fill="FFFFFF"/>
        </w:rPr>
        <w:t xml:space="preserve"> normalized away in a cell type specific manner?</w:t>
      </w:r>
      <w:r w:rsidRPr="00C973A3">
        <w:br/>
      </w:r>
      <w:r w:rsidRPr="00C973A3">
        <w:rPr>
          <w:shd w:val="clear" w:color="auto" w:fill="FFFFFF"/>
        </w:rPr>
        <w:t>What are the characteristics of the translocations detected by WGS (</w:t>
      </w:r>
      <w:proofErr w:type="spellStart"/>
      <w:r w:rsidRPr="00C973A3">
        <w:rPr>
          <w:shd w:val="clear" w:color="auto" w:fill="FFFFFF"/>
        </w:rPr>
        <w:t>Meekkat</w:t>
      </w:r>
      <w:proofErr w:type="spellEnd"/>
      <w:r w:rsidRPr="00C973A3">
        <w:rPr>
          <w:shd w:val="clear" w:color="auto" w:fill="FFFFFF"/>
        </w:rPr>
        <w:t xml:space="preserve"> and </w:t>
      </w:r>
      <w:proofErr w:type="spellStart"/>
      <w:r w:rsidRPr="00C973A3">
        <w:rPr>
          <w:shd w:val="clear" w:color="auto" w:fill="FFFFFF"/>
        </w:rPr>
        <w:t>Delly</w:t>
      </w:r>
      <w:proofErr w:type="spellEnd"/>
      <w:r w:rsidRPr="00C973A3">
        <w:rPr>
          <w:shd w:val="clear" w:color="auto" w:fill="FFFFFF"/>
        </w:rPr>
        <w:t>) but not by HINT, if any? Is there any evidence suggesting these are regions are enriched in certain regions with a particular feature of chromatin organization confound the Hi-C signal? Are they enriched in a particular compartment or a region? I realize the authors already attempted to characterize such discrepancies in pages 9-10 but additional findings can make it more compelling.</w:t>
      </w:r>
      <w:r w:rsidRPr="00C973A3">
        <w:br/>
      </w:r>
      <w:r w:rsidRPr="00C973A3">
        <w:rPr>
          <w:shd w:val="clear" w:color="auto" w:fill="FFFFFF"/>
        </w:rPr>
        <w:t>Hi-glass URL (http://18.215.251.253) did not work.</w:t>
      </w:r>
      <w:r w:rsidRPr="00C973A3">
        <w:br/>
      </w:r>
      <w:r w:rsidRPr="00C973A3">
        <w:rPr>
          <w:shd w:val="clear" w:color="auto" w:fill="FFFFFF"/>
        </w:rPr>
        <w:t>Please refer to methods section in the main text when glossing over technical details of the method.</w:t>
      </w:r>
      <w:r w:rsidRPr="00C973A3">
        <w:br/>
      </w:r>
      <w:r w:rsidRPr="00C973A3">
        <w:rPr>
          <w:shd w:val="clear" w:color="auto" w:fill="FFFFFF"/>
        </w:rPr>
        <w:t xml:space="preserve">Conclusion can be longer, elaborating on the differences between methods and shortcomings of each method. I think the paper does a thorough evaluation of various methods and approaches and </w:t>
      </w:r>
      <w:proofErr w:type="gramStart"/>
      <w:r w:rsidRPr="00C973A3">
        <w:rPr>
          <w:shd w:val="clear" w:color="auto" w:fill="FFFFFF"/>
        </w:rPr>
        <w:t>those conclusion</w:t>
      </w:r>
      <w:proofErr w:type="gramEnd"/>
      <w:r w:rsidRPr="00C973A3">
        <w:rPr>
          <w:shd w:val="clear" w:color="auto" w:fill="FFFFFF"/>
        </w:rPr>
        <w:t xml:space="preserve"> can be stressed here in more detail.</w:t>
      </w:r>
      <w:r w:rsidRPr="00C973A3">
        <w:br/>
      </w:r>
      <w:r w:rsidRPr="00C973A3">
        <w:rPr>
          <w:shd w:val="clear" w:color="auto" w:fill="FFFFFF"/>
        </w:rPr>
        <w:t xml:space="preserve">Please add more detail to the methods section, e.g. how is the Gini Index calculated exactly? </w:t>
      </w:r>
      <w:proofErr w:type="gramStart"/>
      <w:r w:rsidRPr="00C973A3">
        <w:rPr>
          <w:shd w:val="clear" w:color="auto" w:fill="FFFFFF"/>
        </w:rPr>
        <w:t>At what resolution?</w:t>
      </w:r>
      <w:proofErr w:type="gramEnd"/>
      <w:r w:rsidRPr="00C973A3">
        <w:rPr>
          <w:shd w:val="clear" w:color="auto" w:fill="FFFFFF"/>
        </w:rPr>
        <w:t xml:space="preserve"> How is the </w:t>
      </w:r>
      <w:proofErr w:type="spellStart"/>
      <w:r w:rsidRPr="00C973A3">
        <w:rPr>
          <w:shd w:val="clear" w:color="auto" w:fill="FFFFFF"/>
        </w:rPr>
        <w:t>mappability</w:t>
      </w:r>
      <w:proofErr w:type="spellEnd"/>
      <w:r w:rsidRPr="00C973A3">
        <w:rPr>
          <w:shd w:val="clear" w:color="auto" w:fill="FFFFFF"/>
        </w:rPr>
        <w:t xml:space="preserve"> estimated for the GAM? Since a local alignment strategy is used, it is not clear to me how the </w:t>
      </w:r>
      <w:proofErr w:type="spellStart"/>
      <w:r w:rsidRPr="00C973A3">
        <w:rPr>
          <w:shd w:val="clear" w:color="auto" w:fill="FFFFFF"/>
        </w:rPr>
        <w:t>mappability</w:t>
      </w:r>
      <w:proofErr w:type="spellEnd"/>
      <w:r w:rsidRPr="00C973A3">
        <w:rPr>
          <w:shd w:val="clear" w:color="auto" w:fill="FFFFFF"/>
        </w:rPr>
        <w:t xml:space="preserve"> of a region is estimated. Some important details of the method </w:t>
      </w:r>
      <w:proofErr w:type="gramStart"/>
      <w:r w:rsidRPr="00C973A3">
        <w:rPr>
          <w:shd w:val="clear" w:color="auto" w:fill="FFFFFF"/>
        </w:rPr>
        <w:t>is</w:t>
      </w:r>
      <w:proofErr w:type="gramEnd"/>
      <w:r w:rsidRPr="00C973A3">
        <w:rPr>
          <w:shd w:val="clear" w:color="auto" w:fill="FFFFFF"/>
        </w:rPr>
        <w:t xml:space="preserve"> not clear to the reader.</w:t>
      </w:r>
      <w:r w:rsidRPr="00C973A3">
        <w:br/>
      </w:r>
      <w:r w:rsidRPr="00C973A3">
        <w:rPr>
          <w:shd w:val="clear" w:color="auto" w:fill="FFFFFF"/>
        </w:rPr>
        <w:t>Minor</w:t>
      </w:r>
      <w:r w:rsidRPr="00C973A3">
        <w:br/>
      </w:r>
      <w:r w:rsidRPr="00C973A3">
        <w:rPr>
          <w:shd w:val="clear" w:color="auto" w:fill="FFFFFF"/>
        </w:rPr>
        <w:t xml:space="preserve">Fig2B has </w:t>
      </w:r>
      <w:proofErr w:type="spellStart"/>
      <w:r w:rsidRPr="00C973A3">
        <w:rPr>
          <w:shd w:val="clear" w:color="auto" w:fill="FFFFFF"/>
        </w:rPr>
        <w:t>color</w:t>
      </w:r>
      <w:proofErr w:type="spellEnd"/>
      <w:r w:rsidRPr="00C973A3">
        <w:rPr>
          <w:shd w:val="clear" w:color="auto" w:fill="FFFFFF"/>
        </w:rPr>
        <w:t xml:space="preserve"> but it does not code for a variable, just positivity/negativity. </w:t>
      </w:r>
      <w:proofErr w:type="gramStart"/>
      <w:r w:rsidRPr="00C973A3">
        <w:rPr>
          <w:shd w:val="clear" w:color="auto" w:fill="FFFFFF"/>
        </w:rPr>
        <w:t>Slightly confusing.</w:t>
      </w:r>
      <w:proofErr w:type="gramEnd"/>
      <w:r w:rsidRPr="00C973A3">
        <w:br/>
      </w:r>
      <w:r w:rsidRPr="00C973A3">
        <w:rPr>
          <w:shd w:val="clear" w:color="auto" w:fill="FFFFFF"/>
        </w:rPr>
        <w:t>Please better annotate the curves on the sides of hi-c matrices in the figures, it is not entirely clear that these curves correspond to the row sums and column sums and the figure legend do not always explain this.</w:t>
      </w:r>
      <w:r w:rsidRPr="00C973A3">
        <w:br/>
      </w:r>
      <w:r w:rsidRPr="00C973A3">
        <w:rPr>
          <w:shd w:val="clear" w:color="auto" w:fill="FFFFFF"/>
        </w:rPr>
        <w:t xml:space="preserve">What are the </w:t>
      </w:r>
      <w:proofErr w:type="spellStart"/>
      <w:r w:rsidRPr="00C973A3">
        <w:rPr>
          <w:shd w:val="clear" w:color="auto" w:fill="FFFFFF"/>
        </w:rPr>
        <w:t>colors</w:t>
      </w:r>
      <w:proofErr w:type="spellEnd"/>
      <w:r w:rsidRPr="00C973A3">
        <w:rPr>
          <w:shd w:val="clear" w:color="auto" w:fill="FFFFFF"/>
        </w:rPr>
        <w:t xml:space="preserve"> in Fig 5C?</w:t>
      </w:r>
      <w:r w:rsidRPr="00C973A3">
        <w:br/>
      </w:r>
      <w:r w:rsidRPr="00C973A3">
        <w:rPr>
          <w:shd w:val="clear" w:color="auto" w:fill="FFFFFF"/>
        </w:rPr>
        <w:t xml:space="preserve">Please place the detected and undetected translocation in a box in </w:t>
      </w:r>
      <w:proofErr w:type="spellStart"/>
      <w:r w:rsidRPr="00C973A3">
        <w:rPr>
          <w:shd w:val="clear" w:color="auto" w:fill="FFFFFF"/>
        </w:rPr>
        <w:t>SuppFig</w:t>
      </w:r>
      <w:proofErr w:type="spellEnd"/>
      <w:r w:rsidRPr="00C973A3">
        <w:rPr>
          <w:shd w:val="clear" w:color="auto" w:fill="FFFFFF"/>
        </w:rPr>
        <w:t xml:space="preserve"> 8 and </w:t>
      </w:r>
      <w:proofErr w:type="spellStart"/>
      <w:r w:rsidRPr="00C973A3">
        <w:rPr>
          <w:shd w:val="clear" w:color="auto" w:fill="FFFFFF"/>
        </w:rPr>
        <w:t>SuppFig</w:t>
      </w:r>
      <w:proofErr w:type="spellEnd"/>
      <w:r w:rsidRPr="00C973A3">
        <w:rPr>
          <w:shd w:val="clear" w:color="auto" w:fill="FFFFFF"/>
        </w:rPr>
        <w:t xml:space="preserve"> 9</w:t>
      </w:r>
    </w:p>
    <w:p w:rsidR="00C973A3" w:rsidRDefault="00C973A3" w:rsidP="00C973A3">
      <w:pPr>
        <w:spacing w:after="0" w:line="240" w:lineRule="auto"/>
        <w:rPr>
          <w:b/>
          <w:shd w:val="clear" w:color="auto" w:fill="FFFFFF"/>
        </w:rPr>
      </w:pPr>
      <w:r>
        <w:rPr>
          <w:b/>
          <w:shd w:val="clear" w:color="auto" w:fill="FFFFFF"/>
        </w:rPr>
        <w:lastRenderedPageBreak/>
        <w:t>Reviewer 2</w:t>
      </w:r>
    </w:p>
    <w:p w:rsidR="00C973A3" w:rsidRDefault="00C973A3" w:rsidP="00C973A3">
      <w:pPr>
        <w:spacing w:after="0" w:line="240" w:lineRule="auto"/>
        <w:rPr>
          <w:shd w:val="clear" w:color="auto" w:fill="FFFFFF"/>
        </w:rPr>
      </w:pPr>
      <w:r w:rsidRPr="00C973A3">
        <w:rPr>
          <w:shd w:val="clear" w:color="auto" w:fill="FFFFFF"/>
        </w:rPr>
        <w:t xml:space="preserve">The authors describe a new method for </w:t>
      </w:r>
      <w:proofErr w:type="spellStart"/>
      <w:r w:rsidRPr="00C973A3">
        <w:rPr>
          <w:shd w:val="clear" w:color="auto" w:fill="FFFFFF"/>
        </w:rPr>
        <w:t>analyzing</w:t>
      </w:r>
      <w:proofErr w:type="spellEnd"/>
      <w:r w:rsidRPr="00C973A3">
        <w:rPr>
          <w:shd w:val="clear" w:color="auto" w:fill="FFFFFF"/>
        </w:rPr>
        <w:t xml:space="preserve"> Hi-C data to characterize CNVs and SVs in human genomes, particularly in cancer.  Their method appears to be substantially better than WGS and other Hi-C-based approaches, particularly in repetitive regions of the genome.  They also make this tool publicly available with installation instructions. Therefore, I expect this tool to be useful to the community.  My main suggestion is to compare their results to a recent publication in my point 1 below, since I expect this will give much greater insight into the strengths and weaknesses of their methods.</w:t>
      </w:r>
      <w:r w:rsidRPr="00C973A3">
        <w:br/>
      </w:r>
      <w:r w:rsidRPr="00C973A3">
        <w:rPr>
          <w:shd w:val="clear" w:color="auto" w:fill="FFFFFF"/>
        </w:rPr>
        <w:t xml:space="preserve">1. Although this publication may not have been available when the authors were performing this analysis, I expect it would be very useful if they would compare their CNV and SV predictions to those detected in K562 recently in this paper https://genome.cshlp.org/content/29/3/472.long, since they used WGS, 10x, mate-pair, karyotyping, and </w:t>
      </w:r>
      <w:proofErr w:type="spellStart"/>
      <w:r w:rsidRPr="00C973A3">
        <w:rPr>
          <w:shd w:val="clear" w:color="auto" w:fill="FFFFFF"/>
        </w:rPr>
        <w:t>aCGH</w:t>
      </w:r>
      <w:proofErr w:type="spellEnd"/>
      <w:r w:rsidRPr="00C973A3">
        <w:rPr>
          <w:shd w:val="clear" w:color="auto" w:fill="FFFFFF"/>
        </w:rPr>
        <w:t>.</w:t>
      </w:r>
      <w:r w:rsidRPr="00C973A3">
        <w:br/>
      </w:r>
      <w:r w:rsidRPr="00C973A3">
        <w:rPr>
          <w:shd w:val="clear" w:color="auto" w:fill="FFFFFF"/>
        </w:rPr>
        <w:t xml:space="preserve">2. The </w:t>
      </w:r>
      <w:proofErr w:type="gramStart"/>
      <w:r w:rsidRPr="00C973A3">
        <w:rPr>
          <w:shd w:val="clear" w:color="auto" w:fill="FFFFFF"/>
        </w:rPr>
        <w:t>authors</w:t>
      </w:r>
      <w:proofErr w:type="gramEnd"/>
      <w:r w:rsidRPr="00C973A3">
        <w:rPr>
          <w:shd w:val="clear" w:color="auto" w:fill="FFFFFF"/>
        </w:rPr>
        <w:t xml:space="preserve"> state: "For the translocations detected only in WGS, some are missed in Hi-C due to its more uneven genome coverage." What </w:t>
      </w:r>
      <w:proofErr w:type="gramStart"/>
      <w:r w:rsidRPr="00C973A3">
        <w:rPr>
          <w:shd w:val="clear" w:color="auto" w:fill="FFFFFF"/>
        </w:rPr>
        <w:t>fraction are</w:t>
      </w:r>
      <w:proofErr w:type="gramEnd"/>
      <w:r w:rsidRPr="00C973A3">
        <w:rPr>
          <w:shd w:val="clear" w:color="auto" w:fill="FFFFFF"/>
        </w:rPr>
        <w:t xml:space="preserve"> missed due to its uneven coverage?</w:t>
      </w:r>
      <w:r w:rsidRPr="00C973A3">
        <w:br/>
      </w:r>
      <w:r w:rsidRPr="00C973A3">
        <w:rPr>
          <w:shd w:val="clear" w:color="auto" w:fill="FFFFFF"/>
        </w:rPr>
        <w:t xml:space="preserve">3. Could the authors compare the performance they see for other methods like </w:t>
      </w:r>
      <w:proofErr w:type="spellStart"/>
      <w:r w:rsidRPr="00C973A3">
        <w:rPr>
          <w:shd w:val="clear" w:color="auto" w:fill="FFFFFF"/>
        </w:rPr>
        <w:t>HiCtrans</w:t>
      </w:r>
      <w:proofErr w:type="spellEnd"/>
      <w:r w:rsidRPr="00C973A3">
        <w:rPr>
          <w:shd w:val="clear" w:color="auto" w:fill="FFFFFF"/>
        </w:rPr>
        <w:t xml:space="preserve"> and </w:t>
      </w:r>
      <w:proofErr w:type="spellStart"/>
      <w:r w:rsidRPr="00C973A3">
        <w:rPr>
          <w:shd w:val="clear" w:color="auto" w:fill="FFFFFF"/>
        </w:rPr>
        <w:t>HiCnv</w:t>
      </w:r>
      <w:proofErr w:type="spellEnd"/>
      <w:r w:rsidRPr="00C973A3">
        <w:rPr>
          <w:shd w:val="clear" w:color="auto" w:fill="FFFFFF"/>
        </w:rPr>
        <w:t xml:space="preserve"> relative to the performance reported in the publications about these tools, and ideally explain any discrepancies?</w:t>
      </w:r>
      <w:r w:rsidRPr="00C973A3">
        <w:br/>
      </w:r>
      <w:r w:rsidRPr="00C973A3">
        <w:rPr>
          <w:shd w:val="clear" w:color="auto" w:fill="FFFFFF"/>
        </w:rPr>
        <w:t>4. It would be good to perform statistical tests when claiming HINT outperforms other methods, e.g., for the AUC comparisons in line 304.</w:t>
      </w:r>
    </w:p>
    <w:p w:rsidR="00C973A3" w:rsidRDefault="00C973A3" w:rsidP="00C973A3">
      <w:pPr>
        <w:spacing w:after="0" w:line="240" w:lineRule="auto"/>
        <w:rPr>
          <w:shd w:val="clear" w:color="auto" w:fill="FFFFFF"/>
        </w:rPr>
      </w:pPr>
    </w:p>
    <w:p w:rsidR="00C973A3" w:rsidRDefault="00C973A3" w:rsidP="00C973A3">
      <w:pPr>
        <w:spacing w:after="0" w:line="240" w:lineRule="auto"/>
        <w:rPr>
          <w:b/>
          <w:shd w:val="clear" w:color="auto" w:fill="FFFFFF"/>
        </w:rPr>
      </w:pPr>
      <w:r>
        <w:rPr>
          <w:b/>
          <w:shd w:val="clear" w:color="auto" w:fill="FFFFFF"/>
        </w:rPr>
        <w:t>Response to reviewers</w:t>
      </w:r>
    </w:p>
    <w:p w:rsidR="00C973A3" w:rsidRDefault="00C973A3" w:rsidP="00C973A3">
      <w:pPr>
        <w:spacing w:after="0" w:line="240" w:lineRule="auto"/>
        <w:rPr>
          <w:b/>
          <w:shd w:val="clear" w:color="auto" w:fill="FFFFFF"/>
        </w:rPr>
      </w:pPr>
      <w:r>
        <w:rPr>
          <w:b/>
          <w:shd w:val="clear" w:color="auto" w:fill="FFFFFF"/>
        </w:rPr>
        <w:t>Reviewer 1</w:t>
      </w:r>
    </w:p>
    <w:p w:rsidR="00C973A3" w:rsidRPr="00C973A3" w:rsidRDefault="00C973A3" w:rsidP="00C973A3">
      <w:pPr>
        <w:spacing w:after="0" w:line="240" w:lineRule="auto"/>
      </w:pPr>
      <w:r w:rsidRPr="00C973A3">
        <w:t>Authors describe HINT pipeline, which allows for detection of copy number</w:t>
      </w:r>
      <w:r>
        <w:t xml:space="preserve"> </w:t>
      </w:r>
      <w:r w:rsidRPr="00C973A3">
        <w:t>variations and translocations from Hi-C data. The paper is overall well written, though lacking in</w:t>
      </w:r>
      <w:r>
        <w:t xml:space="preserve"> </w:t>
      </w:r>
      <w:r w:rsidRPr="00C973A3">
        <w:t>detail in some sections. Authors validate method performance by using real and simulated data</w:t>
      </w:r>
      <w:r>
        <w:t xml:space="preserve"> </w:t>
      </w:r>
      <w:r w:rsidRPr="00C973A3">
        <w:t>and convincingly show that they have a useful method. Necessary comparisons to most existing</w:t>
      </w:r>
      <w:r>
        <w:t xml:space="preserve"> </w:t>
      </w:r>
      <w:r w:rsidRPr="00C973A3">
        <w:t>methods are performed, showing that HINT largely outperforms other methods at CNV and</w:t>
      </w:r>
      <w:r>
        <w:t xml:space="preserve"> </w:t>
      </w:r>
      <w:r w:rsidRPr="00C973A3">
        <w:t xml:space="preserve">translocation detection. This is a useful manuscript that can </w:t>
      </w:r>
      <w:proofErr w:type="gramStart"/>
      <w:r w:rsidRPr="00C973A3">
        <w:t>adopted</w:t>
      </w:r>
      <w:proofErr w:type="gramEnd"/>
      <w:r w:rsidRPr="00C973A3">
        <w:t xml:space="preserve"> by researchers in the field.</w:t>
      </w:r>
      <w:r>
        <w:t xml:space="preserve"> </w:t>
      </w:r>
      <w:r w:rsidRPr="00C973A3">
        <w:t>I think the paper can benefit from extending some of the analysis to a couple other cell types</w:t>
      </w:r>
      <w:r>
        <w:t xml:space="preserve"> </w:t>
      </w:r>
      <w:r w:rsidRPr="00C973A3">
        <w:t>and better explaining the method.</w:t>
      </w:r>
    </w:p>
    <w:p w:rsidR="00C973A3" w:rsidRPr="00C973A3" w:rsidRDefault="00C973A3" w:rsidP="00C973A3">
      <w:pPr>
        <w:spacing w:after="0" w:line="240" w:lineRule="auto"/>
      </w:pPr>
      <w:r w:rsidRPr="00C973A3">
        <w:t>Major points:</w:t>
      </w:r>
    </w:p>
    <w:p w:rsidR="00C973A3" w:rsidRDefault="00C973A3" w:rsidP="00C973A3">
      <w:pPr>
        <w:spacing w:after="0" w:line="240" w:lineRule="auto"/>
      </w:pPr>
      <w:r w:rsidRPr="00C973A3">
        <w:t>Can the GAM model be used to model biases in an iterative manner, by removing regions with</w:t>
      </w:r>
      <w:r>
        <w:t xml:space="preserve"> </w:t>
      </w:r>
      <w:r w:rsidRPr="00C973A3">
        <w:t>CNVs, and refitting the GAM model to remaining bins? A similar strategy is adopted by Fit-Hi-C</w:t>
      </w:r>
      <w:r>
        <w:t xml:space="preserve"> </w:t>
      </w:r>
      <w:r w:rsidRPr="00C973A3">
        <w:t>in learning the background model where outliers are removed in an iterative process where</w:t>
      </w:r>
      <w:r>
        <w:t xml:space="preserve"> </w:t>
      </w:r>
      <w:r w:rsidRPr="00C973A3">
        <w:t xml:space="preserve">background model is refined </w:t>
      </w:r>
      <w:proofErr w:type="gramStart"/>
      <w:r w:rsidRPr="00C973A3">
        <w:t>at each iteration</w:t>
      </w:r>
      <w:proofErr w:type="gramEnd"/>
      <w:r w:rsidRPr="00C973A3">
        <w:t>.</w:t>
      </w:r>
    </w:p>
    <w:p w:rsidR="00C973A3" w:rsidRPr="00C973A3" w:rsidRDefault="00C973A3" w:rsidP="00C973A3">
      <w:pPr>
        <w:spacing w:after="0" w:line="240" w:lineRule="auto"/>
        <w:rPr>
          <w:color w:val="0070C0"/>
        </w:rPr>
      </w:pPr>
      <w:r w:rsidRPr="00C973A3">
        <w:rPr>
          <w:color w:val="0070C0"/>
        </w:rPr>
        <w:t>We thank the reviewer for this interesting suggestion. We tested the idea in both K562 and</w:t>
      </w:r>
      <w:r>
        <w:rPr>
          <w:color w:val="0070C0"/>
        </w:rPr>
        <w:t xml:space="preserve"> </w:t>
      </w:r>
      <w:r w:rsidRPr="00C973A3">
        <w:rPr>
          <w:color w:val="0070C0"/>
        </w:rPr>
        <w:t>GM12878 cells. The results showed that the GAM model fit much better when we removed the</w:t>
      </w:r>
      <w:r>
        <w:rPr>
          <w:color w:val="0070C0"/>
        </w:rPr>
        <w:t xml:space="preserve"> </w:t>
      </w:r>
      <w:r w:rsidRPr="00C973A3">
        <w:rPr>
          <w:color w:val="0070C0"/>
        </w:rPr>
        <w:t>bins with CNVs, as suggested (R^2 improved to 0.916 and 0.901).</w:t>
      </w:r>
    </w:p>
    <w:p w:rsidR="00C973A3" w:rsidRDefault="00C973A3" w:rsidP="00C973A3">
      <w:pPr>
        <w:spacing w:after="0" w:line="240" w:lineRule="auto"/>
        <w:rPr>
          <w:color w:val="0070C0"/>
        </w:rPr>
      </w:pPr>
    </w:p>
    <w:tbl>
      <w:tblPr>
        <w:tblStyle w:val="TableGrid"/>
        <w:tblW w:w="0" w:type="auto"/>
        <w:tblLook w:val="04A0" w:firstRow="1" w:lastRow="0" w:firstColumn="1" w:lastColumn="0" w:noHBand="0" w:noVBand="1"/>
      </w:tblPr>
      <w:tblGrid>
        <w:gridCol w:w="1848"/>
        <w:gridCol w:w="1848"/>
        <w:gridCol w:w="1848"/>
        <w:gridCol w:w="1849"/>
        <w:gridCol w:w="1849"/>
      </w:tblGrid>
      <w:tr w:rsidR="00C973A3" w:rsidTr="00255F0A">
        <w:tc>
          <w:tcPr>
            <w:tcW w:w="1848" w:type="dxa"/>
            <w:tcBorders>
              <w:top w:val="nil"/>
              <w:left w:val="nil"/>
              <w:bottom w:val="nil"/>
              <w:right w:val="single" w:sz="4" w:space="0" w:color="auto"/>
            </w:tcBorders>
          </w:tcPr>
          <w:p w:rsidR="00C973A3" w:rsidRDefault="00C973A3" w:rsidP="00C973A3">
            <w:pPr>
              <w:rPr>
                <w:color w:val="0070C0"/>
              </w:rPr>
            </w:pPr>
          </w:p>
        </w:tc>
        <w:tc>
          <w:tcPr>
            <w:tcW w:w="1848" w:type="dxa"/>
            <w:tcBorders>
              <w:left w:val="single" w:sz="4" w:space="0" w:color="auto"/>
              <w:right w:val="single" w:sz="4" w:space="0" w:color="auto"/>
            </w:tcBorders>
          </w:tcPr>
          <w:p w:rsidR="00C973A3" w:rsidRDefault="00255F0A" w:rsidP="00255F0A">
            <w:pPr>
              <w:jc w:val="center"/>
              <w:rPr>
                <w:color w:val="0070C0"/>
              </w:rPr>
            </w:pPr>
            <w:r>
              <w:rPr>
                <w:color w:val="0070C0"/>
              </w:rPr>
              <w:t># of original bins</w:t>
            </w:r>
          </w:p>
        </w:tc>
        <w:tc>
          <w:tcPr>
            <w:tcW w:w="1848" w:type="dxa"/>
            <w:tcBorders>
              <w:top w:val="single" w:sz="4" w:space="0" w:color="auto"/>
              <w:left w:val="single" w:sz="4" w:space="0" w:color="auto"/>
              <w:bottom w:val="nil"/>
              <w:right w:val="single" w:sz="4" w:space="0" w:color="auto"/>
            </w:tcBorders>
          </w:tcPr>
          <w:p w:rsidR="00C973A3" w:rsidRDefault="00255F0A" w:rsidP="00255F0A">
            <w:pPr>
              <w:jc w:val="center"/>
              <w:rPr>
                <w:color w:val="0070C0"/>
              </w:rPr>
            </w:pPr>
            <w:r>
              <w:rPr>
                <w:color w:val="0070C0"/>
              </w:rPr>
              <w:t># of bins after</w:t>
            </w:r>
          </w:p>
        </w:tc>
        <w:tc>
          <w:tcPr>
            <w:tcW w:w="1849" w:type="dxa"/>
            <w:tcBorders>
              <w:left w:val="single" w:sz="4" w:space="0" w:color="auto"/>
              <w:bottom w:val="nil"/>
            </w:tcBorders>
          </w:tcPr>
          <w:p w:rsidR="00C973A3" w:rsidRDefault="00C973A3" w:rsidP="00255F0A">
            <w:pPr>
              <w:jc w:val="center"/>
              <w:rPr>
                <w:color w:val="0070C0"/>
              </w:rPr>
            </w:pPr>
          </w:p>
        </w:tc>
        <w:tc>
          <w:tcPr>
            <w:tcW w:w="1849" w:type="dxa"/>
            <w:tcBorders>
              <w:bottom w:val="nil"/>
            </w:tcBorders>
          </w:tcPr>
          <w:p w:rsidR="00C973A3" w:rsidRDefault="00255F0A" w:rsidP="00255F0A">
            <w:pPr>
              <w:jc w:val="center"/>
              <w:rPr>
                <w:color w:val="0070C0"/>
              </w:rPr>
            </w:pPr>
            <w:r>
              <w:rPr>
                <w:color w:val="0070C0"/>
              </w:rPr>
              <w:t>R-square after</w:t>
            </w:r>
          </w:p>
        </w:tc>
      </w:tr>
      <w:tr w:rsidR="00C973A3" w:rsidTr="00255F0A">
        <w:tc>
          <w:tcPr>
            <w:tcW w:w="1848" w:type="dxa"/>
            <w:tcBorders>
              <w:top w:val="nil"/>
              <w:left w:val="nil"/>
              <w:bottom w:val="single" w:sz="4" w:space="0" w:color="auto"/>
              <w:right w:val="single" w:sz="4" w:space="0" w:color="auto"/>
            </w:tcBorders>
          </w:tcPr>
          <w:p w:rsidR="00C973A3" w:rsidRDefault="00C973A3" w:rsidP="00C973A3">
            <w:pPr>
              <w:rPr>
                <w:color w:val="0070C0"/>
              </w:rPr>
            </w:pPr>
          </w:p>
        </w:tc>
        <w:tc>
          <w:tcPr>
            <w:tcW w:w="1848" w:type="dxa"/>
            <w:tcBorders>
              <w:left w:val="single" w:sz="4" w:space="0" w:color="auto"/>
              <w:right w:val="single" w:sz="4" w:space="0" w:color="auto"/>
            </w:tcBorders>
          </w:tcPr>
          <w:p w:rsidR="00C973A3" w:rsidRDefault="00255F0A" w:rsidP="00255F0A">
            <w:pPr>
              <w:jc w:val="center"/>
              <w:rPr>
                <w:color w:val="0070C0"/>
              </w:rPr>
            </w:pPr>
            <w:r>
              <w:rPr>
                <w:color w:val="0070C0"/>
              </w:rPr>
              <w:t>bin size (50 kb)</w:t>
            </w:r>
          </w:p>
        </w:tc>
        <w:tc>
          <w:tcPr>
            <w:tcW w:w="1848" w:type="dxa"/>
            <w:tcBorders>
              <w:top w:val="nil"/>
              <w:left w:val="single" w:sz="4" w:space="0" w:color="auto"/>
              <w:bottom w:val="single" w:sz="4" w:space="0" w:color="auto"/>
              <w:right w:val="single" w:sz="4" w:space="0" w:color="auto"/>
            </w:tcBorders>
          </w:tcPr>
          <w:p w:rsidR="00C973A3" w:rsidRDefault="00255F0A" w:rsidP="00255F0A">
            <w:pPr>
              <w:jc w:val="center"/>
              <w:rPr>
                <w:color w:val="0070C0"/>
              </w:rPr>
            </w:pPr>
            <w:r>
              <w:rPr>
                <w:color w:val="0070C0"/>
              </w:rPr>
              <w:t>removing CNVs</w:t>
            </w:r>
          </w:p>
        </w:tc>
        <w:tc>
          <w:tcPr>
            <w:tcW w:w="1849" w:type="dxa"/>
            <w:tcBorders>
              <w:top w:val="nil"/>
              <w:left w:val="single" w:sz="4" w:space="0" w:color="auto"/>
            </w:tcBorders>
          </w:tcPr>
          <w:p w:rsidR="00C973A3" w:rsidRDefault="00255F0A" w:rsidP="00255F0A">
            <w:pPr>
              <w:jc w:val="center"/>
              <w:rPr>
                <w:color w:val="0070C0"/>
              </w:rPr>
            </w:pPr>
            <w:r>
              <w:rPr>
                <w:color w:val="0070C0"/>
              </w:rPr>
              <w:t>Original R-square</w:t>
            </w:r>
          </w:p>
        </w:tc>
        <w:tc>
          <w:tcPr>
            <w:tcW w:w="1849" w:type="dxa"/>
            <w:tcBorders>
              <w:top w:val="nil"/>
            </w:tcBorders>
          </w:tcPr>
          <w:p w:rsidR="00C973A3" w:rsidRDefault="00255F0A" w:rsidP="00255F0A">
            <w:pPr>
              <w:jc w:val="center"/>
              <w:rPr>
                <w:color w:val="0070C0"/>
              </w:rPr>
            </w:pPr>
            <w:r>
              <w:rPr>
                <w:color w:val="0070C0"/>
              </w:rPr>
              <w:t>removing CNVs</w:t>
            </w:r>
          </w:p>
        </w:tc>
      </w:tr>
      <w:tr w:rsidR="00C973A3" w:rsidTr="00255F0A">
        <w:tc>
          <w:tcPr>
            <w:tcW w:w="1848" w:type="dxa"/>
            <w:tcBorders>
              <w:top w:val="single" w:sz="4" w:space="0" w:color="auto"/>
            </w:tcBorders>
          </w:tcPr>
          <w:p w:rsidR="00C973A3" w:rsidRDefault="00C973A3" w:rsidP="00C973A3">
            <w:pPr>
              <w:jc w:val="center"/>
              <w:rPr>
                <w:color w:val="0070C0"/>
              </w:rPr>
            </w:pPr>
            <w:r>
              <w:rPr>
                <w:color w:val="0070C0"/>
              </w:rPr>
              <w:t>K562</w:t>
            </w:r>
          </w:p>
        </w:tc>
        <w:tc>
          <w:tcPr>
            <w:tcW w:w="1848" w:type="dxa"/>
          </w:tcPr>
          <w:p w:rsidR="00C973A3" w:rsidRDefault="00C973A3" w:rsidP="00C973A3">
            <w:pPr>
              <w:jc w:val="center"/>
              <w:rPr>
                <w:color w:val="0070C0"/>
              </w:rPr>
            </w:pPr>
            <w:r w:rsidRPr="00C973A3">
              <w:rPr>
                <w:color w:val="0070C0"/>
              </w:rPr>
              <w:t>56955</w:t>
            </w:r>
          </w:p>
        </w:tc>
        <w:tc>
          <w:tcPr>
            <w:tcW w:w="1848" w:type="dxa"/>
            <w:tcBorders>
              <w:top w:val="single" w:sz="4" w:space="0" w:color="auto"/>
            </w:tcBorders>
          </w:tcPr>
          <w:p w:rsidR="00C973A3" w:rsidRDefault="00C973A3" w:rsidP="00C973A3">
            <w:pPr>
              <w:jc w:val="center"/>
              <w:rPr>
                <w:color w:val="0070C0"/>
              </w:rPr>
            </w:pPr>
            <w:r w:rsidRPr="00C973A3">
              <w:rPr>
                <w:color w:val="0070C0"/>
              </w:rPr>
              <w:t>26254</w:t>
            </w:r>
          </w:p>
        </w:tc>
        <w:tc>
          <w:tcPr>
            <w:tcW w:w="1849" w:type="dxa"/>
          </w:tcPr>
          <w:p w:rsidR="00C973A3" w:rsidRDefault="00C973A3" w:rsidP="00C973A3">
            <w:pPr>
              <w:jc w:val="center"/>
              <w:rPr>
                <w:color w:val="0070C0"/>
              </w:rPr>
            </w:pPr>
            <w:r w:rsidRPr="00C973A3">
              <w:rPr>
                <w:color w:val="0070C0"/>
              </w:rPr>
              <w:t>0.631</w:t>
            </w:r>
          </w:p>
        </w:tc>
        <w:tc>
          <w:tcPr>
            <w:tcW w:w="1849" w:type="dxa"/>
          </w:tcPr>
          <w:p w:rsidR="00C973A3" w:rsidRDefault="00C973A3" w:rsidP="00C973A3">
            <w:pPr>
              <w:jc w:val="center"/>
              <w:rPr>
                <w:color w:val="0070C0"/>
              </w:rPr>
            </w:pPr>
            <w:r w:rsidRPr="00C973A3">
              <w:rPr>
                <w:color w:val="0070C0"/>
              </w:rPr>
              <w:t>0.916</w:t>
            </w:r>
          </w:p>
        </w:tc>
      </w:tr>
      <w:tr w:rsidR="00C973A3" w:rsidTr="00C973A3">
        <w:tc>
          <w:tcPr>
            <w:tcW w:w="1848" w:type="dxa"/>
          </w:tcPr>
          <w:p w:rsidR="00C973A3" w:rsidRDefault="00C973A3" w:rsidP="00C973A3">
            <w:pPr>
              <w:jc w:val="center"/>
              <w:rPr>
                <w:color w:val="0070C0"/>
              </w:rPr>
            </w:pPr>
            <w:r>
              <w:rPr>
                <w:color w:val="0070C0"/>
              </w:rPr>
              <w:t>GM12878</w:t>
            </w:r>
          </w:p>
        </w:tc>
        <w:tc>
          <w:tcPr>
            <w:tcW w:w="1848" w:type="dxa"/>
          </w:tcPr>
          <w:p w:rsidR="00C973A3" w:rsidRDefault="00C973A3" w:rsidP="00C973A3">
            <w:pPr>
              <w:jc w:val="center"/>
              <w:rPr>
                <w:color w:val="0070C0"/>
              </w:rPr>
            </w:pPr>
            <w:r w:rsidRPr="00C973A3">
              <w:rPr>
                <w:color w:val="0070C0"/>
              </w:rPr>
              <w:t>56955</w:t>
            </w:r>
          </w:p>
        </w:tc>
        <w:tc>
          <w:tcPr>
            <w:tcW w:w="1848" w:type="dxa"/>
          </w:tcPr>
          <w:p w:rsidR="00C973A3" w:rsidRDefault="00C973A3" w:rsidP="00C973A3">
            <w:pPr>
              <w:jc w:val="center"/>
              <w:rPr>
                <w:color w:val="0070C0"/>
              </w:rPr>
            </w:pPr>
            <w:r w:rsidRPr="00C973A3">
              <w:rPr>
                <w:color w:val="0070C0"/>
              </w:rPr>
              <w:t>41115</w:t>
            </w:r>
          </w:p>
        </w:tc>
        <w:tc>
          <w:tcPr>
            <w:tcW w:w="1849" w:type="dxa"/>
          </w:tcPr>
          <w:p w:rsidR="00C973A3" w:rsidRDefault="00C973A3" w:rsidP="00C973A3">
            <w:pPr>
              <w:jc w:val="center"/>
              <w:rPr>
                <w:color w:val="0070C0"/>
              </w:rPr>
            </w:pPr>
            <w:r w:rsidRPr="00C973A3">
              <w:rPr>
                <w:color w:val="0070C0"/>
              </w:rPr>
              <w:t>0.798</w:t>
            </w:r>
          </w:p>
        </w:tc>
        <w:tc>
          <w:tcPr>
            <w:tcW w:w="1849" w:type="dxa"/>
          </w:tcPr>
          <w:p w:rsidR="00C973A3" w:rsidRDefault="00C973A3" w:rsidP="00C973A3">
            <w:pPr>
              <w:jc w:val="center"/>
              <w:rPr>
                <w:color w:val="0070C0"/>
              </w:rPr>
            </w:pPr>
            <w:r w:rsidRPr="00C973A3">
              <w:rPr>
                <w:color w:val="0070C0"/>
              </w:rPr>
              <w:t>0.901</w:t>
            </w:r>
          </w:p>
        </w:tc>
      </w:tr>
    </w:tbl>
    <w:p w:rsidR="00C973A3" w:rsidRDefault="00C973A3" w:rsidP="00C973A3">
      <w:pPr>
        <w:spacing w:after="0" w:line="240" w:lineRule="auto"/>
        <w:rPr>
          <w:color w:val="0070C0"/>
        </w:rPr>
      </w:pPr>
    </w:p>
    <w:p w:rsidR="00C973A3" w:rsidRDefault="00C973A3" w:rsidP="00C973A3">
      <w:pPr>
        <w:spacing w:after="0" w:line="240" w:lineRule="auto"/>
        <w:rPr>
          <w:color w:val="0070C0"/>
        </w:rPr>
      </w:pPr>
    </w:p>
    <w:p w:rsidR="00C973A3" w:rsidRDefault="00C973A3" w:rsidP="00C973A3">
      <w:pPr>
        <w:spacing w:after="0" w:line="240" w:lineRule="auto"/>
        <w:rPr>
          <w:color w:val="0070C0"/>
        </w:rPr>
      </w:pPr>
      <w:r w:rsidRPr="00C973A3">
        <w:rPr>
          <w:color w:val="0070C0"/>
        </w:rPr>
        <w:t>However, when we compare the copy ratio calculated from the iterative model, we found that</w:t>
      </w:r>
      <w:r>
        <w:rPr>
          <w:color w:val="0070C0"/>
        </w:rPr>
        <w:t xml:space="preserve"> </w:t>
      </w:r>
      <w:r w:rsidRPr="00C973A3">
        <w:rPr>
          <w:color w:val="0070C0"/>
        </w:rPr>
        <w:t xml:space="preserve">the prediction of CNVs estimated by using the re-fitted model does not improve </w:t>
      </w:r>
      <w:proofErr w:type="gramStart"/>
      <w:r w:rsidRPr="00C973A3">
        <w:rPr>
          <w:color w:val="0070C0"/>
        </w:rPr>
        <w:t>noticeably</w:t>
      </w:r>
      <w:r>
        <w:rPr>
          <w:color w:val="0070C0"/>
        </w:rPr>
        <w:t xml:space="preserve">  </w:t>
      </w:r>
      <w:r w:rsidRPr="00C973A3">
        <w:rPr>
          <w:color w:val="0070C0"/>
        </w:rPr>
        <w:t>compared</w:t>
      </w:r>
      <w:proofErr w:type="gramEnd"/>
      <w:r w:rsidRPr="00C973A3">
        <w:rPr>
          <w:color w:val="0070C0"/>
        </w:rPr>
        <w:t xml:space="preserve"> to the original model. The main reason for this is that in the cell lines we examined,</w:t>
      </w:r>
      <w:r>
        <w:rPr>
          <w:color w:val="0070C0"/>
        </w:rPr>
        <w:t xml:space="preserve"> </w:t>
      </w:r>
      <w:r w:rsidRPr="00C973A3">
        <w:rPr>
          <w:color w:val="0070C0"/>
        </w:rPr>
        <w:t>there were either too many or too few CNVs. When there are too many CNVs (e.g., K562),</w:t>
      </w:r>
      <w:r>
        <w:rPr>
          <w:color w:val="0070C0"/>
        </w:rPr>
        <w:t xml:space="preserve"> </w:t>
      </w:r>
      <w:r w:rsidRPr="00C973A3">
        <w:rPr>
          <w:color w:val="0070C0"/>
        </w:rPr>
        <w:t>excluding CNV regions removes too much information; when there are too few, it does not</w:t>
      </w:r>
      <w:r>
        <w:rPr>
          <w:color w:val="0070C0"/>
        </w:rPr>
        <w:t xml:space="preserve"> </w:t>
      </w:r>
      <w:r w:rsidRPr="00C973A3">
        <w:rPr>
          <w:color w:val="0070C0"/>
        </w:rPr>
        <w:t xml:space="preserve">change the model substantively. </w:t>
      </w:r>
      <w:r w:rsidRPr="00C973A3">
        <w:rPr>
          <w:color w:val="0070C0"/>
        </w:rPr>
        <w:lastRenderedPageBreak/>
        <w:t>The iterative model should work best in the genomes with the</w:t>
      </w:r>
      <w:r>
        <w:rPr>
          <w:color w:val="0070C0"/>
        </w:rPr>
        <w:t xml:space="preserve"> </w:t>
      </w:r>
      <w:r w:rsidRPr="00C973A3">
        <w:rPr>
          <w:color w:val="0070C0"/>
        </w:rPr>
        <w:t>number of copy number variants in some intermediate range, but it was not easy to define</w:t>
      </w:r>
      <w:r>
        <w:rPr>
          <w:color w:val="0070C0"/>
        </w:rPr>
        <w:t xml:space="preserve"> </w:t>
      </w:r>
      <w:r w:rsidRPr="00C973A3">
        <w:rPr>
          <w:color w:val="0070C0"/>
        </w:rPr>
        <w:t>exactly what it should be.</w:t>
      </w:r>
    </w:p>
    <w:p w:rsidR="00255F0A" w:rsidRDefault="00255F0A" w:rsidP="00C973A3">
      <w:pPr>
        <w:spacing w:after="0" w:line="240" w:lineRule="auto"/>
        <w:rPr>
          <w:color w:val="0070C0"/>
        </w:rPr>
      </w:pPr>
    </w:p>
    <w:p w:rsidR="00255F0A" w:rsidRDefault="00255F0A" w:rsidP="00C973A3">
      <w:pPr>
        <w:spacing w:after="0" w:line="240" w:lineRule="auto"/>
        <w:rPr>
          <w:color w:val="0070C0"/>
        </w:rPr>
      </w:pPr>
      <w:r>
        <w:rPr>
          <w:color w:val="0070C0"/>
        </w:rPr>
        <w:t>K562</w:t>
      </w:r>
    </w:p>
    <w:p w:rsidR="00255F0A" w:rsidRDefault="00255F0A" w:rsidP="00C973A3">
      <w:pPr>
        <w:spacing w:after="0" w:line="240" w:lineRule="auto"/>
        <w:rPr>
          <w:color w:val="0070C0"/>
        </w:rPr>
      </w:pPr>
      <w:r>
        <w:rPr>
          <w:noProof/>
          <w:color w:val="0070C0"/>
          <w:lang w:eastAsia="en-GB"/>
        </w:rPr>
        <w:drawing>
          <wp:inline distT="0" distB="0" distL="0" distR="0">
            <wp:extent cx="5731510" cy="353167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531678"/>
                    </a:xfrm>
                    <a:prstGeom prst="rect">
                      <a:avLst/>
                    </a:prstGeom>
                    <a:noFill/>
                    <a:ln>
                      <a:noFill/>
                    </a:ln>
                  </pic:spPr>
                </pic:pic>
              </a:graphicData>
            </a:graphic>
          </wp:inline>
        </w:drawing>
      </w:r>
    </w:p>
    <w:p w:rsidR="00255F0A" w:rsidRDefault="00255F0A" w:rsidP="00C973A3">
      <w:pPr>
        <w:spacing w:after="0" w:line="240" w:lineRule="auto"/>
        <w:rPr>
          <w:color w:val="0070C0"/>
        </w:rPr>
      </w:pPr>
      <w:r>
        <w:rPr>
          <w:color w:val="0070C0"/>
        </w:rPr>
        <w:t>GM12878</w:t>
      </w:r>
    </w:p>
    <w:p w:rsidR="00255F0A" w:rsidRDefault="00255F0A" w:rsidP="00C973A3">
      <w:pPr>
        <w:spacing w:after="0" w:line="240" w:lineRule="auto"/>
        <w:rPr>
          <w:color w:val="0070C0"/>
        </w:rPr>
      </w:pPr>
      <w:r>
        <w:rPr>
          <w:noProof/>
          <w:color w:val="0070C0"/>
          <w:lang w:eastAsia="en-GB"/>
        </w:rPr>
        <w:drawing>
          <wp:inline distT="0" distB="0" distL="0" distR="0">
            <wp:extent cx="5731510" cy="3370087"/>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370087"/>
                    </a:xfrm>
                    <a:prstGeom prst="rect">
                      <a:avLst/>
                    </a:prstGeom>
                    <a:noFill/>
                    <a:ln>
                      <a:noFill/>
                    </a:ln>
                  </pic:spPr>
                </pic:pic>
              </a:graphicData>
            </a:graphic>
          </wp:inline>
        </w:drawing>
      </w:r>
    </w:p>
    <w:p w:rsidR="00255F0A" w:rsidRPr="00255F0A" w:rsidRDefault="00255F0A" w:rsidP="00255F0A">
      <w:pPr>
        <w:spacing w:after="0" w:line="240" w:lineRule="auto"/>
        <w:rPr>
          <w:color w:val="0070C0"/>
        </w:rPr>
      </w:pPr>
      <w:r w:rsidRPr="00255F0A">
        <w:rPr>
          <w:color w:val="0070C0"/>
        </w:rPr>
        <w:t>Consistent with the figure above, the comparison of the CNV segmentation between the original</w:t>
      </w:r>
      <w:r>
        <w:rPr>
          <w:color w:val="0070C0"/>
        </w:rPr>
        <w:t xml:space="preserve"> </w:t>
      </w:r>
      <w:proofErr w:type="spellStart"/>
      <w:r w:rsidRPr="00255F0A">
        <w:rPr>
          <w:color w:val="0070C0"/>
        </w:rPr>
        <w:t>HiNT</w:t>
      </w:r>
      <w:proofErr w:type="spellEnd"/>
      <w:r w:rsidRPr="00255F0A">
        <w:rPr>
          <w:color w:val="0070C0"/>
        </w:rPr>
        <w:t xml:space="preserve"> and the iterative model shows that the iterative model does not improve the prediction in</w:t>
      </w:r>
      <w:r>
        <w:rPr>
          <w:color w:val="0070C0"/>
        </w:rPr>
        <w:t xml:space="preserve"> </w:t>
      </w:r>
      <w:r w:rsidRPr="00255F0A">
        <w:rPr>
          <w:color w:val="0070C0"/>
        </w:rPr>
        <w:t>the two cell lines (see figure below).</w:t>
      </w:r>
    </w:p>
    <w:p w:rsidR="00255F0A" w:rsidRDefault="00255F0A" w:rsidP="00255F0A">
      <w:pPr>
        <w:spacing w:after="0" w:line="240" w:lineRule="auto"/>
        <w:rPr>
          <w:color w:val="0070C0"/>
        </w:rPr>
      </w:pPr>
      <w:r w:rsidRPr="00255F0A">
        <w:rPr>
          <w:color w:val="0070C0"/>
        </w:rPr>
        <w:t>Therefore, we have now added the option to the code on GitHub, but the analysis we discussed</w:t>
      </w:r>
      <w:r>
        <w:rPr>
          <w:color w:val="0070C0"/>
        </w:rPr>
        <w:t xml:space="preserve"> </w:t>
      </w:r>
      <w:r w:rsidRPr="00255F0A">
        <w:rPr>
          <w:color w:val="0070C0"/>
        </w:rPr>
        <w:t>in the paper does not use the iterative model.</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238726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387265"/>
                    </a:xfrm>
                    <a:prstGeom prst="rect">
                      <a:avLst/>
                    </a:prstGeom>
                    <a:noFill/>
                    <a:ln>
                      <a:noFill/>
                    </a:ln>
                  </pic:spPr>
                </pic:pic>
              </a:graphicData>
            </a:graphic>
          </wp:inline>
        </w:drawing>
      </w:r>
    </w:p>
    <w:p w:rsidR="00255F0A" w:rsidRPr="00255F0A" w:rsidRDefault="00255F0A" w:rsidP="00255F0A">
      <w:pPr>
        <w:spacing w:after="0" w:line="240" w:lineRule="auto"/>
      </w:pPr>
      <w:r w:rsidRPr="00255F0A">
        <w:t xml:space="preserve">How is the </w:t>
      </w:r>
      <w:proofErr w:type="spellStart"/>
      <w:r w:rsidRPr="00255F0A">
        <w:t>mappability</w:t>
      </w:r>
      <w:proofErr w:type="spellEnd"/>
      <w:r w:rsidRPr="00255F0A">
        <w:t xml:space="preserve"> estimated? This detail is missing in the method section. Since BWAMEM</w:t>
      </w:r>
    </w:p>
    <w:p w:rsidR="00255F0A" w:rsidRDefault="00255F0A" w:rsidP="00255F0A">
      <w:pPr>
        <w:spacing w:after="0" w:line="240" w:lineRule="auto"/>
      </w:pPr>
      <w:proofErr w:type="gramStart"/>
      <w:r w:rsidRPr="00255F0A">
        <w:t>is</w:t>
      </w:r>
      <w:proofErr w:type="gramEnd"/>
      <w:r w:rsidRPr="00255F0A">
        <w:t xml:space="preserve"> used, measuring </w:t>
      </w:r>
      <w:proofErr w:type="spellStart"/>
      <w:r w:rsidRPr="00255F0A">
        <w:t>mappability</w:t>
      </w:r>
      <w:proofErr w:type="spellEnd"/>
      <w:r w:rsidRPr="00255F0A">
        <w:t xml:space="preserve"> of a genome segment does not seem trivial.</w:t>
      </w:r>
    </w:p>
    <w:p w:rsidR="00255F0A" w:rsidRPr="00255F0A" w:rsidRDefault="00255F0A" w:rsidP="00255F0A">
      <w:pPr>
        <w:spacing w:after="0" w:line="240" w:lineRule="auto"/>
        <w:rPr>
          <w:color w:val="0070C0"/>
        </w:rPr>
      </w:pPr>
      <w:r w:rsidRPr="00255F0A">
        <w:rPr>
          <w:color w:val="0070C0"/>
        </w:rPr>
        <w:t xml:space="preserve">The </w:t>
      </w:r>
      <w:proofErr w:type="spellStart"/>
      <w:r w:rsidRPr="00255F0A">
        <w:rPr>
          <w:color w:val="0070C0"/>
        </w:rPr>
        <w:t>mappability</w:t>
      </w:r>
      <w:proofErr w:type="spellEnd"/>
      <w:r w:rsidRPr="00255F0A">
        <w:rPr>
          <w:color w:val="0070C0"/>
        </w:rPr>
        <w:t xml:space="preserve"> for a bin is simply the average </w:t>
      </w:r>
      <w:proofErr w:type="spellStart"/>
      <w:r w:rsidRPr="00255F0A">
        <w:rPr>
          <w:color w:val="0070C0"/>
        </w:rPr>
        <w:t>mappability</w:t>
      </w:r>
      <w:proofErr w:type="spellEnd"/>
      <w:r w:rsidRPr="00255F0A">
        <w:rPr>
          <w:color w:val="0070C0"/>
        </w:rPr>
        <w:t xml:space="preserve"> across the positions in a bin (unique</w:t>
      </w:r>
      <w:r>
        <w:rPr>
          <w:color w:val="0070C0"/>
        </w:rPr>
        <w:t xml:space="preserve"> </w:t>
      </w:r>
      <w:r w:rsidRPr="00255F0A">
        <w:rPr>
          <w:color w:val="0070C0"/>
        </w:rPr>
        <w:t xml:space="preserve">reads only). The </w:t>
      </w:r>
      <w:proofErr w:type="spellStart"/>
      <w:r w:rsidRPr="00255F0A">
        <w:rPr>
          <w:color w:val="0070C0"/>
        </w:rPr>
        <w:t>mappability</w:t>
      </w:r>
      <w:proofErr w:type="spellEnd"/>
      <w:r w:rsidRPr="00255F0A">
        <w:rPr>
          <w:color w:val="0070C0"/>
        </w:rPr>
        <w:t xml:space="preserve"> track was downloaded from the UCSC table browser</w:t>
      </w:r>
      <w:r>
        <w:rPr>
          <w:color w:val="0070C0"/>
        </w:rPr>
        <w:t xml:space="preserve"> </w:t>
      </w:r>
      <w:r w:rsidRPr="00255F0A">
        <w:rPr>
          <w:color w:val="0070C0"/>
        </w:rPr>
        <w:t>(https://hgdownload.soe.ucsc.edu/goldenPath/hg19/encodeDCC/wgEncodeMapability/wgEncod</w:t>
      </w:r>
    </w:p>
    <w:p w:rsidR="00255F0A" w:rsidRDefault="00255F0A" w:rsidP="00255F0A">
      <w:pPr>
        <w:spacing w:after="0" w:line="240" w:lineRule="auto"/>
        <w:rPr>
          <w:color w:val="0070C0"/>
        </w:rPr>
      </w:pPr>
      <w:r w:rsidRPr="00255F0A">
        <w:rPr>
          <w:color w:val="0070C0"/>
        </w:rPr>
        <w:t xml:space="preserve">eCrgMapabilityAlign50mer.bigWig). </w:t>
      </w:r>
      <w:proofErr w:type="gramStart"/>
      <w:r w:rsidRPr="00255F0A">
        <w:rPr>
          <w:color w:val="0070C0"/>
        </w:rPr>
        <w:t>We</w:t>
      </w:r>
      <w:proofErr w:type="gramEnd"/>
      <w:r w:rsidRPr="00255F0A">
        <w:rPr>
          <w:color w:val="0070C0"/>
        </w:rPr>
        <w:t xml:space="preserve"> have now clarified this in the Method section. It was</w:t>
      </w:r>
      <w:r>
        <w:rPr>
          <w:color w:val="0070C0"/>
        </w:rPr>
        <w:t xml:space="preserve"> </w:t>
      </w:r>
      <w:r w:rsidRPr="00255F0A">
        <w:rPr>
          <w:color w:val="0070C0"/>
        </w:rPr>
        <w:t xml:space="preserve">important to have this </w:t>
      </w:r>
      <w:proofErr w:type="spellStart"/>
      <w:r w:rsidRPr="00255F0A">
        <w:rPr>
          <w:color w:val="0070C0"/>
        </w:rPr>
        <w:t>mappability</w:t>
      </w:r>
      <w:proofErr w:type="spellEnd"/>
      <w:r w:rsidRPr="00255F0A">
        <w:rPr>
          <w:color w:val="0070C0"/>
        </w:rPr>
        <w:t xml:space="preserve"> term in the model for prediction of CNVs from Hi-C data, as</w:t>
      </w:r>
      <w:r>
        <w:rPr>
          <w:color w:val="0070C0"/>
        </w:rPr>
        <w:t xml:space="preserve"> </w:t>
      </w:r>
      <w:r w:rsidRPr="00255F0A">
        <w:rPr>
          <w:color w:val="0070C0"/>
        </w:rPr>
        <w:t>(Supp. Fig. 3) and previous studies [1-3] have found that the likelihood of observing Hi-C</w:t>
      </w:r>
      <w:r>
        <w:rPr>
          <w:color w:val="0070C0"/>
        </w:rPr>
        <w:t xml:space="preserve"> </w:t>
      </w:r>
      <w:r w:rsidRPr="00255F0A">
        <w:rPr>
          <w:color w:val="0070C0"/>
        </w:rPr>
        <w:t xml:space="preserve">interactions is strongly correlated with </w:t>
      </w:r>
      <w:proofErr w:type="spellStart"/>
      <w:r w:rsidRPr="00255F0A">
        <w:rPr>
          <w:color w:val="0070C0"/>
        </w:rPr>
        <w:t>mappability</w:t>
      </w:r>
      <w:proofErr w:type="spellEnd"/>
      <w:r w:rsidRPr="00255F0A">
        <w:rPr>
          <w:color w:val="0070C0"/>
        </w:rPr>
        <w:t>.</w:t>
      </w:r>
    </w:p>
    <w:p w:rsidR="00255F0A" w:rsidRDefault="00255F0A" w:rsidP="00255F0A">
      <w:pPr>
        <w:spacing w:after="0" w:line="240" w:lineRule="auto"/>
        <w:rPr>
          <w:color w:val="0070C0"/>
        </w:rPr>
      </w:pPr>
    </w:p>
    <w:p w:rsidR="00255F0A" w:rsidRDefault="00255F0A" w:rsidP="00255F0A">
      <w:pPr>
        <w:spacing w:after="0" w:line="240" w:lineRule="auto"/>
      </w:pPr>
      <w:r w:rsidRPr="00255F0A">
        <w:t xml:space="preserve">The GAM based normalization approach is quite similar to </w:t>
      </w:r>
      <w:proofErr w:type="spellStart"/>
      <w:r w:rsidRPr="00255F0A">
        <w:t>HiCNorm</w:t>
      </w:r>
      <w:proofErr w:type="spellEnd"/>
      <w:r w:rsidRPr="00255F0A">
        <w:t xml:space="preserve"> (Hu et al.). A </w:t>
      </w:r>
      <w:proofErr w:type="gramStart"/>
      <w:r w:rsidRPr="00255F0A">
        <w:t>cite</w:t>
      </w:r>
      <w:proofErr w:type="gramEnd"/>
      <w:r w:rsidRPr="00255F0A">
        <w:t xml:space="preserve"> seems</w:t>
      </w:r>
      <w:r>
        <w:t xml:space="preserve"> </w:t>
      </w:r>
      <w:r w:rsidRPr="00255F0A">
        <w:t>appropriate.</w:t>
      </w:r>
    </w:p>
    <w:p w:rsidR="00255F0A" w:rsidRDefault="00255F0A" w:rsidP="00255F0A">
      <w:pPr>
        <w:spacing w:after="0" w:line="240" w:lineRule="auto"/>
        <w:rPr>
          <w:color w:val="0070C0"/>
        </w:rPr>
      </w:pPr>
      <w:r w:rsidRPr="00255F0A">
        <w:rPr>
          <w:color w:val="0070C0"/>
        </w:rPr>
        <w:t xml:space="preserve">In </w:t>
      </w:r>
      <w:proofErr w:type="spellStart"/>
      <w:r w:rsidRPr="00255F0A">
        <w:rPr>
          <w:color w:val="0070C0"/>
        </w:rPr>
        <w:t>HiCNorm</w:t>
      </w:r>
      <w:proofErr w:type="spellEnd"/>
      <w:r w:rsidRPr="00255F0A">
        <w:rPr>
          <w:color w:val="0070C0"/>
        </w:rPr>
        <w:t xml:space="preserve">, there is a Poisson model for removing bias. We have now cited </w:t>
      </w:r>
      <w:proofErr w:type="spellStart"/>
      <w:r w:rsidRPr="00255F0A">
        <w:rPr>
          <w:color w:val="0070C0"/>
        </w:rPr>
        <w:t>HiCNorm</w:t>
      </w:r>
      <w:proofErr w:type="spellEnd"/>
      <w:r w:rsidRPr="00255F0A">
        <w:rPr>
          <w:color w:val="0070C0"/>
        </w:rPr>
        <w:t xml:space="preserve"> paper in</w:t>
      </w:r>
      <w:r>
        <w:rPr>
          <w:color w:val="0070C0"/>
        </w:rPr>
        <w:t xml:space="preserve"> </w:t>
      </w:r>
      <w:r w:rsidRPr="00255F0A">
        <w:rPr>
          <w:color w:val="0070C0"/>
        </w:rPr>
        <w:t>our revised manuscript.</w:t>
      </w:r>
    </w:p>
    <w:p w:rsidR="00255F0A" w:rsidRPr="00255F0A" w:rsidRDefault="00255F0A" w:rsidP="00255F0A">
      <w:pPr>
        <w:spacing w:after="0" w:line="240" w:lineRule="auto"/>
        <w:rPr>
          <w:color w:val="0070C0"/>
        </w:rPr>
      </w:pPr>
    </w:p>
    <w:p w:rsidR="00255F0A" w:rsidRDefault="00255F0A" w:rsidP="00255F0A">
      <w:pPr>
        <w:spacing w:after="0" w:line="240" w:lineRule="auto"/>
      </w:pPr>
      <w:r>
        <w:t>CNV detection performance of HINT in impressive but using only two cell types seems limited.</w:t>
      </w:r>
      <w:r>
        <w:t xml:space="preserve"> </w:t>
      </w:r>
      <w:r>
        <w:t>Consider extending the analysis to more cell lines, and maybe include HAP1 (a largely haploid</w:t>
      </w:r>
      <w:r>
        <w:t xml:space="preserve"> </w:t>
      </w:r>
      <w:r>
        <w:t>cell type) as a negative control.</w:t>
      </w:r>
    </w:p>
    <w:p w:rsidR="00255F0A" w:rsidRDefault="00255F0A" w:rsidP="00255F0A">
      <w:pPr>
        <w:spacing w:after="0" w:line="240" w:lineRule="auto"/>
        <w:rPr>
          <w:color w:val="0070C0"/>
        </w:rPr>
      </w:pPr>
      <w:r w:rsidRPr="00255F0A">
        <w:rPr>
          <w:color w:val="0070C0"/>
        </w:rPr>
        <w:t xml:space="preserve">In the revised manuscript, we added four more cancer cells: Caki2 (kidney), </w:t>
      </w:r>
      <w:proofErr w:type="spellStart"/>
      <w:r w:rsidRPr="00255F0A">
        <w:rPr>
          <w:color w:val="0070C0"/>
        </w:rPr>
        <w:t>LNCaP</w:t>
      </w:r>
      <w:proofErr w:type="spellEnd"/>
      <w:r w:rsidRPr="00255F0A">
        <w:rPr>
          <w:color w:val="0070C0"/>
        </w:rPr>
        <w:t xml:space="preserve"> (prostate),</w:t>
      </w:r>
      <w:r>
        <w:rPr>
          <w:color w:val="0070C0"/>
        </w:rPr>
        <w:t xml:space="preserve"> </w:t>
      </w:r>
      <w:r w:rsidRPr="00255F0A">
        <w:rPr>
          <w:color w:val="0070C0"/>
        </w:rPr>
        <w:t>MCF7 (breast), and PANC1 (pancreatic), These cell lines have both WGS and Hi-C data</w:t>
      </w:r>
      <w:r>
        <w:rPr>
          <w:color w:val="0070C0"/>
        </w:rPr>
        <w:t xml:space="preserve"> </w:t>
      </w:r>
      <w:r w:rsidRPr="00255F0A">
        <w:rPr>
          <w:color w:val="0070C0"/>
        </w:rPr>
        <w:t>available; two were part of a recent paper and the other two were from the CCLE (Cancer Cell</w:t>
      </w:r>
      <w:r>
        <w:rPr>
          <w:color w:val="0070C0"/>
        </w:rPr>
        <w:t xml:space="preserve"> </w:t>
      </w:r>
      <w:r w:rsidRPr="00255F0A">
        <w:rPr>
          <w:color w:val="0070C0"/>
        </w:rPr>
        <w:t xml:space="preserve">Line </w:t>
      </w:r>
      <w:proofErr w:type="spellStart"/>
      <w:r w:rsidRPr="00255F0A">
        <w:rPr>
          <w:color w:val="0070C0"/>
        </w:rPr>
        <w:t>Encyclopedia</w:t>
      </w:r>
      <w:proofErr w:type="spellEnd"/>
      <w:r w:rsidRPr="00255F0A">
        <w:rPr>
          <w:color w:val="0070C0"/>
        </w:rPr>
        <w:t>) and ENCODE projects. Instead of HAP1, we used another haploid cell</w:t>
      </w:r>
      <w:r>
        <w:rPr>
          <w:color w:val="0070C0"/>
        </w:rPr>
        <w:t xml:space="preserve"> </w:t>
      </w:r>
      <w:r w:rsidRPr="00255F0A">
        <w:rPr>
          <w:color w:val="0070C0"/>
        </w:rPr>
        <w:t>CHM13 for comparison since no WGS data were available for HAP1 (note that read depth alone</w:t>
      </w:r>
      <w:r>
        <w:rPr>
          <w:color w:val="0070C0"/>
        </w:rPr>
        <w:t xml:space="preserve"> </w:t>
      </w:r>
      <w:r w:rsidRPr="00255F0A">
        <w:rPr>
          <w:color w:val="0070C0"/>
        </w:rPr>
        <w:t>cannot give information on the absolute copy number). Our analysis using these additional data</w:t>
      </w:r>
      <w:r>
        <w:rPr>
          <w:color w:val="0070C0"/>
        </w:rPr>
        <w:t xml:space="preserve"> </w:t>
      </w:r>
      <w:r w:rsidRPr="00255F0A">
        <w:rPr>
          <w:color w:val="0070C0"/>
        </w:rPr>
        <w:t xml:space="preserve">confirms that </w:t>
      </w:r>
      <w:proofErr w:type="spellStart"/>
      <w:r w:rsidRPr="00255F0A">
        <w:rPr>
          <w:color w:val="0070C0"/>
        </w:rPr>
        <w:t>HiNT</w:t>
      </w:r>
      <w:proofErr w:type="spellEnd"/>
      <w:r w:rsidRPr="00255F0A">
        <w:rPr>
          <w:color w:val="0070C0"/>
        </w:rPr>
        <w:t xml:space="preserve"> outperforms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sidRPr="00255F0A">
        <w:rPr>
          <w:color w:val="0070C0"/>
        </w:rPr>
        <w:t>, especially on identification of large CNV</w:t>
      </w:r>
      <w:r>
        <w:rPr>
          <w:color w:val="0070C0"/>
        </w:rPr>
        <w:t xml:space="preserve"> </w:t>
      </w:r>
      <w:r w:rsidRPr="00255F0A">
        <w:rPr>
          <w:color w:val="0070C0"/>
        </w:rPr>
        <w:t xml:space="preserve">segments. In particular, </w:t>
      </w:r>
      <w:proofErr w:type="spellStart"/>
      <w:r w:rsidRPr="00255F0A">
        <w:rPr>
          <w:color w:val="0070C0"/>
        </w:rPr>
        <w:t>HiNT</w:t>
      </w:r>
      <w:proofErr w:type="spellEnd"/>
      <w:r w:rsidRPr="00255F0A">
        <w:rPr>
          <w:color w:val="0070C0"/>
        </w:rPr>
        <w:t xml:space="preserve"> makes accurate predictions in cells with a normal karyotype</w:t>
      </w:r>
      <w:r>
        <w:rPr>
          <w:color w:val="0070C0"/>
        </w:rPr>
        <w:t xml:space="preserve"> </w:t>
      </w:r>
      <w:r w:rsidRPr="00255F0A">
        <w:rPr>
          <w:color w:val="0070C0"/>
        </w:rPr>
        <w:t>(GM12878, CHM13)</w:t>
      </w:r>
      <w:proofErr w:type="gramStart"/>
      <w:r w:rsidRPr="00255F0A">
        <w:rPr>
          <w:color w:val="0070C0"/>
        </w:rPr>
        <w:t>,</w:t>
      </w:r>
      <w:proofErr w:type="gramEnd"/>
      <w:r w:rsidRPr="00255F0A">
        <w:rPr>
          <w:color w:val="0070C0"/>
        </w:rPr>
        <w:t xml:space="preserve"> in which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sidRPr="00255F0A">
        <w:rPr>
          <w:color w:val="0070C0"/>
        </w:rPr>
        <w:t xml:space="preserve"> perform poorly. We show the comparison result</w:t>
      </w:r>
      <w:r>
        <w:rPr>
          <w:color w:val="0070C0"/>
        </w:rPr>
        <w:t xml:space="preserve"> </w:t>
      </w:r>
      <w:r w:rsidRPr="00255F0A">
        <w:rPr>
          <w:color w:val="0070C0"/>
        </w:rPr>
        <w:t>in Supp. Fig 6-10, which are also copied below.</w:t>
      </w:r>
    </w:p>
    <w:p w:rsidR="00255F0A" w:rsidRDefault="00255F0A" w:rsidP="00255F0A">
      <w:pPr>
        <w:spacing w:after="0" w:line="240" w:lineRule="auto"/>
        <w:rPr>
          <w:color w:val="0070C0"/>
        </w:rPr>
      </w:pPr>
    </w:p>
    <w:p w:rsidR="00255F0A" w:rsidRDefault="00255F0A" w:rsidP="00255F0A">
      <w:pPr>
        <w:spacing w:after="0" w:line="240" w:lineRule="auto"/>
        <w:rPr>
          <w:color w:val="0070C0"/>
        </w:rPr>
      </w:pPr>
      <w:r>
        <w:rPr>
          <w:color w:val="0070C0"/>
        </w:rPr>
        <w:t>Caki2</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4818364"/>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818364"/>
                    </a:xfrm>
                    <a:prstGeom prst="rect">
                      <a:avLst/>
                    </a:prstGeom>
                    <a:noFill/>
                    <a:ln>
                      <a:noFill/>
                    </a:ln>
                  </pic:spPr>
                </pic:pic>
              </a:graphicData>
            </a:graphic>
          </wp:inline>
        </w:drawing>
      </w:r>
    </w:p>
    <w:p w:rsidR="00255F0A" w:rsidRDefault="00255F0A" w:rsidP="00255F0A">
      <w:pPr>
        <w:spacing w:after="0" w:line="240" w:lineRule="auto"/>
        <w:rPr>
          <w:color w:val="0070C0"/>
        </w:rPr>
      </w:pPr>
      <w:proofErr w:type="gramStart"/>
      <w:r w:rsidRPr="00255F0A">
        <w:rPr>
          <w:color w:val="0070C0"/>
        </w:rPr>
        <w:t>Supplementary figure 6.</w:t>
      </w:r>
      <w:proofErr w:type="gramEnd"/>
      <w:r w:rsidRPr="00255F0A">
        <w:rPr>
          <w:color w:val="0070C0"/>
        </w:rPr>
        <w:t xml:space="preserve"> </w:t>
      </w:r>
      <w:proofErr w:type="gramStart"/>
      <w:r w:rsidRPr="00255F0A">
        <w:rPr>
          <w:color w:val="0070C0"/>
        </w:rPr>
        <w:t>Evaluation of copy number inference from Hi-C data in Caki2 cells.</w:t>
      </w:r>
      <w:proofErr w:type="gramEnd"/>
      <w:r w:rsidRPr="00255F0A">
        <w:rPr>
          <w:color w:val="0070C0"/>
        </w:rPr>
        <w:t xml:space="preserve"> A,</w:t>
      </w:r>
      <w:r>
        <w:rPr>
          <w:color w:val="0070C0"/>
        </w:rPr>
        <w:t xml:space="preserve"> </w:t>
      </w:r>
      <w:r w:rsidRPr="00255F0A">
        <w:rPr>
          <w:color w:val="0070C0"/>
        </w:rPr>
        <w:t xml:space="preserve">Correlation of log2 copy ratios in each bin (50kb) detected from WGS and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and</w:t>
      </w:r>
      <w:r>
        <w:rPr>
          <w:color w:val="0070C0"/>
        </w:rPr>
        <w:t xml:space="preserve"> </w:t>
      </w:r>
      <w:proofErr w:type="spellStart"/>
      <w:r w:rsidRPr="00255F0A">
        <w:rPr>
          <w:color w:val="0070C0"/>
        </w:rPr>
        <w:t>OneD</w:t>
      </w:r>
      <w:proofErr w:type="spellEnd"/>
      <w:r w:rsidRPr="00255F0A">
        <w:rPr>
          <w:color w:val="0070C0"/>
        </w:rPr>
        <w:t xml:space="preserve"> in Caki2. </w:t>
      </w:r>
      <w:proofErr w:type="gramStart"/>
      <w:r w:rsidRPr="00255F0A">
        <w:rPr>
          <w:color w:val="0070C0"/>
        </w:rPr>
        <w:t>B, Comparison of CNV profiles from Hi-C and WGS after segmentation.</w:t>
      </w:r>
      <w:proofErr w:type="gramEnd"/>
      <w:r w:rsidRPr="00255F0A">
        <w:rPr>
          <w:color w:val="0070C0"/>
        </w:rPr>
        <w:t xml:space="preserve"> Red,</w:t>
      </w:r>
      <w:r>
        <w:rPr>
          <w:color w:val="0070C0"/>
        </w:rPr>
        <w:t xml:space="preserve"> </w:t>
      </w:r>
      <w:r w:rsidRPr="00255F0A">
        <w:rPr>
          <w:color w:val="0070C0"/>
        </w:rPr>
        <w:t xml:space="preserve">green and grey bars represent copy </w:t>
      </w:r>
      <w:proofErr w:type="gramStart"/>
      <w:r w:rsidRPr="00255F0A">
        <w:rPr>
          <w:color w:val="0070C0"/>
        </w:rPr>
        <w:t>gain(</w:t>
      </w:r>
      <w:proofErr w:type="gramEnd"/>
      <w:r w:rsidRPr="00255F0A">
        <w:rPr>
          <w:color w:val="0070C0"/>
        </w:rPr>
        <w:t>log2 copy ratio &gt; 0.3), copy loss(log2 copy ratio &lt; -0.3),</w:t>
      </w:r>
      <w:r>
        <w:rPr>
          <w:color w:val="0070C0"/>
        </w:rPr>
        <w:t xml:space="preserve"> </w:t>
      </w:r>
      <w:r w:rsidRPr="00255F0A">
        <w:rPr>
          <w:color w:val="0070C0"/>
        </w:rPr>
        <w:t xml:space="preserve">and copy neutral regions (log2 copy ratio between -0.3 and 0.3), respectively. C, </w:t>
      </w:r>
      <w:proofErr w:type="gramStart"/>
      <w:r w:rsidRPr="00255F0A">
        <w:rPr>
          <w:color w:val="0070C0"/>
        </w:rPr>
        <w:t>The</w:t>
      </w:r>
      <w:proofErr w:type="gramEnd"/>
      <w:r w:rsidRPr="00255F0A">
        <w:rPr>
          <w:color w:val="0070C0"/>
        </w:rPr>
        <w:t xml:space="preserve"> number of</w:t>
      </w:r>
      <w:r>
        <w:rPr>
          <w:color w:val="0070C0"/>
        </w:rPr>
        <w:t xml:space="preserve"> </w:t>
      </w:r>
      <w:r w:rsidRPr="00255F0A">
        <w:rPr>
          <w:color w:val="0070C0"/>
        </w:rPr>
        <w:t>CNV segments (categorized by size) detected from Hi-C that are also supported by WGS.</w:t>
      </w:r>
      <w:r>
        <w:rPr>
          <w:color w:val="0070C0"/>
        </w:rPr>
        <w:t xml:space="preserve"> </w:t>
      </w:r>
      <w:r w:rsidRPr="00255F0A">
        <w:rPr>
          <w:color w:val="0070C0"/>
        </w:rPr>
        <w:t xml:space="preserve">Specifically, 84%, 76%, and 49% of the large CNV segments identified by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Pr>
          <w:color w:val="0070C0"/>
        </w:rPr>
        <w:t xml:space="preserve"> </w:t>
      </w:r>
      <w:r w:rsidRPr="00255F0A">
        <w:rPr>
          <w:color w:val="0070C0"/>
        </w:rPr>
        <w:t>are supported by those from WGS, respectively. The overlap criteria for consistency are shown</w:t>
      </w:r>
      <w:r>
        <w:rPr>
          <w:color w:val="0070C0"/>
        </w:rPr>
        <w:t xml:space="preserve"> </w:t>
      </w:r>
      <w:r w:rsidRPr="00255F0A">
        <w:rPr>
          <w:color w:val="0070C0"/>
        </w:rPr>
        <w:t>in Supp. Fig. 5C.</w:t>
      </w:r>
    </w:p>
    <w:p w:rsidR="00255F0A" w:rsidRDefault="00255F0A" w:rsidP="00255F0A">
      <w:pPr>
        <w:spacing w:after="0" w:line="240" w:lineRule="auto"/>
        <w:rPr>
          <w:color w:val="0070C0"/>
        </w:rPr>
      </w:pPr>
    </w:p>
    <w:p w:rsidR="00255F0A" w:rsidRDefault="00255F0A" w:rsidP="00255F0A">
      <w:pPr>
        <w:spacing w:after="0" w:line="240" w:lineRule="auto"/>
        <w:rPr>
          <w:color w:val="0070C0"/>
        </w:rPr>
      </w:pPr>
      <w:proofErr w:type="spellStart"/>
      <w:r w:rsidRPr="00255F0A">
        <w:rPr>
          <w:color w:val="0070C0"/>
        </w:rPr>
        <w:t>LNCaP</w:t>
      </w:r>
      <w:proofErr w:type="spellEnd"/>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4808862"/>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808862"/>
                    </a:xfrm>
                    <a:prstGeom prst="rect">
                      <a:avLst/>
                    </a:prstGeom>
                    <a:noFill/>
                    <a:ln>
                      <a:noFill/>
                    </a:ln>
                  </pic:spPr>
                </pic:pic>
              </a:graphicData>
            </a:graphic>
          </wp:inline>
        </w:drawing>
      </w:r>
    </w:p>
    <w:p w:rsidR="00255F0A" w:rsidRDefault="00255F0A" w:rsidP="00255F0A">
      <w:pPr>
        <w:spacing w:after="0" w:line="240" w:lineRule="auto"/>
        <w:rPr>
          <w:color w:val="0070C0"/>
        </w:rPr>
      </w:pPr>
      <w:proofErr w:type="gramStart"/>
      <w:r w:rsidRPr="00255F0A">
        <w:rPr>
          <w:color w:val="0070C0"/>
        </w:rPr>
        <w:t>Supplementary figure 7.</w:t>
      </w:r>
      <w:proofErr w:type="gramEnd"/>
      <w:r w:rsidRPr="00255F0A">
        <w:rPr>
          <w:color w:val="0070C0"/>
        </w:rPr>
        <w:t xml:space="preserve"> </w:t>
      </w:r>
      <w:proofErr w:type="gramStart"/>
      <w:r w:rsidRPr="00255F0A">
        <w:rPr>
          <w:color w:val="0070C0"/>
        </w:rPr>
        <w:t xml:space="preserve">Evaluation of copy number inference from Hi-C data in </w:t>
      </w:r>
      <w:proofErr w:type="spellStart"/>
      <w:r w:rsidRPr="00255F0A">
        <w:rPr>
          <w:color w:val="0070C0"/>
        </w:rPr>
        <w:t>LNCaP</w:t>
      </w:r>
      <w:proofErr w:type="spellEnd"/>
      <w:r w:rsidRPr="00255F0A">
        <w:rPr>
          <w:color w:val="0070C0"/>
        </w:rPr>
        <w:t xml:space="preserve"> cells.</w:t>
      </w:r>
      <w:proofErr w:type="gramEnd"/>
      <w:r>
        <w:rPr>
          <w:color w:val="0070C0"/>
        </w:rPr>
        <w:t xml:space="preserve"> </w:t>
      </w:r>
      <w:r w:rsidRPr="00255F0A">
        <w:rPr>
          <w:color w:val="0070C0"/>
        </w:rPr>
        <w:t xml:space="preserve">A, Correlation of log2 copy ratios in each bin (50kb) detected from WGS and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and</w:t>
      </w:r>
      <w:r>
        <w:rPr>
          <w:color w:val="0070C0"/>
        </w:rPr>
        <w:t xml:space="preserve"> </w:t>
      </w:r>
      <w:proofErr w:type="spellStart"/>
      <w:r w:rsidRPr="00255F0A">
        <w:rPr>
          <w:color w:val="0070C0"/>
        </w:rPr>
        <w:t>OneD</w:t>
      </w:r>
      <w:proofErr w:type="spellEnd"/>
      <w:r w:rsidRPr="00255F0A">
        <w:rPr>
          <w:color w:val="0070C0"/>
        </w:rPr>
        <w:t xml:space="preserve"> in </w:t>
      </w:r>
      <w:proofErr w:type="spellStart"/>
      <w:r w:rsidRPr="00255F0A">
        <w:rPr>
          <w:color w:val="0070C0"/>
        </w:rPr>
        <w:t>LNCaP</w:t>
      </w:r>
      <w:proofErr w:type="spellEnd"/>
      <w:r w:rsidRPr="00255F0A">
        <w:rPr>
          <w:color w:val="0070C0"/>
        </w:rPr>
        <w:t xml:space="preserve">. </w:t>
      </w:r>
      <w:proofErr w:type="gramStart"/>
      <w:r w:rsidRPr="00255F0A">
        <w:rPr>
          <w:color w:val="0070C0"/>
        </w:rPr>
        <w:t>B, Comparison of CNV profiles from Hi-C and WGS after segmentation.</w:t>
      </w:r>
      <w:proofErr w:type="gramEnd"/>
      <w:r w:rsidRPr="00255F0A">
        <w:rPr>
          <w:color w:val="0070C0"/>
        </w:rPr>
        <w:t xml:space="preserve"> Red,</w:t>
      </w:r>
      <w:r>
        <w:rPr>
          <w:color w:val="0070C0"/>
        </w:rPr>
        <w:t xml:space="preserve"> </w:t>
      </w:r>
      <w:r w:rsidRPr="00255F0A">
        <w:rPr>
          <w:color w:val="0070C0"/>
        </w:rPr>
        <w:t xml:space="preserve">green and grey bars represent copy </w:t>
      </w:r>
      <w:proofErr w:type="gramStart"/>
      <w:r w:rsidRPr="00255F0A">
        <w:rPr>
          <w:color w:val="0070C0"/>
        </w:rPr>
        <w:t>gain(</w:t>
      </w:r>
      <w:proofErr w:type="gramEnd"/>
      <w:r w:rsidRPr="00255F0A">
        <w:rPr>
          <w:color w:val="0070C0"/>
        </w:rPr>
        <w:t>log2 copy ratio &gt; 0.3), copy loss(log2 copy ratio &lt; -0.3),</w:t>
      </w:r>
      <w:r>
        <w:rPr>
          <w:color w:val="0070C0"/>
        </w:rPr>
        <w:t xml:space="preserve"> </w:t>
      </w:r>
      <w:r w:rsidRPr="00255F0A">
        <w:rPr>
          <w:color w:val="0070C0"/>
        </w:rPr>
        <w:t xml:space="preserve">and copy neutral regions (log2 copy ratio between -0.3 and 0.3), respectively. C, </w:t>
      </w:r>
      <w:proofErr w:type="gramStart"/>
      <w:r w:rsidRPr="00255F0A">
        <w:rPr>
          <w:color w:val="0070C0"/>
        </w:rPr>
        <w:t>The</w:t>
      </w:r>
      <w:proofErr w:type="gramEnd"/>
      <w:r w:rsidRPr="00255F0A">
        <w:rPr>
          <w:color w:val="0070C0"/>
        </w:rPr>
        <w:t xml:space="preserve"> number of</w:t>
      </w:r>
      <w:r>
        <w:rPr>
          <w:color w:val="0070C0"/>
        </w:rPr>
        <w:t xml:space="preserve"> </w:t>
      </w:r>
      <w:r w:rsidRPr="00255F0A">
        <w:rPr>
          <w:color w:val="0070C0"/>
        </w:rPr>
        <w:t>CNV segments (categorized by size) detected from Hi-C that are also supported by WGS.</w:t>
      </w:r>
      <w:r>
        <w:rPr>
          <w:color w:val="0070C0"/>
        </w:rPr>
        <w:t xml:space="preserve"> </w:t>
      </w:r>
      <w:r w:rsidRPr="00255F0A">
        <w:rPr>
          <w:color w:val="0070C0"/>
        </w:rPr>
        <w:t xml:space="preserve">Specifically, 79%, 84%, and 54% of the large CNV segments identified by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Pr>
          <w:color w:val="0070C0"/>
        </w:rPr>
        <w:t xml:space="preserve"> </w:t>
      </w:r>
      <w:r w:rsidRPr="00255F0A">
        <w:rPr>
          <w:color w:val="0070C0"/>
        </w:rPr>
        <w:t>are supported by those from WGS, respectively. The overlap criteria for consistency are shown</w:t>
      </w:r>
      <w:r>
        <w:rPr>
          <w:color w:val="0070C0"/>
        </w:rPr>
        <w:t xml:space="preserve"> </w:t>
      </w:r>
      <w:r w:rsidRPr="00255F0A">
        <w:rPr>
          <w:color w:val="0070C0"/>
        </w:rPr>
        <w:t>in Supp. Fig. 5C.</w:t>
      </w:r>
    </w:p>
    <w:p w:rsidR="00255F0A" w:rsidRDefault="00255F0A" w:rsidP="00255F0A">
      <w:pPr>
        <w:spacing w:after="0" w:line="240" w:lineRule="auto"/>
        <w:rPr>
          <w:color w:val="0070C0"/>
        </w:rPr>
      </w:pPr>
    </w:p>
    <w:p w:rsidR="00255F0A" w:rsidRDefault="00255F0A" w:rsidP="00255F0A">
      <w:pPr>
        <w:spacing w:after="0" w:line="240" w:lineRule="auto"/>
        <w:rPr>
          <w:color w:val="0070C0"/>
        </w:rPr>
      </w:pPr>
      <w:r>
        <w:rPr>
          <w:color w:val="0070C0"/>
        </w:rPr>
        <w:t>MCF7</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4585827"/>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585827"/>
                    </a:xfrm>
                    <a:prstGeom prst="rect">
                      <a:avLst/>
                    </a:prstGeom>
                    <a:noFill/>
                    <a:ln>
                      <a:noFill/>
                    </a:ln>
                  </pic:spPr>
                </pic:pic>
              </a:graphicData>
            </a:graphic>
          </wp:inline>
        </w:drawing>
      </w:r>
    </w:p>
    <w:p w:rsidR="00255F0A" w:rsidRDefault="00255F0A" w:rsidP="00255F0A">
      <w:pPr>
        <w:spacing w:after="0" w:line="240" w:lineRule="auto"/>
        <w:rPr>
          <w:color w:val="0070C0"/>
        </w:rPr>
      </w:pPr>
      <w:proofErr w:type="gramStart"/>
      <w:r w:rsidRPr="00255F0A">
        <w:rPr>
          <w:color w:val="0070C0"/>
        </w:rPr>
        <w:t>Supplementary figure 8.</w:t>
      </w:r>
      <w:proofErr w:type="gramEnd"/>
      <w:r w:rsidRPr="00255F0A">
        <w:rPr>
          <w:color w:val="0070C0"/>
        </w:rPr>
        <w:t xml:space="preserve"> </w:t>
      </w:r>
      <w:proofErr w:type="gramStart"/>
      <w:r w:rsidRPr="00255F0A">
        <w:rPr>
          <w:color w:val="0070C0"/>
        </w:rPr>
        <w:t>Evaluation of copy number inference from Hi-C data in MCF7 cells.</w:t>
      </w:r>
      <w:proofErr w:type="gramEnd"/>
      <w:r w:rsidRPr="00255F0A">
        <w:rPr>
          <w:color w:val="0070C0"/>
        </w:rPr>
        <w:t xml:space="preserve"> A,</w:t>
      </w:r>
      <w:r>
        <w:rPr>
          <w:color w:val="0070C0"/>
        </w:rPr>
        <w:t xml:space="preserve"> </w:t>
      </w:r>
      <w:r w:rsidRPr="00255F0A">
        <w:rPr>
          <w:color w:val="0070C0"/>
        </w:rPr>
        <w:t xml:space="preserve">Correlation of log2 copy ratios in each bin (50kb) detected from WGS and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and</w:t>
      </w:r>
      <w:r>
        <w:rPr>
          <w:color w:val="0070C0"/>
        </w:rPr>
        <w:t xml:space="preserve"> </w:t>
      </w:r>
      <w:proofErr w:type="spellStart"/>
      <w:r w:rsidRPr="00255F0A">
        <w:rPr>
          <w:color w:val="0070C0"/>
        </w:rPr>
        <w:t>OneD</w:t>
      </w:r>
      <w:proofErr w:type="spellEnd"/>
      <w:r w:rsidRPr="00255F0A">
        <w:rPr>
          <w:color w:val="0070C0"/>
        </w:rPr>
        <w:t xml:space="preserve"> in MCF7. </w:t>
      </w:r>
      <w:proofErr w:type="gramStart"/>
      <w:r w:rsidRPr="00255F0A">
        <w:rPr>
          <w:color w:val="0070C0"/>
        </w:rPr>
        <w:t>B, Comparison of CNV profiles from Hi-C and WGS after segmentation.</w:t>
      </w:r>
      <w:proofErr w:type="gramEnd"/>
      <w:r w:rsidRPr="00255F0A">
        <w:rPr>
          <w:color w:val="0070C0"/>
        </w:rPr>
        <w:t xml:space="preserve"> Red,</w:t>
      </w:r>
      <w:r>
        <w:rPr>
          <w:color w:val="0070C0"/>
        </w:rPr>
        <w:t xml:space="preserve"> </w:t>
      </w:r>
      <w:r w:rsidRPr="00255F0A">
        <w:rPr>
          <w:color w:val="0070C0"/>
        </w:rPr>
        <w:t xml:space="preserve">green and grey bars represent copy </w:t>
      </w:r>
      <w:proofErr w:type="gramStart"/>
      <w:r w:rsidRPr="00255F0A">
        <w:rPr>
          <w:color w:val="0070C0"/>
        </w:rPr>
        <w:t>gain(</w:t>
      </w:r>
      <w:proofErr w:type="gramEnd"/>
      <w:r w:rsidRPr="00255F0A">
        <w:rPr>
          <w:color w:val="0070C0"/>
        </w:rPr>
        <w:t>log2 copy ratio &gt; 0.3), copy loss(log2 copy ratio &lt; -0.3),</w:t>
      </w:r>
      <w:r>
        <w:rPr>
          <w:color w:val="0070C0"/>
        </w:rPr>
        <w:t xml:space="preserve"> </w:t>
      </w:r>
      <w:r w:rsidRPr="00255F0A">
        <w:rPr>
          <w:color w:val="0070C0"/>
        </w:rPr>
        <w:t xml:space="preserve">and copy neutral regions (log2 copy ratio between -0.3 and 0.3), respectively. C, </w:t>
      </w:r>
      <w:proofErr w:type="gramStart"/>
      <w:r w:rsidRPr="00255F0A">
        <w:rPr>
          <w:color w:val="0070C0"/>
        </w:rPr>
        <w:t>The</w:t>
      </w:r>
      <w:proofErr w:type="gramEnd"/>
      <w:r w:rsidRPr="00255F0A">
        <w:rPr>
          <w:color w:val="0070C0"/>
        </w:rPr>
        <w:t xml:space="preserve"> number of</w:t>
      </w:r>
      <w:r>
        <w:rPr>
          <w:color w:val="0070C0"/>
        </w:rPr>
        <w:t xml:space="preserve"> </w:t>
      </w:r>
      <w:r w:rsidRPr="00255F0A">
        <w:rPr>
          <w:color w:val="0070C0"/>
        </w:rPr>
        <w:t>CNV segments (categorized by size) detected from Hi-C that are also supported by WGS.</w:t>
      </w:r>
      <w:r>
        <w:rPr>
          <w:color w:val="0070C0"/>
        </w:rPr>
        <w:t xml:space="preserve"> </w:t>
      </w:r>
      <w:r w:rsidRPr="00255F0A">
        <w:rPr>
          <w:color w:val="0070C0"/>
        </w:rPr>
        <w:t xml:space="preserve">Specifically, 76%, 71%, and 49% of the large CNV segments identified by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Pr>
          <w:color w:val="0070C0"/>
        </w:rPr>
        <w:t xml:space="preserve"> </w:t>
      </w:r>
      <w:r w:rsidRPr="00255F0A">
        <w:rPr>
          <w:color w:val="0070C0"/>
        </w:rPr>
        <w:t>are supported by those from WGS, respectively. The overlap criteria for consistency are shown</w:t>
      </w:r>
      <w:r>
        <w:rPr>
          <w:color w:val="0070C0"/>
        </w:rPr>
        <w:t xml:space="preserve"> </w:t>
      </w:r>
      <w:r w:rsidRPr="00255F0A">
        <w:rPr>
          <w:color w:val="0070C0"/>
        </w:rPr>
        <w:t>in Supp. Fig. 5C.</w:t>
      </w:r>
    </w:p>
    <w:p w:rsidR="00255F0A" w:rsidRDefault="00255F0A" w:rsidP="00255F0A">
      <w:pPr>
        <w:spacing w:after="0" w:line="240" w:lineRule="auto"/>
        <w:rPr>
          <w:color w:val="0070C0"/>
        </w:rPr>
      </w:pPr>
    </w:p>
    <w:p w:rsidR="00255F0A" w:rsidRDefault="00255F0A" w:rsidP="00255F0A">
      <w:pPr>
        <w:spacing w:after="0" w:line="240" w:lineRule="auto"/>
        <w:rPr>
          <w:color w:val="0070C0"/>
        </w:rPr>
      </w:pPr>
      <w:r>
        <w:rPr>
          <w:color w:val="0070C0"/>
        </w:rPr>
        <w:t>PANC1</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484041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840413"/>
                    </a:xfrm>
                    <a:prstGeom prst="rect">
                      <a:avLst/>
                    </a:prstGeom>
                    <a:noFill/>
                    <a:ln>
                      <a:noFill/>
                    </a:ln>
                  </pic:spPr>
                </pic:pic>
              </a:graphicData>
            </a:graphic>
          </wp:inline>
        </w:drawing>
      </w:r>
    </w:p>
    <w:p w:rsidR="00255F0A" w:rsidRDefault="00255F0A" w:rsidP="00255F0A">
      <w:pPr>
        <w:spacing w:after="0" w:line="240" w:lineRule="auto"/>
        <w:rPr>
          <w:color w:val="0070C0"/>
        </w:rPr>
      </w:pPr>
      <w:proofErr w:type="gramStart"/>
      <w:r w:rsidRPr="00255F0A">
        <w:rPr>
          <w:color w:val="0070C0"/>
        </w:rPr>
        <w:t>Supplementary figure 9.</w:t>
      </w:r>
      <w:proofErr w:type="gramEnd"/>
      <w:r w:rsidRPr="00255F0A">
        <w:rPr>
          <w:color w:val="0070C0"/>
        </w:rPr>
        <w:t xml:space="preserve"> </w:t>
      </w:r>
      <w:proofErr w:type="gramStart"/>
      <w:r w:rsidRPr="00255F0A">
        <w:rPr>
          <w:color w:val="0070C0"/>
        </w:rPr>
        <w:t>Evaluation of copy number inference from Hi-C data in PANC-1 cells.</w:t>
      </w:r>
      <w:proofErr w:type="gramEnd"/>
      <w:r>
        <w:rPr>
          <w:color w:val="0070C0"/>
        </w:rPr>
        <w:t xml:space="preserve"> </w:t>
      </w:r>
      <w:r w:rsidRPr="00255F0A">
        <w:rPr>
          <w:color w:val="0070C0"/>
        </w:rPr>
        <w:t xml:space="preserve">A, Correlation of log2 copy ratios in each bin (50kb) detected from WGS and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and</w:t>
      </w:r>
      <w:r>
        <w:rPr>
          <w:color w:val="0070C0"/>
        </w:rPr>
        <w:t xml:space="preserve"> </w:t>
      </w:r>
      <w:proofErr w:type="spellStart"/>
      <w:r w:rsidRPr="00255F0A">
        <w:rPr>
          <w:color w:val="0070C0"/>
        </w:rPr>
        <w:t>OneD</w:t>
      </w:r>
      <w:proofErr w:type="spellEnd"/>
      <w:r w:rsidRPr="00255F0A">
        <w:rPr>
          <w:color w:val="0070C0"/>
        </w:rPr>
        <w:t xml:space="preserve"> in PANC-1. </w:t>
      </w:r>
      <w:proofErr w:type="gramStart"/>
      <w:r w:rsidRPr="00255F0A">
        <w:rPr>
          <w:color w:val="0070C0"/>
        </w:rPr>
        <w:t>B, Comparison of CNV profiles from Hi-C and WGS after segmentation.</w:t>
      </w:r>
      <w:proofErr w:type="gramEnd"/>
      <w:r w:rsidRPr="00255F0A">
        <w:rPr>
          <w:color w:val="0070C0"/>
        </w:rPr>
        <w:t xml:space="preserve"> Red,</w:t>
      </w:r>
      <w:r>
        <w:rPr>
          <w:color w:val="0070C0"/>
        </w:rPr>
        <w:t xml:space="preserve"> </w:t>
      </w:r>
      <w:r w:rsidRPr="00255F0A">
        <w:rPr>
          <w:color w:val="0070C0"/>
        </w:rPr>
        <w:t xml:space="preserve">green and grey bars represent copy </w:t>
      </w:r>
      <w:proofErr w:type="gramStart"/>
      <w:r w:rsidRPr="00255F0A">
        <w:rPr>
          <w:color w:val="0070C0"/>
        </w:rPr>
        <w:t>gain(</w:t>
      </w:r>
      <w:proofErr w:type="gramEnd"/>
      <w:r w:rsidRPr="00255F0A">
        <w:rPr>
          <w:color w:val="0070C0"/>
        </w:rPr>
        <w:t>log2 copy ratio &gt; 0.3), copy loss(log2 copy ratio &lt; -0.3),</w:t>
      </w:r>
      <w:r>
        <w:rPr>
          <w:color w:val="0070C0"/>
        </w:rPr>
        <w:t xml:space="preserve"> </w:t>
      </w:r>
      <w:r w:rsidRPr="00255F0A">
        <w:rPr>
          <w:color w:val="0070C0"/>
        </w:rPr>
        <w:t xml:space="preserve">and copy neutral regions (log2 copy ratio between -0.3 and 0.3), respectively. C, </w:t>
      </w:r>
      <w:proofErr w:type="gramStart"/>
      <w:r w:rsidRPr="00255F0A">
        <w:rPr>
          <w:color w:val="0070C0"/>
        </w:rPr>
        <w:t>The</w:t>
      </w:r>
      <w:proofErr w:type="gramEnd"/>
      <w:r w:rsidRPr="00255F0A">
        <w:rPr>
          <w:color w:val="0070C0"/>
        </w:rPr>
        <w:t xml:space="preserve"> number of</w:t>
      </w:r>
      <w:r>
        <w:rPr>
          <w:color w:val="0070C0"/>
        </w:rPr>
        <w:t xml:space="preserve"> </w:t>
      </w:r>
      <w:r w:rsidRPr="00255F0A">
        <w:rPr>
          <w:color w:val="0070C0"/>
        </w:rPr>
        <w:t>CNV segments (categorized by size) detected from Hi-C that are also supported by WGS.</w:t>
      </w:r>
      <w:r>
        <w:rPr>
          <w:color w:val="0070C0"/>
        </w:rPr>
        <w:t xml:space="preserve"> </w:t>
      </w:r>
      <w:r w:rsidRPr="00255F0A">
        <w:rPr>
          <w:color w:val="0070C0"/>
        </w:rPr>
        <w:t xml:space="preserve">Specifically, 84%, 81%, and 58% of the large CNV segments identified by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Pr>
          <w:color w:val="0070C0"/>
        </w:rPr>
        <w:t xml:space="preserve"> </w:t>
      </w:r>
      <w:r w:rsidRPr="00255F0A">
        <w:rPr>
          <w:color w:val="0070C0"/>
        </w:rPr>
        <w:t>are supported by those from WGS, respectively. The overlap criteria for consistency are shown</w:t>
      </w:r>
      <w:r>
        <w:rPr>
          <w:color w:val="0070C0"/>
        </w:rPr>
        <w:t xml:space="preserve"> </w:t>
      </w:r>
      <w:r w:rsidRPr="00255F0A">
        <w:rPr>
          <w:color w:val="0070C0"/>
        </w:rPr>
        <w:t>in Supp. Fig. 5C.</w:t>
      </w:r>
    </w:p>
    <w:p w:rsidR="00255F0A" w:rsidRDefault="00255F0A" w:rsidP="00255F0A">
      <w:pPr>
        <w:spacing w:after="0" w:line="240" w:lineRule="auto"/>
        <w:rPr>
          <w:color w:val="0070C0"/>
        </w:rPr>
      </w:pPr>
    </w:p>
    <w:p w:rsidR="00255F0A" w:rsidRDefault="00255F0A" w:rsidP="00255F0A">
      <w:pPr>
        <w:spacing w:after="0" w:line="240" w:lineRule="auto"/>
        <w:rPr>
          <w:color w:val="0070C0"/>
        </w:rPr>
      </w:pPr>
      <w:r>
        <w:rPr>
          <w:color w:val="0070C0"/>
        </w:rPr>
        <w:t>CHM13</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471053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710537"/>
                    </a:xfrm>
                    <a:prstGeom prst="rect">
                      <a:avLst/>
                    </a:prstGeom>
                    <a:noFill/>
                    <a:ln>
                      <a:noFill/>
                    </a:ln>
                  </pic:spPr>
                </pic:pic>
              </a:graphicData>
            </a:graphic>
          </wp:inline>
        </w:drawing>
      </w:r>
    </w:p>
    <w:p w:rsidR="00255F0A" w:rsidRDefault="00255F0A" w:rsidP="00255F0A">
      <w:pPr>
        <w:spacing w:after="0" w:line="240" w:lineRule="auto"/>
        <w:rPr>
          <w:color w:val="0070C0"/>
        </w:rPr>
      </w:pPr>
      <w:proofErr w:type="gramStart"/>
      <w:r w:rsidRPr="00255F0A">
        <w:rPr>
          <w:color w:val="0070C0"/>
        </w:rPr>
        <w:t>Supplementary figure 10.</w:t>
      </w:r>
      <w:proofErr w:type="gramEnd"/>
      <w:r w:rsidRPr="00255F0A">
        <w:rPr>
          <w:color w:val="0070C0"/>
        </w:rPr>
        <w:t xml:space="preserve"> </w:t>
      </w:r>
      <w:proofErr w:type="gramStart"/>
      <w:r w:rsidRPr="00255F0A">
        <w:rPr>
          <w:color w:val="0070C0"/>
        </w:rPr>
        <w:t>Evaluation of copy number inference from Hi-C data in CHM13 cells.</w:t>
      </w:r>
      <w:proofErr w:type="gramEnd"/>
      <w:r>
        <w:rPr>
          <w:color w:val="0070C0"/>
        </w:rPr>
        <w:t xml:space="preserve"> </w:t>
      </w:r>
      <w:r w:rsidRPr="00255F0A">
        <w:rPr>
          <w:color w:val="0070C0"/>
        </w:rPr>
        <w:t xml:space="preserve">A, Correlation of log2 copy ratios in each bin (50kb) detected from WGS and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and</w:t>
      </w:r>
      <w:r>
        <w:rPr>
          <w:color w:val="0070C0"/>
        </w:rPr>
        <w:t xml:space="preserve"> </w:t>
      </w:r>
      <w:proofErr w:type="spellStart"/>
      <w:r w:rsidRPr="00255F0A">
        <w:rPr>
          <w:color w:val="0070C0"/>
        </w:rPr>
        <w:t>OneD</w:t>
      </w:r>
      <w:proofErr w:type="spellEnd"/>
      <w:r w:rsidRPr="00255F0A">
        <w:rPr>
          <w:color w:val="0070C0"/>
        </w:rPr>
        <w:t xml:space="preserve"> in CHM13. </w:t>
      </w:r>
      <w:proofErr w:type="gramStart"/>
      <w:r w:rsidRPr="00255F0A">
        <w:rPr>
          <w:color w:val="0070C0"/>
        </w:rPr>
        <w:t>B, Comparison of CNV profiles from Hi-C and WGS after segmentation.</w:t>
      </w:r>
      <w:proofErr w:type="gramEnd"/>
      <w:r w:rsidRPr="00255F0A">
        <w:rPr>
          <w:color w:val="0070C0"/>
        </w:rPr>
        <w:t xml:space="preserve"> Red,</w:t>
      </w:r>
      <w:r>
        <w:rPr>
          <w:color w:val="0070C0"/>
        </w:rPr>
        <w:t xml:space="preserve"> </w:t>
      </w:r>
      <w:r w:rsidRPr="00255F0A">
        <w:rPr>
          <w:color w:val="0070C0"/>
        </w:rPr>
        <w:t xml:space="preserve">green and grey bars represent copy </w:t>
      </w:r>
      <w:proofErr w:type="gramStart"/>
      <w:r w:rsidRPr="00255F0A">
        <w:rPr>
          <w:color w:val="0070C0"/>
        </w:rPr>
        <w:t>gain(</w:t>
      </w:r>
      <w:proofErr w:type="gramEnd"/>
      <w:r w:rsidRPr="00255F0A">
        <w:rPr>
          <w:color w:val="0070C0"/>
        </w:rPr>
        <w:t>log2 copy ratio &gt; 0.3), copy loss(log2 copy ratio &lt; -0.3),</w:t>
      </w:r>
      <w:r>
        <w:rPr>
          <w:color w:val="0070C0"/>
        </w:rPr>
        <w:t xml:space="preserve"> </w:t>
      </w:r>
      <w:r w:rsidRPr="00255F0A">
        <w:rPr>
          <w:color w:val="0070C0"/>
        </w:rPr>
        <w:t xml:space="preserve">and copy neutral regions (log2 copy ratio between -0.3 and 0.3), respectively. C, </w:t>
      </w:r>
      <w:proofErr w:type="gramStart"/>
      <w:r w:rsidRPr="00255F0A">
        <w:rPr>
          <w:color w:val="0070C0"/>
        </w:rPr>
        <w:t>The</w:t>
      </w:r>
      <w:proofErr w:type="gramEnd"/>
      <w:r w:rsidRPr="00255F0A">
        <w:rPr>
          <w:color w:val="0070C0"/>
        </w:rPr>
        <w:t xml:space="preserve"> number of</w:t>
      </w:r>
      <w:r>
        <w:rPr>
          <w:color w:val="0070C0"/>
        </w:rPr>
        <w:t xml:space="preserve"> </w:t>
      </w:r>
      <w:r w:rsidRPr="00255F0A">
        <w:rPr>
          <w:color w:val="0070C0"/>
        </w:rPr>
        <w:t>CNV segments (categorized by size) detected from Hi-C that are also supported by WGS.</w:t>
      </w:r>
      <w:r>
        <w:rPr>
          <w:color w:val="0070C0"/>
        </w:rPr>
        <w:t xml:space="preserve"> </w:t>
      </w:r>
      <w:r w:rsidRPr="00255F0A">
        <w:rPr>
          <w:color w:val="0070C0"/>
        </w:rPr>
        <w:t xml:space="preserve">Specifically, 92%, 71%, and 95% of the large CNV segments identified by </w:t>
      </w:r>
      <w:proofErr w:type="spellStart"/>
      <w:r w:rsidRPr="00255F0A">
        <w:rPr>
          <w:color w:val="0070C0"/>
        </w:rPr>
        <w:t>HiNT</w:t>
      </w:r>
      <w:proofErr w:type="spellEnd"/>
      <w:r w:rsidRPr="00255F0A">
        <w:rPr>
          <w:color w:val="0070C0"/>
        </w:rPr>
        <w:t xml:space="preserve">, </w:t>
      </w:r>
      <w:proofErr w:type="spellStart"/>
      <w:r w:rsidRPr="00255F0A">
        <w:rPr>
          <w:color w:val="0070C0"/>
        </w:rPr>
        <w:t>HiCnv</w:t>
      </w:r>
      <w:proofErr w:type="spellEnd"/>
      <w:r w:rsidRPr="00255F0A">
        <w:rPr>
          <w:color w:val="0070C0"/>
        </w:rPr>
        <w:t xml:space="preserve">, and </w:t>
      </w:r>
      <w:proofErr w:type="spellStart"/>
      <w:r w:rsidRPr="00255F0A">
        <w:rPr>
          <w:color w:val="0070C0"/>
        </w:rPr>
        <w:t>OneD</w:t>
      </w:r>
      <w:proofErr w:type="spellEnd"/>
      <w:r>
        <w:rPr>
          <w:color w:val="0070C0"/>
        </w:rPr>
        <w:t xml:space="preserve"> </w:t>
      </w:r>
      <w:r w:rsidRPr="00255F0A">
        <w:rPr>
          <w:color w:val="0070C0"/>
        </w:rPr>
        <w:t>are supported by those from WGS, respectively. The overlap criteria for consistency are shown</w:t>
      </w:r>
      <w:r>
        <w:rPr>
          <w:color w:val="0070C0"/>
        </w:rPr>
        <w:t xml:space="preserve"> </w:t>
      </w:r>
      <w:r w:rsidRPr="00255F0A">
        <w:rPr>
          <w:color w:val="0070C0"/>
        </w:rPr>
        <w:t>in Supp. Fig. 5C.</w:t>
      </w:r>
    </w:p>
    <w:p w:rsidR="00255F0A" w:rsidRPr="00255F0A" w:rsidRDefault="00255F0A" w:rsidP="00255F0A">
      <w:pPr>
        <w:spacing w:after="0" w:line="240" w:lineRule="auto"/>
        <w:rPr>
          <w:color w:val="0070C0"/>
        </w:rPr>
      </w:pPr>
    </w:p>
    <w:p w:rsidR="00255F0A" w:rsidRPr="00255F0A" w:rsidRDefault="00255F0A" w:rsidP="00255F0A">
      <w:pPr>
        <w:spacing w:after="0" w:line="240" w:lineRule="auto"/>
      </w:pPr>
      <w:r w:rsidRPr="00255F0A">
        <w:t xml:space="preserve">I recommend that the authors compare their method against </w:t>
      </w:r>
      <w:proofErr w:type="spellStart"/>
      <w:r w:rsidRPr="00255F0A">
        <w:t>OneD</w:t>
      </w:r>
      <w:proofErr w:type="spellEnd"/>
      <w:r w:rsidRPr="00255F0A">
        <w:t xml:space="preserve"> (Vidal et al. 2018 NAR) as</w:t>
      </w:r>
    </w:p>
    <w:p w:rsidR="00255F0A" w:rsidRPr="00255F0A" w:rsidRDefault="00255F0A" w:rsidP="00255F0A">
      <w:pPr>
        <w:spacing w:after="0" w:line="240" w:lineRule="auto"/>
      </w:pPr>
      <w:proofErr w:type="gramStart"/>
      <w:r w:rsidRPr="00255F0A">
        <w:t>this</w:t>
      </w:r>
      <w:proofErr w:type="gramEnd"/>
      <w:r w:rsidRPr="00255F0A">
        <w:t xml:space="preserve"> recent method also measures CNVs.</w:t>
      </w:r>
    </w:p>
    <w:p w:rsidR="00255F0A" w:rsidRPr="00255F0A" w:rsidRDefault="00255F0A" w:rsidP="00255F0A">
      <w:pPr>
        <w:spacing w:after="0" w:line="240" w:lineRule="auto"/>
        <w:rPr>
          <w:color w:val="0070C0"/>
        </w:rPr>
      </w:pPr>
      <w:r w:rsidRPr="00255F0A">
        <w:rPr>
          <w:color w:val="0070C0"/>
        </w:rPr>
        <w:t xml:space="preserve">We thank the referee for the suggestion. We have now included </w:t>
      </w:r>
      <w:proofErr w:type="spellStart"/>
      <w:r w:rsidRPr="00255F0A">
        <w:rPr>
          <w:color w:val="0070C0"/>
        </w:rPr>
        <w:t>OneD</w:t>
      </w:r>
      <w:proofErr w:type="spellEnd"/>
      <w:r w:rsidRPr="00255F0A">
        <w:rPr>
          <w:color w:val="0070C0"/>
        </w:rPr>
        <w:t xml:space="preserve"> [4] in all our comparisons</w:t>
      </w:r>
    </w:p>
    <w:p w:rsidR="00255F0A" w:rsidRDefault="00255F0A" w:rsidP="00255F0A">
      <w:pPr>
        <w:spacing w:after="0" w:line="240" w:lineRule="auto"/>
        <w:rPr>
          <w:color w:val="0070C0"/>
        </w:rPr>
      </w:pPr>
      <w:proofErr w:type="gramStart"/>
      <w:r w:rsidRPr="00255F0A">
        <w:rPr>
          <w:color w:val="0070C0"/>
        </w:rPr>
        <w:t>(Fig2 and Supp. Fig5-10).</w:t>
      </w:r>
      <w:proofErr w:type="gramEnd"/>
      <w:r w:rsidRPr="00255F0A">
        <w:rPr>
          <w:color w:val="0070C0"/>
        </w:rPr>
        <w:t xml:space="preserve"> See figures we copied above.</w:t>
      </w:r>
    </w:p>
    <w:p w:rsidR="00255F0A" w:rsidRPr="00255F0A" w:rsidRDefault="00255F0A" w:rsidP="00255F0A">
      <w:pPr>
        <w:spacing w:after="0" w:line="240" w:lineRule="auto"/>
        <w:rPr>
          <w:color w:val="0070C0"/>
        </w:rPr>
      </w:pPr>
    </w:p>
    <w:p w:rsidR="00255F0A" w:rsidRDefault="00255F0A" w:rsidP="00255F0A">
      <w:pPr>
        <w:spacing w:after="0" w:line="240" w:lineRule="auto"/>
      </w:pPr>
      <w:r w:rsidRPr="00255F0A">
        <w:t xml:space="preserve">In detecting inter-chromosomal translocation, authors rightfully point out that </w:t>
      </w:r>
      <w:proofErr w:type="spellStart"/>
      <w:r w:rsidRPr="00255F0A">
        <w:t>interchromosomal</w:t>
      </w:r>
      <w:proofErr w:type="spellEnd"/>
      <w:r>
        <w:t xml:space="preserve"> </w:t>
      </w:r>
      <w:r w:rsidRPr="00255F0A">
        <w:t>interactions are confounded by compartmentalization (and sub-compartmentalization) effects</w:t>
      </w:r>
      <w:r>
        <w:t xml:space="preserve"> </w:t>
      </w:r>
      <w:r w:rsidRPr="00255F0A">
        <w:t>which may confound the translocation detection method. Authors try to normalize such effects</w:t>
      </w:r>
      <w:r>
        <w:t xml:space="preserve"> </w:t>
      </w:r>
      <w:r w:rsidRPr="00255F0A">
        <w:t>away by using an average matrix from different cell types, but this approach is flawed since</w:t>
      </w:r>
      <w:r>
        <w:t xml:space="preserve"> </w:t>
      </w:r>
      <w:r w:rsidRPr="00255F0A">
        <w:t>compartments can be dynamic across cell types. Can an alternative normalization strategy be</w:t>
      </w:r>
      <w:r>
        <w:t xml:space="preserve"> </w:t>
      </w:r>
      <w:r w:rsidRPr="00255F0A">
        <w:t xml:space="preserve">used where the effects of compartmentalization </w:t>
      </w:r>
      <w:proofErr w:type="gramStart"/>
      <w:r w:rsidRPr="00255F0A">
        <w:t>be</w:t>
      </w:r>
      <w:proofErr w:type="gramEnd"/>
      <w:r w:rsidRPr="00255F0A">
        <w:t xml:space="preserve"> normalized away in a cell type specific</w:t>
      </w:r>
      <w:r>
        <w:t xml:space="preserve"> </w:t>
      </w:r>
      <w:r w:rsidRPr="00255F0A">
        <w:t>manner?</w:t>
      </w:r>
      <w:r>
        <w:t xml:space="preserve"> </w:t>
      </w:r>
    </w:p>
    <w:p w:rsidR="00255F0A" w:rsidRPr="00255F0A" w:rsidRDefault="00255F0A" w:rsidP="00255F0A">
      <w:pPr>
        <w:spacing w:after="0" w:line="240" w:lineRule="auto"/>
        <w:rPr>
          <w:color w:val="0070C0"/>
        </w:rPr>
      </w:pPr>
      <w:r w:rsidRPr="00255F0A">
        <w:rPr>
          <w:color w:val="0070C0"/>
        </w:rPr>
        <w:t>We thank the reviewer for raising this interesting and important point. We do agree that A/B</w:t>
      </w:r>
      <w:r>
        <w:rPr>
          <w:color w:val="0070C0"/>
        </w:rPr>
        <w:t xml:space="preserve"> </w:t>
      </w:r>
      <w:r w:rsidRPr="00255F0A">
        <w:rPr>
          <w:color w:val="0070C0"/>
        </w:rPr>
        <w:t>compartmentalization has cell-type specificity. Below, we describe our effort to perform cell</w:t>
      </w:r>
      <w:r>
        <w:rPr>
          <w:color w:val="0070C0"/>
        </w:rPr>
        <w:t xml:space="preserve"> </w:t>
      </w:r>
      <w:r w:rsidRPr="00255F0A">
        <w:rPr>
          <w:color w:val="0070C0"/>
        </w:rPr>
        <w:t>type-specific normalization. Unfortunately, we find that while the procedure could remove the</w:t>
      </w:r>
      <w:r>
        <w:rPr>
          <w:color w:val="0070C0"/>
        </w:rPr>
        <w:t xml:space="preserve"> </w:t>
      </w:r>
      <w:r w:rsidRPr="00255F0A">
        <w:rPr>
          <w:color w:val="0070C0"/>
        </w:rPr>
        <w:t xml:space="preserve">A/B compartments in some cases, it could also introduce additional </w:t>
      </w:r>
      <w:proofErr w:type="spellStart"/>
      <w:r w:rsidRPr="00255F0A">
        <w:rPr>
          <w:color w:val="0070C0"/>
        </w:rPr>
        <w:t>artifacts</w:t>
      </w:r>
      <w:proofErr w:type="spellEnd"/>
      <w:r w:rsidRPr="00255F0A">
        <w:rPr>
          <w:color w:val="0070C0"/>
        </w:rPr>
        <w:t>.</w:t>
      </w:r>
    </w:p>
    <w:p w:rsidR="00255F0A" w:rsidRPr="00255F0A" w:rsidRDefault="00255F0A" w:rsidP="00255F0A">
      <w:pPr>
        <w:spacing w:after="0" w:line="240" w:lineRule="auto"/>
        <w:rPr>
          <w:color w:val="0070C0"/>
        </w:rPr>
      </w:pPr>
      <w:r w:rsidRPr="00255F0A">
        <w:rPr>
          <w:color w:val="0070C0"/>
        </w:rPr>
        <w:lastRenderedPageBreak/>
        <w:t xml:space="preserve">To normalize for this effect in each cell type, we tried the method by </w:t>
      </w:r>
      <w:proofErr w:type="spellStart"/>
      <w:r w:rsidRPr="00255F0A">
        <w:rPr>
          <w:color w:val="0070C0"/>
        </w:rPr>
        <w:t>Imakaev</w:t>
      </w:r>
      <w:proofErr w:type="spellEnd"/>
      <w:r w:rsidRPr="00255F0A">
        <w:rPr>
          <w:color w:val="0070C0"/>
        </w:rPr>
        <w:t xml:space="preserve"> et al [5], which</w:t>
      </w:r>
      <w:r>
        <w:rPr>
          <w:color w:val="0070C0"/>
        </w:rPr>
        <w:t xml:space="preserve"> </w:t>
      </w:r>
      <w:r w:rsidRPr="00255F0A">
        <w:rPr>
          <w:color w:val="0070C0"/>
        </w:rPr>
        <w:t>applies eigenvector decomposition to the inter-chromosomal contact map and can subsequently</w:t>
      </w:r>
      <w:r>
        <w:rPr>
          <w:color w:val="0070C0"/>
        </w:rPr>
        <w:t xml:space="preserve"> </w:t>
      </w:r>
      <w:r w:rsidRPr="00255F0A">
        <w:rPr>
          <w:color w:val="0070C0"/>
        </w:rPr>
        <w:t>remove the lower-eigenvalue components that may correspond to compartments. Specifically,</w:t>
      </w:r>
      <w:r>
        <w:rPr>
          <w:color w:val="0070C0"/>
        </w:rPr>
        <w:t xml:space="preserve"> </w:t>
      </w:r>
      <w:r w:rsidRPr="00255F0A">
        <w:rPr>
          <w:color w:val="0070C0"/>
        </w:rPr>
        <w:t xml:space="preserve">the contact </w:t>
      </w:r>
      <w:r w:rsidRPr="00255F0A">
        <w:rPr>
          <w:rFonts w:ascii="Cambria Math" w:hAnsi="Cambria Math" w:cs="Cambria Math"/>
          <w:color w:val="0070C0"/>
        </w:rPr>
        <w:t>𝑇</w:t>
      </w:r>
      <w:r w:rsidRPr="00255F0A">
        <w:rPr>
          <w:color w:val="0070C0"/>
        </w:rPr>
        <w:t xml:space="preserve"> between bin </w:t>
      </w:r>
      <w:r w:rsidRPr="00255F0A">
        <w:rPr>
          <w:rFonts w:ascii="Cambria Math" w:hAnsi="Cambria Math" w:cs="Cambria Math"/>
          <w:color w:val="0070C0"/>
        </w:rPr>
        <w:t>𝑖</w:t>
      </w:r>
      <w:r w:rsidRPr="00255F0A">
        <w:rPr>
          <w:color w:val="0070C0"/>
        </w:rPr>
        <w:t xml:space="preserve"> and </w:t>
      </w:r>
      <w:r w:rsidRPr="00255F0A">
        <w:rPr>
          <w:rFonts w:ascii="Cambria Math" w:hAnsi="Cambria Math" w:cs="Cambria Math"/>
          <w:color w:val="0070C0"/>
        </w:rPr>
        <w:t>𝑗</w:t>
      </w:r>
      <w:r w:rsidRPr="00255F0A">
        <w:rPr>
          <w:color w:val="0070C0"/>
        </w:rPr>
        <w:t xml:space="preserve"> can be generated by the following equation:</w:t>
      </w:r>
    </w:p>
    <w:p w:rsidR="00255F0A" w:rsidRDefault="00255F0A" w:rsidP="00255F0A">
      <w:pPr>
        <w:spacing w:after="0" w:line="240" w:lineRule="auto"/>
        <w:rPr>
          <w:rFonts w:ascii="Cambria Math" w:hAnsi="Cambria Math" w:cs="Cambria Math"/>
          <w:color w:val="0070C0"/>
        </w:rPr>
      </w:pPr>
    </w:p>
    <w:p w:rsidR="00255F0A" w:rsidRPr="00255F0A" w:rsidRDefault="00255F0A" w:rsidP="00255F0A">
      <w:pPr>
        <w:spacing w:after="0" w:line="240" w:lineRule="auto"/>
        <w:jc w:val="center"/>
        <w:rPr>
          <w:rFonts w:ascii="Cambria Math" w:hAnsi="Cambria Math" w:cs="Cambria Math"/>
          <w:color w:val="0070C0"/>
        </w:rPr>
      </w:pPr>
      <w:proofErr w:type="spellStart"/>
      <w:r>
        <w:rPr>
          <w:rFonts w:ascii="Cambria Math" w:hAnsi="Cambria Math" w:cs="Cambria Math"/>
          <w:i/>
          <w:color w:val="0070C0"/>
        </w:rPr>
        <w:t>T</w:t>
      </w:r>
      <w:r>
        <w:rPr>
          <w:rFonts w:ascii="Cambria Math" w:hAnsi="Cambria Math" w:cs="Cambria Math"/>
          <w:i/>
          <w:color w:val="0070C0"/>
          <w:vertAlign w:val="subscript"/>
        </w:rPr>
        <w:t>ij</w:t>
      </w:r>
      <w:proofErr w:type="spellEnd"/>
      <w:r>
        <w:rPr>
          <w:rFonts w:ascii="Cambria Math" w:hAnsi="Cambria Math" w:cs="Cambria Math"/>
          <w:i/>
          <w:color w:val="0070C0"/>
        </w:rPr>
        <w:t xml:space="preserve"> = </w:t>
      </w:r>
      <w:proofErr w:type="spellStart"/>
      <w:r w:rsidRPr="00255F0A">
        <w:rPr>
          <w:rFonts w:ascii="Cambria Math" w:hAnsi="Cambria Math" w:cs="Cambria Math"/>
          <w:color w:val="0070C0"/>
        </w:rPr>
        <w:t>Σ</w:t>
      </w:r>
      <w:r>
        <w:rPr>
          <w:rFonts w:ascii="Cambria Math" w:hAnsi="Cambria Math" w:cs="Cambria Math"/>
          <w:color w:val="0070C0"/>
          <w:vertAlign w:val="subscript"/>
        </w:rPr>
        <w:t>k</w:t>
      </w:r>
      <w:r>
        <w:rPr>
          <w:rFonts w:ascii="Cambria Math" w:hAnsi="Cambria Math" w:cs="Cambria Math"/>
          <w:color w:val="0070C0"/>
        </w:rPr>
        <w:t>λ</w:t>
      </w:r>
      <w:r>
        <w:rPr>
          <w:rFonts w:ascii="Cambria Math" w:hAnsi="Cambria Math" w:cs="Cambria Math"/>
          <w:color w:val="0070C0"/>
          <w:vertAlign w:val="subscript"/>
        </w:rPr>
        <w:t>k</w:t>
      </w:r>
      <w:r>
        <w:rPr>
          <w:rFonts w:ascii="Cambria Math" w:hAnsi="Cambria Math" w:cs="Cambria Math"/>
          <w:i/>
          <w:color w:val="0070C0"/>
        </w:rPr>
        <w:t>E</w:t>
      </w:r>
      <w:r>
        <w:rPr>
          <w:rFonts w:ascii="Cambria Math" w:hAnsi="Cambria Math" w:cs="Cambria Math"/>
          <w:i/>
          <w:color w:val="0070C0"/>
          <w:vertAlign w:val="subscript"/>
        </w:rPr>
        <w:t>i</w:t>
      </w:r>
      <w:r>
        <w:rPr>
          <w:rFonts w:ascii="Cambria Math" w:hAnsi="Cambria Math" w:cs="Cambria Math"/>
          <w:i/>
          <w:color w:val="0070C0"/>
          <w:vertAlign w:val="superscript"/>
        </w:rPr>
        <w:t>k</w:t>
      </w:r>
      <w:r>
        <w:rPr>
          <w:rFonts w:ascii="Cambria Math" w:hAnsi="Cambria Math" w:cs="Cambria Math"/>
          <w:i/>
          <w:color w:val="0070C0"/>
        </w:rPr>
        <w:t>E</w:t>
      </w:r>
      <w:r>
        <w:rPr>
          <w:rFonts w:ascii="Cambria Math" w:hAnsi="Cambria Math" w:cs="Cambria Math"/>
          <w:i/>
          <w:color w:val="0070C0"/>
          <w:vertAlign w:val="subscript"/>
        </w:rPr>
        <w:t>j</w:t>
      </w:r>
      <w:r>
        <w:rPr>
          <w:rFonts w:ascii="Cambria Math" w:hAnsi="Cambria Math" w:cs="Cambria Math"/>
          <w:i/>
          <w:color w:val="0070C0"/>
          <w:vertAlign w:val="superscript"/>
        </w:rPr>
        <w:t>k</w:t>
      </w:r>
      <w:proofErr w:type="spellEnd"/>
      <w:r>
        <w:rPr>
          <w:rFonts w:ascii="Cambria Math" w:hAnsi="Cambria Math" w:cs="Cambria Math"/>
          <w:i/>
          <w:color w:val="0070C0"/>
        </w:rPr>
        <w:t xml:space="preserve"> </w:t>
      </w:r>
      <w:r>
        <w:rPr>
          <w:rFonts w:ascii="Cambria Math" w:hAnsi="Cambria Math" w:cs="Cambria Math"/>
          <w:color w:val="0070C0"/>
        </w:rPr>
        <w:t>+ &lt;</w:t>
      </w:r>
      <w:r>
        <w:rPr>
          <w:rFonts w:ascii="Cambria Math" w:hAnsi="Cambria Math" w:cs="Cambria Math"/>
          <w:i/>
          <w:color w:val="0070C0"/>
        </w:rPr>
        <w:t>T</w:t>
      </w:r>
      <w:r>
        <w:rPr>
          <w:rFonts w:ascii="Cambria Math" w:hAnsi="Cambria Math" w:cs="Cambria Math"/>
          <w:color w:val="0070C0"/>
        </w:rPr>
        <w:t>&gt;</w:t>
      </w:r>
    </w:p>
    <w:p w:rsidR="00255F0A" w:rsidRDefault="00255F0A" w:rsidP="00255F0A">
      <w:pPr>
        <w:spacing w:after="0" w:line="240" w:lineRule="auto"/>
        <w:rPr>
          <w:rFonts w:ascii="Cambria Math" w:hAnsi="Cambria Math" w:cs="Cambria Math"/>
          <w:color w:val="0070C0"/>
        </w:rPr>
      </w:pPr>
    </w:p>
    <w:p w:rsidR="00255F0A" w:rsidRPr="00255F0A" w:rsidRDefault="00255F0A" w:rsidP="00255F0A">
      <w:pPr>
        <w:spacing w:after="0" w:line="240" w:lineRule="auto"/>
        <w:rPr>
          <w:color w:val="0070C0"/>
        </w:rPr>
      </w:pPr>
      <w:r w:rsidRPr="00255F0A">
        <w:rPr>
          <w:color w:val="0070C0"/>
        </w:rPr>
        <w:t xml:space="preserve">&lt; </w:t>
      </w:r>
      <w:r w:rsidRPr="00255F0A">
        <w:rPr>
          <w:rFonts w:ascii="Cambria Math" w:hAnsi="Cambria Math" w:cs="Cambria Math"/>
          <w:color w:val="0070C0"/>
        </w:rPr>
        <w:t>𝑇</w:t>
      </w:r>
      <w:r w:rsidRPr="00255F0A">
        <w:rPr>
          <w:color w:val="0070C0"/>
        </w:rPr>
        <w:t xml:space="preserve"> &gt; is the mean value of the matrix, </w:t>
      </w:r>
      <w:r w:rsidRPr="00255F0A">
        <w:rPr>
          <w:rFonts w:ascii="Cambria Math" w:hAnsi="Cambria Math" w:cs="Cambria Math"/>
          <w:color w:val="0070C0"/>
        </w:rPr>
        <w:t>𝜆</w:t>
      </w:r>
      <w:r w:rsidRPr="00255F0A">
        <w:rPr>
          <w:color w:val="0070C0"/>
        </w:rPr>
        <w:t xml:space="preserve">) is the kth eigenvalue, and </w:t>
      </w:r>
      <w:r w:rsidRPr="00255F0A">
        <w:rPr>
          <w:rFonts w:ascii="Cambria Math" w:hAnsi="Cambria Math" w:cs="Cambria Math"/>
          <w:color w:val="0070C0"/>
        </w:rPr>
        <w:t>𝐸</w:t>
      </w:r>
      <w:r w:rsidRPr="00255F0A">
        <w:rPr>
          <w:color w:val="0070C0"/>
        </w:rPr>
        <w:t>) is the corresponding</w:t>
      </w:r>
      <w:r>
        <w:rPr>
          <w:color w:val="0070C0"/>
        </w:rPr>
        <w:t xml:space="preserve"> </w:t>
      </w:r>
      <w:r w:rsidRPr="00255F0A">
        <w:rPr>
          <w:color w:val="0070C0"/>
        </w:rPr>
        <w:t xml:space="preserve">eigenvector, where </w:t>
      </w:r>
      <w:r w:rsidRPr="00255F0A">
        <w:rPr>
          <w:rFonts w:ascii="Cambria Math" w:hAnsi="Cambria Math" w:cs="Cambria Math"/>
          <w:color w:val="0070C0"/>
        </w:rPr>
        <w:t>𝑘</w:t>
      </w:r>
      <w:r w:rsidRPr="00255F0A">
        <w:rPr>
          <w:color w:val="0070C0"/>
        </w:rPr>
        <w:t xml:space="preserve"> runs from 1 to </w:t>
      </w:r>
      <w:r w:rsidRPr="00255F0A">
        <w:rPr>
          <w:rFonts w:ascii="Cambria Math" w:hAnsi="Cambria Math" w:cs="Cambria Math"/>
          <w:color w:val="0070C0"/>
        </w:rPr>
        <w:t>𝑁</w:t>
      </w:r>
      <w:r w:rsidRPr="00255F0A">
        <w:rPr>
          <w:color w:val="0070C0"/>
        </w:rPr>
        <w:t>.</w:t>
      </w:r>
    </w:p>
    <w:p w:rsidR="00255F0A" w:rsidRDefault="00255F0A" w:rsidP="00255F0A">
      <w:pPr>
        <w:spacing w:after="0" w:line="240" w:lineRule="auto"/>
        <w:rPr>
          <w:color w:val="0070C0"/>
        </w:rPr>
      </w:pPr>
      <w:r w:rsidRPr="00255F0A">
        <w:rPr>
          <w:color w:val="0070C0"/>
        </w:rPr>
        <w:t xml:space="preserve">As suggested in </w:t>
      </w:r>
      <w:proofErr w:type="spellStart"/>
      <w:r w:rsidRPr="00255F0A">
        <w:rPr>
          <w:color w:val="0070C0"/>
        </w:rPr>
        <w:t>Imakaev’s</w:t>
      </w:r>
      <w:proofErr w:type="spellEnd"/>
      <w:r w:rsidRPr="00255F0A">
        <w:rPr>
          <w:color w:val="0070C0"/>
        </w:rPr>
        <w:t xml:space="preserve"> paper, we used the top three eigenvectors, which are robust enough</w:t>
      </w:r>
      <w:r>
        <w:rPr>
          <w:color w:val="0070C0"/>
        </w:rPr>
        <w:t xml:space="preserve"> </w:t>
      </w:r>
      <w:r w:rsidRPr="00255F0A">
        <w:rPr>
          <w:color w:val="0070C0"/>
        </w:rPr>
        <w:t>for the reconstruction of the inter-chromosomal matrices, to reconstruct the inter-chromosomal</w:t>
      </w:r>
      <w:r>
        <w:rPr>
          <w:color w:val="0070C0"/>
        </w:rPr>
        <w:t xml:space="preserve"> </w:t>
      </w:r>
      <w:r w:rsidRPr="00255F0A">
        <w:rPr>
          <w:color w:val="0070C0"/>
        </w:rPr>
        <w:t xml:space="preserve">interactions using the above equation. We show two examples of the reconstructed </w:t>
      </w:r>
      <w:proofErr w:type="spellStart"/>
      <w:r w:rsidRPr="00255F0A">
        <w:rPr>
          <w:color w:val="0070C0"/>
        </w:rPr>
        <w:t>interchromosomal</w:t>
      </w:r>
      <w:proofErr w:type="spellEnd"/>
      <w:r>
        <w:rPr>
          <w:color w:val="0070C0"/>
        </w:rPr>
        <w:t xml:space="preserve"> </w:t>
      </w:r>
      <w:r w:rsidRPr="00255F0A">
        <w:rPr>
          <w:color w:val="0070C0"/>
        </w:rPr>
        <w:t>interaction maps below:</w:t>
      </w:r>
    </w:p>
    <w:p w:rsidR="00255F0A" w:rsidRDefault="00255F0A" w:rsidP="00255F0A">
      <w:pPr>
        <w:spacing w:after="0" w:line="240" w:lineRule="auto"/>
        <w:rPr>
          <w:color w:val="0070C0"/>
        </w:rPr>
      </w:pPr>
      <w:r>
        <w:rPr>
          <w:noProof/>
          <w:color w:val="0070C0"/>
          <w:lang w:eastAsia="en-GB"/>
        </w:rPr>
        <w:drawing>
          <wp:inline distT="0" distB="0" distL="0" distR="0" wp14:anchorId="3AA2C742" wp14:editId="11C309F1">
            <wp:extent cx="5731510" cy="273103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731033"/>
                    </a:xfrm>
                    <a:prstGeom prst="rect">
                      <a:avLst/>
                    </a:prstGeom>
                    <a:noFill/>
                    <a:ln>
                      <a:noFill/>
                    </a:ln>
                  </pic:spPr>
                </pic:pic>
              </a:graphicData>
            </a:graphic>
          </wp:inline>
        </w:drawing>
      </w:r>
      <w:r w:rsidRPr="00255F0A">
        <w:rPr>
          <w:color w:val="0070C0"/>
        </w:rPr>
        <w:t>Our data indicate that the re-constructed inter-chromosomal interaction maps (upper-right</w:t>
      </w:r>
      <w:r>
        <w:rPr>
          <w:color w:val="0070C0"/>
        </w:rPr>
        <w:t xml:space="preserve"> </w:t>
      </w:r>
      <w:r w:rsidRPr="00255F0A">
        <w:rPr>
          <w:color w:val="0070C0"/>
        </w:rPr>
        <w:t>corner of each subfigure) reflect the A/B compartment patterns well. We then obtain the</w:t>
      </w:r>
      <w:r>
        <w:rPr>
          <w:color w:val="0070C0"/>
        </w:rPr>
        <w:t xml:space="preserve"> </w:t>
      </w:r>
      <w:r w:rsidRPr="00255F0A">
        <w:rPr>
          <w:color w:val="0070C0"/>
        </w:rPr>
        <w:t>enrichment matrix (adjusted matrix) by dividing the observed (original) by the expected</w:t>
      </w:r>
      <w:r>
        <w:rPr>
          <w:color w:val="0070C0"/>
        </w:rPr>
        <w:t xml:space="preserve"> </w:t>
      </w:r>
      <w:r w:rsidRPr="00255F0A">
        <w:rPr>
          <w:color w:val="0070C0"/>
        </w:rPr>
        <w:t>(reconstructed) matrix.</w:t>
      </w:r>
      <w:r>
        <w:rPr>
          <w:color w:val="0070C0"/>
        </w:rPr>
        <w:t xml:space="preserve"> </w:t>
      </w:r>
      <w:r w:rsidRPr="00255F0A">
        <w:rPr>
          <w:color w:val="0070C0"/>
        </w:rPr>
        <w:t xml:space="preserve">However, we found that although the compartment patterns may be reduced in some </w:t>
      </w:r>
      <w:proofErr w:type="spellStart"/>
      <w:r w:rsidRPr="00255F0A">
        <w:rPr>
          <w:color w:val="0070C0"/>
        </w:rPr>
        <w:t>interchromosomal</w:t>
      </w:r>
      <w:proofErr w:type="spellEnd"/>
      <w:r>
        <w:rPr>
          <w:color w:val="0070C0"/>
        </w:rPr>
        <w:t xml:space="preserve"> </w:t>
      </w:r>
      <w:r w:rsidRPr="00255F0A">
        <w:rPr>
          <w:color w:val="0070C0"/>
        </w:rPr>
        <w:t>interaction maps by the normalization process, it also introduces some bias. In</w:t>
      </w:r>
      <w:r>
        <w:rPr>
          <w:color w:val="0070C0"/>
        </w:rPr>
        <w:t xml:space="preserve"> </w:t>
      </w:r>
      <w:r w:rsidRPr="00255F0A">
        <w:rPr>
          <w:color w:val="0070C0"/>
        </w:rPr>
        <w:t>the figure below, we illustrate two different cases. In the top line (chr1-chr20), the A/B</w:t>
      </w:r>
      <w:r>
        <w:rPr>
          <w:color w:val="0070C0"/>
        </w:rPr>
        <w:t xml:space="preserve"> </w:t>
      </w:r>
      <w:r w:rsidRPr="00255F0A">
        <w:rPr>
          <w:color w:val="0070C0"/>
        </w:rPr>
        <w:t>compartment was removed successfully, as the lower-left corner that corresponds to the A/B</w:t>
      </w:r>
      <w:r>
        <w:rPr>
          <w:color w:val="0070C0"/>
        </w:rPr>
        <w:t xml:space="preserve"> </w:t>
      </w:r>
      <w:r w:rsidRPr="00255F0A">
        <w:rPr>
          <w:color w:val="0070C0"/>
        </w:rPr>
        <w:t>compartment has disappeared in the adjusted matrix. In the second example, however,</w:t>
      </w:r>
      <w:r>
        <w:rPr>
          <w:color w:val="0070C0"/>
        </w:rPr>
        <w:t xml:space="preserve"> </w:t>
      </w:r>
      <w:r w:rsidRPr="00255F0A">
        <w:rPr>
          <w:color w:val="0070C0"/>
        </w:rPr>
        <w:t xml:space="preserve">reduction of the A/B compartment was hardly noticeable. Instead, a new </w:t>
      </w:r>
      <w:proofErr w:type="spellStart"/>
      <w:r w:rsidRPr="00255F0A">
        <w:rPr>
          <w:color w:val="0070C0"/>
        </w:rPr>
        <w:t>artifactual</w:t>
      </w:r>
      <w:proofErr w:type="spellEnd"/>
      <w:r w:rsidRPr="00255F0A">
        <w:rPr>
          <w:color w:val="0070C0"/>
        </w:rPr>
        <w:t xml:space="preserve"> </w:t>
      </w:r>
      <w:proofErr w:type="gramStart"/>
      <w:r w:rsidRPr="00255F0A">
        <w:rPr>
          <w:color w:val="0070C0"/>
        </w:rPr>
        <w:t>interactions</w:t>
      </w:r>
      <w:proofErr w:type="gramEnd"/>
      <w:r>
        <w:rPr>
          <w:color w:val="0070C0"/>
        </w:rPr>
        <w:t xml:space="preserve"> </w:t>
      </w:r>
      <w:r w:rsidRPr="00255F0A">
        <w:rPr>
          <w:color w:val="0070C0"/>
        </w:rPr>
        <w:t>seems to have appeared (small strip noted in blue).</w:t>
      </w: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2516736"/>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516736"/>
                    </a:xfrm>
                    <a:prstGeom prst="rect">
                      <a:avLst/>
                    </a:prstGeom>
                    <a:noFill/>
                    <a:ln>
                      <a:noFill/>
                    </a:ln>
                  </pic:spPr>
                </pic:pic>
              </a:graphicData>
            </a:graphic>
          </wp:inline>
        </w:drawing>
      </w:r>
    </w:p>
    <w:p w:rsidR="00255F0A" w:rsidRDefault="00255F0A" w:rsidP="00255F0A">
      <w:pPr>
        <w:spacing w:after="0" w:line="240" w:lineRule="auto"/>
        <w:rPr>
          <w:color w:val="0070C0"/>
        </w:rPr>
      </w:pPr>
      <w:r w:rsidRPr="00255F0A">
        <w:rPr>
          <w:color w:val="0070C0"/>
        </w:rPr>
        <w:t>Given these results, we have decided that the current method of averaging all the Hi-C maps in</w:t>
      </w:r>
      <w:r>
        <w:rPr>
          <w:color w:val="0070C0"/>
        </w:rPr>
        <w:t xml:space="preserve"> </w:t>
      </w:r>
      <w:r w:rsidRPr="00255F0A">
        <w:rPr>
          <w:color w:val="0070C0"/>
        </w:rPr>
        <w:t>normal cells as the background is a reasonable approach for now.</w:t>
      </w:r>
    </w:p>
    <w:p w:rsidR="00255F0A" w:rsidRDefault="00255F0A" w:rsidP="00255F0A">
      <w:pPr>
        <w:spacing w:after="0" w:line="240" w:lineRule="auto"/>
        <w:rPr>
          <w:color w:val="0070C0"/>
        </w:rPr>
      </w:pPr>
    </w:p>
    <w:p w:rsidR="00255F0A" w:rsidRPr="00255F0A" w:rsidRDefault="00255F0A" w:rsidP="00255F0A">
      <w:pPr>
        <w:spacing w:after="0" w:line="240" w:lineRule="auto"/>
      </w:pPr>
      <w:r w:rsidRPr="00255F0A">
        <w:t>What are the characteristics of the translocations detected by WGS (</w:t>
      </w:r>
      <w:proofErr w:type="spellStart"/>
      <w:r w:rsidRPr="00255F0A">
        <w:t>Meekkat</w:t>
      </w:r>
      <w:proofErr w:type="spellEnd"/>
      <w:r w:rsidRPr="00255F0A">
        <w:t xml:space="preserve"> and </w:t>
      </w:r>
      <w:proofErr w:type="spellStart"/>
      <w:r w:rsidRPr="00255F0A">
        <w:t>Delly</w:t>
      </w:r>
      <w:proofErr w:type="spellEnd"/>
      <w:r w:rsidRPr="00255F0A">
        <w:t>) but not</w:t>
      </w:r>
      <w:r w:rsidRPr="00255F0A">
        <w:t xml:space="preserve"> </w:t>
      </w:r>
      <w:r w:rsidRPr="00255F0A">
        <w:t>by HINT, if any? Is there any evidence suggesting these are regions are enriched in certain</w:t>
      </w:r>
      <w:r w:rsidRPr="00255F0A">
        <w:t xml:space="preserve"> </w:t>
      </w:r>
      <w:r w:rsidRPr="00255F0A">
        <w:t>regions with a particular feature of chromatin organization confound the Hi-C signal? Are they</w:t>
      </w:r>
      <w:r w:rsidRPr="00255F0A">
        <w:t xml:space="preserve"> </w:t>
      </w:r>
      <w:r w:rsidRPr="00255F0A">
        <w:t>enriched in a particular compartment or a region? I realize the authors already attempted to</w:t>
      </w:r>
      <w:r w:rsidRPr="00255F0A">
        <w:t xml:space="preserve"> </w:t>
      </w:r>
      <w:r w:rsidRPr="00255F0A">
        <w:t>characterize such discrepancies in pages 9-10 but additional findings can make it more</w:t>
      </w:r>
      <w:r w:rsidRPr="00255F0A">
        <w:t xml:space="preserve"> </w:t>
      </w:r>
      <w:r w:rsidRPr="00255F0A">
        <w:t>compelling.</w:t>
      </w:r>
    </w:p>
    <w:p w:rsidR="00255F0A" w:rsidRPr="00255F0A" w:rsidRDefault="00255F0A" w:rsidP="00255F0A">
      <w:pPr>
        <w:spacing w:after="0" w:line="240" w:lineRule="auto"/>
        <w:rPr>
          <w:color w:val="0070C0"/>
        </w:rPr>
      </w:pPr>
      <w:r w:rsidRPr="00255F0A">
        <w:rPr>
          <w:color w:val="0070C0"/>
        </w:rPr>
        <w:t>This is an excellent question. For the translocations detected only in WGS, 6 out of 15 are</w:t>
      </w:r>
      <w:r>
        <w:rPr>
          <w:color w:val="0070C0"/>
        </w:rPr>
        <w:t xml:space="preserve"> </w:t>
      </w:r>
      <w:r w:rsidRPr="00255F0A">
        <w:rPr>
          <w:color w:val="0070C0"/>
        </w:rPr>
        <w:t>missed in Hi-C simply due to its low resolution. Due to the nature of the assay, the coverage</w:t>
      </w:r>
      <w:r>
        <w:rPr>
          <w:color w:val="0070C0"/>
        </w:rPr>
        <w:t xml:space="preserve"> </w:t>
      </w:r>
      <w:r w:rsidRPr="00255F0A">
        <w:rPr>
          <w:color w:val="0070C0"/>
        </w:rPr>
        <w:t>particularly in the intergenic regions is sparse regardless of the sequencing depth. As an</w:t>
      </w:r>
      <w:r>
        <w:rPr>
          <w:color w:val="0070C0"/>
        </w:rPr>
        <w:t xml:space="preserve"> </w:t>
      </w:r>
      <w:r w:rsidRPr="00255F0A">
        <w:rPr>
          <w:color w:val="0070C0"/>
        </w:rPr>
        <w:t>example (Supp. Fig. 16A-B, copied below), when there is a translocation that turns out to be an</w:t>
      </w:r>
      <w:r>
        <w:rPr>
          <w:color w:val="0070C0"/>
        </w:rPr>
        <w:t xml:space="preserve"> </w:t>
      </w:r>
      <w:r w:rsidRPr="00255F0A">
        <w:rPr>
          <w:color w:val="0070C0"/>
        </w:rPr>
        <w:t>insertion of a small segment from another chromosome, the Hi-C map does not show strong</w:t>
      </w:r>
      <w:r>
        <w:rPr>
          <w:color w:val="0070C0"/>
        </w:rPr>
        <w:t xml:space="preserve"> </w:t>
      </w:r>
      <w:r w:rsidRPr="00255F0A">
        <w:rPr>
          <w:color w:val="0070C0"/>
        </w:rPr>
        <w:t>evidence (indicated by a red dotted lines in the lower-left panel of each of the two subfigures</w:t>
      </w:r>
      <w:r>
        <w:rPr>
          <w:color w:val="0070C0"/>
        </w:rPr>
        <w:t xml:space="preserve"> </w:t>
      </w:r>
      <w:r w:rsidRPr="00255F0A">
        <w:rPr>
          <w:color w:val="0070C0"/>
        </w:rPr>
        <w:t>below). When one zooms into that area, there is some interaction indicative of the translocated</w:t>
      </w:r>
      <w:r>
        <w:rPr>
          <w:color w:val="0070C0"/>
        </w:rPr>
        <w:t xml:space="preserve"> </w:t>
      </w:r>
      <w:r w:rsidRPr="00255F0A">
        <w:rPr>
          <w:color w:val="0070C0"/>
        </w:rPr>
        <w:t>boundary; however, the interaction is too weak to be detected (without incurring too many false</w:t>
      </w:r>
      <w:r>
        <w:rPr>
          <w:color w:val="0070C0"/>
        </w:rPr>
        <w:t xml:space="preserve"> </w:t>
      </w:r>
      <w:r w:rsidRPr="00255F0A">
        <w:rPr>
          <w:color w:val="0070C0"/>
        </w:rPr>
        <w:t>positives).</w:t>
      </w:r>
    </w:p>
    <w:p w:rsidR="00255F0A" w:rsidRPr="00255F0A" w:rsidRDefault="00255F0A" w:rsidP="00255F0A">
      <w:pPr>
        <w:spacing w:after="0" w:line="240" w:lineRule="auto"/>
        <w:rPr>
          <w:color w:val="0070C0"/>
        </w:rPr>
      </w:pPr>
      <w:r w:rsidRPr="00255F0A">
        <w:rPr>
          <w:color w:val="0070C0"/>
        </w:rPr>
        <w:t>Two of the other 9 cases appear to be complex SVs. In the two examples we show in Supp.</w:t>
      </w:r>
      <w:r>
        <w:rPr>
          <w:color w:val="0070C0"/>
        </w:rPr>
        <w:t xml:space="preserve"> </w:t>
      </w:r>
      <w:r w:rsidRPr="00255F0A">
        <w:rPr>
          <w:color w:val="0070C0"/>
        </w:rPr>
        <w:t>Fig17 (copied below), discordant reads around the breakpoint are from two different</w:t>
      </w:r>
      <w:r>
        <w:rPr>
          <w:color w:val="0070C0"/>
        </w:rPr>
        <w:t xml:space="preserve"> </w:t>
      </w:r>
      <w:r w:rsidRPr="00255F0A">
        <w:rPr>
          <w:color w:val="0070C0"/>
        </w:rPr>
        <w:t xml:space="preserve">chromosomes (as indicated by the two different </w:t>
      </w:r>
      <w:proofErr w:type="spellStart"/>
      <w:r w:rsidRPr="00255F0A">
        <w:rPr>
          <w:color w:val="0070C0"/>
        </w:rPr>
        <w:t>colors</w:t>
      </w:r>
      <w:proofErr w:type="spellEnd"/>
      <w:r w:rsidRPr="00255F0A">
        <w:rPr>
          <w:color w:val="0070C0"/>
        </w:rPr>
        <w:t>). Regardless of the exact details of the</w:t>
      </w:r>
      <w:r>
        <w:rPr>
          <w:color w:val="0070C0"/>
        </w:rPr>
        <w:t xml:space="preserve"> </w:t>
      </w:r>
      <w:r w:rsidRPr="00255F0A">
        <w:rPr>
          <w:color w:val="0070C0"/>
        </w:rPr>
        <w:t>SV, it is clear that the Hi-C map (lower-left panel) does not capture the interactions and thus</w:t>
      </w:r>
      <w:r>
        <w:rPr>
          <w:color w:val="0070C0"/>
        </w:rPr>
        <w:t xml:space="preserve"> </w:t>
      </w:r>
      <w:proofErr w:type="spellStart"/>
      <w:r w:rsidRPr="00255F0A">
        <w:rPr>
          <w:color w:val="0070C0"/>
        </w:rPr>
        <w:t>HiNT</w:t>
      </w:r>
      <w:proofErr w:type="spellEnd"/>
      <w:r w:rsidRPr="00255F0A">
        <w:rPr>
          <w:color w:val="0070C0"/>
        </w:rPr>
        <w:t xml:space="preserve"> cannot detect them.</w:t>
      </w:r>
    </w:p>
    <w:p w:rsidR="00255F0A" w:rsidRDefault="00255F0A" w:rsidP="00255F0A">
      <w:pPr>
        <w:spacing w:after="0" w:line="240" w:lineRule="auto"/>
        <w:rPr>
          <w:color w:val="0070C0"/>
        </w:rPr>
      </w:pPr>
      <w:r w:rsidRPr="00255F0A">
        <w:rPr>
          <w:color w:val="0070C0"/>
        </w:rPr>
        <w:t>For the remaining 7 cases, we think these are false positive calls in WGS, often occurring in</w:t>
      </w:r>
      <w:r>
        <w:rPr>
          <w:color w:val="0070C0"/>
        </w:rPr>
        <w:t xml:space="preserve"> </w:t>
      </w:r>
      <w:r w:rsidRPr="00255F0A">
        <w:rPr>
          <w:color w:val="0070C0"/>
        </w:rPr>
        <w:t>repetitive regions. We find that the discordant reads from WGS for these cases contain a large</w:t>
      </w:r>
      <w:r>
        <w:rPr>
          <w:color w:val="0070C0"/>
        </w:rPr>
        <w:t xml:space="preserve"> </w:t>
      </w:r>
      <w:r w:rsidRPr="00255F0A">
        <w:rPr>
          <w:color w:val="0070C0"/>
        </w:rPr>
        <w:t>fraction of single nucleotide polymorphisms or have low mapping qualities, indicating issues in</w:t>
      </w:r>
      <w:r>
        <w:rPr>
          <w:color w:val="0070C0"/>
        </w:rPr>
        <w:t xml:space="preserve"> </w:t>
      </w:r>
      <w:r w:rsidRPr="00255F0A">
        <w:rPr>
          <w:color w:val="0070C0"/>
        </w:rPr>
        <w:t>read alignment (Supp. Fig. 18, copied below). Consistent with those being false positive WGS</w:t>
      </w:r>
      <w:r>
        <w:rPr>
          <w:color w:val="0070C0"/>
        </w:rPr>
        <w:t xml:space="preserve"> </w:t>
      </w:r>
      <w:r w:rsidRPr="00255F0A">
        <w:rPr>
          <w:color w:val="0070C0"/>
        </w:rPr>
        <w:t>calls, no translocation-associated features are found in the Hi-C interaction maps.</w:t>
      </w:r>
    </w:p>
    <w:p w:rsidR="001011DB" w:rsidRDefault="001011DB" w:rsidP="00255F0A">
      <w:pPr>
        <w:spacing w:after="0" w:line="240" w:lineRule="auto"/>
        <w:rPr>
          <w:color w:val="0070C0"/>
        </w:rPr>
      </w:pPr>
    </w:p>
    <w:p w:rsidR="001011DB" w:rsidRDefault="001011DB" w:rsidP="00255F0A">
      <w:pPr>
        <w:spacing w:after="0" w:line="240" w:lineRule="auto"/>
        <w:rPr>
          <w:color w:val="0070C0"/>
        </w:rPr>
      </w:pPr>
      <w:r w:rsidRPr="001011DB">
        <w:rPr>
          <w:color w:val="0070C0"/>
        </w:rPr>
        <w:t>Examples of small segment inter-chromosomal insertional translocations</w:t>
      </w:r>
    </w:p>
    <w:p w:rsidR="00255F0A" w:rsidRDefault="00255F0A" w:rsidP="00255F0A">
      <w:pPr>
        <w:spacing w:after="0" w:line="240" w:lineRule="auto"/>
        <w:rPr>
          <w:color w:val="0070C0"/>
        </w:rPr>
      </w:pPr>
    </w:p>
    <w:p w:rsidR="00255F0A" w:rsidRDefault="00255F0A" w:rsidP="00255F0A">
      <w:pPr>
        <w:spacing w:after="0" w:line="240" w:lineRule="auto"/>
        <w:rPr>
          <w:color w:val="0070C0"/>
        </w:rPr>
      </w:pPr>
      <w:r>
        <w:rPr>
          <w:noProof/>
          <w:color w:val="0070C0"/>
          <w:lang w:eastAsia="en-GB"/>
        </w:rPr>
        <w:lastRenderedPageBreak/>
        <w:drawing>
          <wp:inline distT="0" distB="0" distL="0" distR="0">
            <wp:extent cx="5731510" cy="741275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7412753"/>
                    </a:xfrm>
                    <a:prstGeom prst="rect">
                      <a:avLst/>
                    </a:prstGeom>
                    <a:noFill/>
                    <a:ln>
                      <a:noFill/>
                    </a:ln>
                  </pic:spPr>
                </pic:pic>
              </a:graphicData>
            </a:graphic>
          </wp:inline>
        </w:drawing>
      </w:r>
    </w:p>
    <w:p w:rsidR="001011DB" w:rsidRDefault="001011DB" w:rsidP="001011DB">
      <w:pPr>
        <w:spacing w:after="0" w:line="240" w:lineRule="auto"/>
        <w:rPr>
          <w:color w:val="0070C0"/>
        </w:rPr>
      </w:pPr>
      <w:proofErr w:type="gramStart"/>
      <w:r w:rsidRPr="001011DB">
        <w:rPr>
          <w:color w:val="0070C0"/>
        </w:rPr>
        <w:t>Supplementary Figure 16.</w:t>
      </w:r>
      <w:proofErr w:type="gramEnd"/>
      <w:r w:rsidRPr="001011DB">
        <w:rPr>
          <w:color w:val="0070C0"/>
        </w:rPr>
        <w:t xml:space="preserve"> </w:t>
      </w:r>
      <w:proofErr w:type="gramStart"/>
      <w:r w:rsidRPr="001011DB">
        <w:rPr>
          <w:color w:val="0070C0"/>
        </w:rPr>
        <w:t>Examples of the small segment inter-chromosomal insertional</w:t>
      </w:r>
      <w:r>
        <w:rPr>
          <w:color w:val="0070C0"/>
        </w:rPr>
        <w:t xml:space="preserve"> </w:t>
      </w:r>
      <w:r w:rsidRPr="001011DB">
        <w:rPr>
          <w:color w:val="0070C0"/>
        </w:rPr>
        <w:t>translocation that is detected from only WGS.</w:t>
      </w:r>
      <w:proofErr w:type="gramEnd"/>
      <w:r w:rsidRPr="001011DB">
        <w:rPr>
          <w:color w:val="0070C0"/>
        </w:rPr>
        <w:t xml:space="preserve"> A, The distribution of discordant reads and</w:t>
      </w:r>
      <w:r>
        <w:rPr>
          <w:color w:val="0070C0"/>
        </w:rPr>
        <w:t xml:space="preserve"> </w:t>
      </w:r>
      <w:r w:rsidRPr="001011DB">
        <w:rPr>
          <w:color w:val="0070C0"/>
        </w:rPr>
        <w:t>clipped reads around the translocation breakpoints detected from WGS on chr1 and chr17</w:t>
      </w:r>
      <w:r>
        <w:rPr>
          <w:color w:val="0070C0"/>
        </w:rPr>
        <w:t xml:space="preserve"> </w:t>
      </w:r>
      <w:r w:rsidRPr="001011DB">
        <w:rPr>
          <w:color w:val="0070C0"/>
        </w:rPr>
        <w:t xml:space="preserve">(upper); Hi-C interaction </w:t>
      </w:r>
      <w:proofErr w:type="spellStart"/>
      <w:r w:rsidRPr="001011DB">
        <w:rPr>
          <w:color w:val="0070C0"/>
        </w:rPr>
        <w:t>heatmap</w:t>
      </w:r>
      <w:proofErr w:type="spellEnd"/>
      <w:r w:rsidRPr="001011DB">
        <w:rPr>
          <w:color w:val="0070C0"/>
        </w:rPr>
        <w:t xml:space="preserve"> across the whole chromosomes (bottom left) and regions</w:t>
      </w:r>
      <w:r>
        <w:rPr>
          <w:color w:val="0070C0"/>
        </w:rPr>
        <w:t xml:space="preserve"> </w:t>
      </w:r>
      <w:r w:rsidRPr="001011DB">
        <w:rPr>
          <w:color w:val="0070C0"/>
        </w:rPr>
        <w:t>around breakpoints (bottom right). B, Similar to A, but the translocation between chr3 and</w:t>
      </w:r>
      <w:r>
        <w:rPr>
          <w:color w:val="0070C0"/>
        </w:rPr>
        <w:t xml:space="preserve"> </w:t>
      </w:r>
      <w:r w:rsidRPr="001011DB">
        <w:rPr>
          <w:color w:val="0070C0"/>
        </w:rPr>
        <w:t xml:space="preserve">chr10. In the IGV screenshot (WGS reads distribution), each </w:t>
      </w:r>
      <w:proofErr w:type="spellStart"/>
      <w:r w:rsidRPr="001011DB">
        <w:rPr>
          <w:color w:val="0070C0"/>
        </w:rPr>
        <w:t>color</w:t>
      </w:r>
      <w:proofErr w:type="spellEnd"/>
      <w:r w:rsidRPr="001011DB">
        <w:rPr>
          <w:color w:val="0070C0"/>
        </w:rPr>
        <w:t xml:space="preserve"> bar represents a SNV (single</w:t>
      </w:r>
      <w:r>
        <w:rPr>
          <w:color w:val="0070C0"/>
        </w:rPr>
        <w:t xml:space="preserve"> </w:t>
      </w:r>
      <w:r w:rsidRPr="001011DB">
        <w:rPr>
          <w:color w:val="0070C0"/>
        </w:rPr>
        <w:t xml:space="preserve">nucleotide variant), and the </w:t>
      </w:r>
      <w:proofErr w:type="spellStart"/>
      <w:r w:rsidRPr="001011DB">
        <w:rPr>
          <w:color w:val="0070C0"/>
        </w:rPr>
        <w:t>colored</w:t>
      </w:r>
      <w:proofErr w:type="spellEnd"/>
      <w:r w:rsidRPr="001011DB">
        <w:rPr>
          <w:color w:val="0070C0"/>
        </w:rPr>
        <w:t xml:space="preserve"> reads are paired end reads coded by the chromosome on</w:t>
      </w:r>
      <w:r>
        <w:rPr>
          <w:color w:val="0070C0"/>
        </w:rPr>
        <w:t xml:space="preserve"> </w:t>
      </w:r>
      <w:r w:rsidRPr="001011DB">
        <w:rPr>
          <w:color w:val="0070C0"/>
        </w:rPr>
        <w:t xml:space="preserve">which their mates can be found. The </w:t>
      </w:r>
      <w:proofErr w:type="spellStart"/>
      <w:r w:rsidRPr="001011DB">
        <w:rPr>
          <w:color w:val="0070C0"/>
        </w:rPr>
        <w:t>color</w:t>
      </w:r>
      <w:proofErr w:type="spellEnd"/>
      <w:r w:rsidRPr="001011DB">
        <w:rPr>
          <w:color w:val="0070C0"/>
        </w:rPr>
        <w:t xml:space="preserve"> code for discordant reads is shown at the bottom.</w:t>
      </w:r>
    </w:p>
    <w:p w:rsidR="001011DB" w:rsidRDefault="001011DB" w:rsidP="001011DB">
      <w:pPr>
        <w:spacing w:after="0" w:line="240" w:lineRule="auto"/>
        <w:rPr>
          <w:color w:val="0070C0"/>
        </w:rPr>
      </w:pPr>
      <w:r w:rsidRPr="001011DB">
        <w:rPr>
          <w:color w:val="0070C0"/>
        </w:rPr>
        <w:lastRenderedPageBreak/>
        <w:t>Examples of complex SVs</w:t>
      </w:r>
    </w:p>
    <w:p w:rsidR="001011DB" w:rsidRDefault="001011DB" w:rsidP="001011DB">
      <w:pPr>
        <w:spacing w:after="0" w:line="240" w:lineRule="auto"/>
        <w:rPr>
          <w:color w:val="0070C0"/>
        </w:rPr>
      </w:pPr>
      <w:r>
        <w:rPr>
          <w:noProof/>
          <w:lang w:eastAsia="en-GB"/>
        </w:rPr>
        <w:drawing>
          <wp:inline distT="0" distB="0" distL="0" distR="0" wp14:anchorId="65C7EC3D" wp14:editId="0D7624CB">
            <wp:extent cx="5731510" cy="741728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7417284"/>
                    </a:xfrm>
                    <a:prstGeom prst="rect">
                      <a:avLst/>
                    </a:prstGeom>
                  </pic:spPr>
                </pic:pic>
              </a:graphicData>
            </a:graphic>
          </wp:inline>
        </w:drawing>
      </w:r>
    </w:p>
    <w:p w:rsidR="001011DB" w:rsidRDefault="001011DB" w:rsidP="001011DB">
      <w:pPr>
        <w:spacing w:after="0" w:line="240" w:lineRule="auto"/>
        <w:rPr>
          <w:color w:val="0070C0"/>
        </w:rPr>
      </w:pPr>
      <w:proofErr w:type="gramStart"/>
      <w:r w:rsidRPr="001011DB">
        <w:rPr>
          <w:color w:val="0070C0"/>
        </w:rPr>
        <w:t>Supplementary Figure 17.</w:t>
      </w:r>
      <w:proofErr w:type="gramEnd"/>
      <w:r w:rsidRPr="001011DB">
        <w:rPr>
          <w:color w:val="0070C0"/>
        </w:rPr>
        <w:t xml:space="preserve"> </w:t>
      </w:r>
      <w:proofErr w:type="gramStart"/>
      <w:r w:rsidRPr="001011DB">
        <w:rPr>
          <w:color w:val="0070C0"/>
        </w:rPr>
        <w:t>Examples of the complex SVs.</w:t>
      </w:r>
      <w:proofErr w:type="gramEnd"/>
      <w:r w:rsidRPr="001011DB">
        <w:rPr>
          <w:color w:val="0070C0"/>
        </w:rPr>
        <w:t xml:space="preserve"> A, The distribution of discordant</w:t>
      </w:r>
      <w:r>
        <w:rPr>
          <w:color w:val="0070C0"/>
        </w:rPr>
        <w:t xml:space="preserve"> </w:t>
      </w:r>
      <w:r w:rsidRPr="001011DB">
        <w:rPr>
          <w:color w:val="0070C0"/>
        </w:rPr>
        <w:t>reads and clipped reads around the translocation breakpoints detected from WGS on chr3 and</w:t>
      </w:r>
      <w:r>
        <w:rPr>
          <w:color w:val="0070C0"/>
        </w:rPr>
        <w:t xml:space="preserve"> </w:t>
      </w:r>
      <w:r w:rsidRPr="001011DB">
        <w:rPr>
          <w:color w:val="0070C0"/>
        </w:rPr>
        <w:t xml:space="preserve">chr9 (upper); Hi-C interaction </w:t>
      </w:r>
      <w:proofErr w:type="spellStart"/>
      <w:r w:rsidRPr="001011DB">
        <w:rPr>
          <w:color w:val="0070C0"/>
        </w:rPr>
        <w:t>heatmap</w:t>
      </w:r>
      <w:proofErr w:type="spellEnd"/>
      <w:r w:rsidRPr="001011DB">
        <w:rPr>
          <w:color w:val="0070C0"/>
        </w:rPr>
        <w:t xml:space="preserve"> across the whole chromosomes (bottom left) and</w:t>
      </w:r>
      <w:r>
        <w:rPr>
          <w:color w:val="0070C0"/>
        </w:rPr>
        <w:t xml:space="preserve"> </w:t>
      </w:r>
      <w:r w:rsidRPr="001011DB">
        <w:rPr>
          <w:color w:val="0070C0"/>
        </w:rPr>
        <w:t>regions around breakpoints (bottom right). B, Similar to A, but the translocation between chr3</w:t>
      </w:r>
      <w:r>
        <w:rPr>
          <w:color w:val="0070C0"/>
        </w:rPr>
        <w:t xml:space="preserve"> </w:t>
      </w:r>
      <w:r w:rsidRPr="001011DB">
        <w:rPr>
          <w:color w:val="0070C0"/>
        </w:rPr>
        <w:t xml:space="preserve">and chr12. In the IGV screenshot (WGS reads distribution), each </w:t>
      </w:r>
      <w:proofErr w:type="spellStart"/>
      <w:r w:rsidRPr="001011DB">
        <w:rPr>
          <w:color w:val="0070C0"/>
        </w:rPr>
        <w:t>color</w:t>
      </w:r>
      <w:proofErr w:type="spellEnd"/>
      <w:r w:rsidRPr="001011DB">
        <w:rPr>
          <w:color w:val="0070C0"/>
        </w:rPr>
        <w:t xml:space="preserve"> bar represents a SNV</w:t>
      </w:r>
      <w:r>
        <w:rPr>
          <w:color w:val="0070C0"/>
        </w:rPr>
        <w:t xml:space="preserve"> </w:t>
      </w:r>
      <w:r w:rsidRPr="001011DB">
        <w:rPr>
          <w:color w:val="0070C0"/>
        </w:rPr>
        <w:t xml:space="preserve">(single nucleotide variant), and the </w:t>
      </w:r>
      <w:proofErr w:type="spellStart"/>
      <w:r w:rsidRPr="001011DB">
        <w:rPr>
          <w:color w:val="0070C0"/>
        </w:rPr>
        <w:t>colored</w:t>
      </w:r>
      <w:proofErr w:type="spellEnd"/>
      <w:r w:rsidRPr="001011DB">
        <w:rPr>
          <w:color w:val="0070C0"/>
        </w:rPr>
        <w:t xml:space="preserve"> reads are paired end reads coded by the</w:t>
      </w:r>
      <w:r>
        <w:rPr>
          <w:color w:val="0070C0"/>
        </w:rPr>
        <w:t xml:space="preserve"> </w:t>
      </w:r>
      <w:r w:rsidRPr="001011DB">
        <w:rPr>
          <w:color w:val="0070C0"/>
        </w:rPr>
        <w:t xml:space="preserve">chromosome on which their mates can be found. The </w:t>
      </w:r>
      <w:proofErr w:type="spellStart"/>
      <w:r w:rsidRPr="001011DB">
        <w:rPr>
          <w:color w:val="0070C0"/>
        </w:rPr>
        <w:t>color</w:t>
      </w:r>
      <w:proofErr w:type="spellEnd"/>
      <w:r w:rsidRPr="001011DB">
        <w:rPr>
          <w:color w:val="0070C0"/>
        </w:rPr>
        <w:t xml:space="preserve"> code for discordant reads is shown</w:t>
      </w:r>
      <w:r>
        <w:rPr>
          <w:color w:val="0070C0"/>
        </w:rPr>
        <w:t xml:space="preserve"> </w:t>
      </w:r>
      <w:r w:rsidRPr="001011DB">
        <w:rPr>
          <w:color w:val="0070C0"/>
        </w:rPr>
        <w:t>at the bottom.</w:t>
      </w:r>
    </w:p>
    <w:p w:rsidR="001011DB" w:rsidRDefault="001011DB" w:rsidP="001011DB">
      <w:pPr>
        <w:spacing w:after="0" w:line="240" w:lineRule="auto"/>
        <w:rPr>
          <w:color w:val="0070C0"/>
        </w:rPr>
      </w:pPr>
      <w:r w:rsidRPr="001011DB">
        <w:rPr>
          <w:color w:val="0070C0"/>
        </w:rPr>
        <w:lastRenderedPageBreak/>
        <w:t>Examples of false positives</w:t>
      </w:r>
    </w:p>
    <w:p w:rsidR="001011DB" w:rsidRDefault="001011DB" w:rsidP="001011DB">
      <w:pPr>
        <w:spacing w:after="0" w:line="240" w:lineRule="auto"/>
        <w:rPr>
          <w:color w:val="0070C0"/>
        </w:rPr>
      </w:pPr>
      <w:r>
        <w:rPr>
          <w:noProof/>
          <w:lang w:eastAsia="en-GB"/>
        </w:rPr>
        <w:drawing>
          <wp:inline distT="0" distB="0" distL="0" distR="0" wp14:anchorId="3E1380CB" wp14:editId="7A5220DC">
            <wp:extent cx="5731510" cy="7417284"/>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7417284"/>
                    </a:xfrm>
                    <a:prstGeom prst="rect">
                      <a:avLst/>
                    </a:prstGeom>
                  </pic:spPr>
                </pic:pic>
              </a:graphicData>
            </a:graphic>
          </wp:inline>
        </w:drawing>
      </w:r>
    </w:p>
    <w:p w:rsidR="001011DB" w:rsidRDefault="001011DB" w:rsidP="001011DB">
      <w:pPr>
        <w:spacing w:after="0" w:line="240" w:lineRule="auto"/>
        <w:rPr>
          <w:color w:val="0070C0"/>
        </w:rPr>
      </w:pPr>
      <w:proofErr w:type="gramStart"/>
      <w:r w:rsidRPr="001011DB">
        <w:rPr>
          <w:color w:val="0070C0"/>
        </w:rPr>
        <w:t>Supplementary Figure 18.</w:t>
      </w:r>
      <w:proofErr w:type="gramEnd"/>
      <w:r w:rsidRPr="001011DB">
        <w:rPr>
          <w:color w:val="0070C0"/>
        </w:rPr>
        <w:t xml:space="preserve"> </w:t>
      </w:r>
      <w:proofErr w:type="gramStart"/>
      <w:r w:rsidRPr="001011DB">
        <w:rPr>
          <w:color w:val="0070C0"/>
        </w:rPr>
        <w:t>Examples of the false positives that identified from WGS data.</w:t>
      </w:r>
      <w:proofErr w:type="gramEnd"/>
      <w:r w:rsidRPr="001011DB">
        <w:rPr>
          <w:color w:val="0070C0"/>
        </w:rPr>
        <w:t xml:space="preserve"> A,</w:t>
      </w:r>
      <w:r>
        <w:rPr>
          <w:color w:val="0070C0"/>
        </w:rPr>
        <w:t xml:space="preserve"> </w:t>
      </w:r>
      <w:r w:rsidRPr="001011DB">
        <w:rPr>
          <w:color w:val="0070C0"/>
        </w:rPr>
        <w:t>The distribution of discordant reads and clipped reads around the translocation breakpoints</w:t>
      </w:r>
      <w:r>
        <w:rPr>
          <w:color w:val="0070C0"/>
        </w:rPr>
        <w:t xml:space="preserve"> </w:t>
      </w:r>
      <w:r w:rsidRPr="001011DB">
        <w:rPr>
          <w:color w:val="0070C0"/>
        </w:rPr>
        <w:t xml:space="preserve">detected from WGS on chr17 and chr20 (upper); Hi-C interaction </w:t>
      </w:r>
      <w:proofErr w:type="spellStart"/>
      <w:r w:rsidRPr="001011DB">
        <w:rPr>
          <w:color w:val="0070C0"/>
        </w:rPr>
        <w:t>heatmap</w:t>
      </w:r>
      <w:proofErr w:type="spellEnd"/>
      <w:r w:rsidRPr="001011DB">
        <w:rPr>
          <w:color w:val="0070C0"/>
        </w:rPr>
        <w:t xml:space="preserve"> across the whole</w:t>
      </w:r>
      <w:r>
        <w:rPr>
          <w:color w:val="0070C0"/>
        </w:rPr>
        <w:t xml:space="preserve"> </w:t>
      </w:r>
      <w:r w:rsidRPr="001011DB">
        <w:rPr>
          <w:color w:val="0070C0"/>
        </w:rPr>
        <w:t>chromosomes (bottom left) and regions around breakpoints (bottom right). B, Similar to A, but</w:t>
      </w:r>
      <w:r>
        <w:rPr>
          <w:color w:val="0070C0"/>
        </w:rPr>
        <w:t xml:space="preserve"> </w:t>
      </w:r>
      <w:r w:rsidRPr="001011DB">
        <w:rPr>
          <w:color w:val="0070C0"/>
        </w:rPr>
        <w:t>the translocation between chr19 and chr20. In the IGV screenshot (WGS reads distribution),</w:t>
      </w:r>
      <w:r>
        <w:rPr>
          <w:color w:val="0070C0"/>
        </w:rPr>
        <w:t xml:space="preserve"> </w:t>
      </w:r>
      <w:r w:rsidRPr="001011DB">
        <w:rPr>
          <w:color w:val="0070C0"/>
        </w:rPr>
        <w:t xml:space="preserve">each </w:t>
      </w:r>
      <w:proofErr w:type="spellStart"/>
      <w:r w:rsidRPr="001011DB">
        <w:rPr>
          <w:color w:val="0070C0"/>
        </w:rPr>
        <w:t>color</w:t>
      </w:r>
      <w:proofErr w:type="spellEnd"/>
      <w:r w:rsidRPr="001011DB">
        <w:rPr>
          <w:color w:val="0070C0"/>
        </w:rPr>
        <w:t xml:space="preserve"> bar represents a SNV (single nucleotide variant), and the </w:t>
      </w:r>
      <w:proofErr w:type="spellStart"/>
      <w:r w:rsidRPr="001011DB">
        <w:rPr>
          <w:color w:val="0070C0"/>
        </w:rPr>
        <w:t>colored</w:t>
      </w:r>
      <w:proofErr w:type="spellEnd"/>
      <w:r w:rsidRPr="001011DB">
        <w:rPr>
          <w:color w:val="0070C0"/>
        </w:rPr>
        <w:t xml:space="preserve"> reads are paired</w:t>
      </w:r>
      <w:r>
        <w:rPr>
          <w:color w:val="0070C0"/>
        </w:rPr>
        <w:t xml:space="preserve"> </w:t>
      </w:r>
      <w:r w:rsidRPr="001011DB">
        <w:rPr>
          <w:color w:val="0070C0"/>
        </w:rPr>
        <w:t xml:space="preserve">end reads coded by the </w:t>
      </w:r>
      <w:r w:rsidRPr="001011DB">
        <w:rPr>
          <w:color w:val="0070C0"/>
        </w:rPr>
        <w:lastRenderedPageBreak/>
        <w:t xml:space="preserve">chromosome on which their mates can be found. The </w:t>
      </w:r>
      <w:proofErr w:type="spellStart"/>
      <w:r w:rsidRPr="001011DB">
        <w:rPr>
          <w:color w:val="0070C0"/>
        </w:rPr>
        <w:t>color</w:t>
      </w:r>
      <w:proofErr w:type="spellEnd"/>
      <w:r w:rsidRPr="001011DB">
        <w:rPr>
          <w:color w:val="0070C0"/>
        </w:rPr>
        <w:t xml:space="preserve"> code for</w:t>
      </w:r>
      <w:r>
        <w:rPr>
          <w:color w:val="0070C0"/>
        </w:rPr>
        <w:t xml:space="preserve"> </w:t>
      </w:r>
      <w:r w:rsidRPr="001011DB">
        <w:rPr>
          <w:color w:val="0070C0"/>
        </w:rPr>
        <w:t>discordant reads is shown at the bottom.</w:t>
      </w:r>
    </w:p>
    <w:p w:rsidR="001011DB" w:rsidRDefault="001011DB" w:rsidP="001011DB">
      <w:pPr>
        <w:spacing w:after="0" w:line="240" w:lineRule="auto"/>
        <w:rPr>
          <w:color w:val="0070C0"/>
        </w:rPr>
      </w:pPr>
    </w:p>
    <w:p w:rsidR="001011DB" w:rsidRPr="001011DB" w:rsidRDefault="001011DB" w:rsidP="001011DB">
      <w:pPr>
        <w:spacing w:after="0" w:line="240" w:lineRule="auto"/>
      </w:pPr>
      <w:r w:rsidRPr="001011DB">
        <w:t>Hi-glass URL (http://18.215.251.253) did not work.</w:t>
      </w:r>
    </w:p>
    <w:p w:rsidR="001011DB" w:rsidRDefault="001011DB" w:rsidP="001011DB">
      <w:pPr>
        <w:spacing w:after="0" w:line="240" w:lineRule="auto"/>
        <w:rPr>
          <w:color w:val="0070C0"/>
        </w:rPr>
      </w:pPr>
      <w:r w:rsidRPr="001011DB">
        <w:rPr>
          <w:color w:val="0070C0"/>
        </w:rPr>
        <w:t>We have removed the hi-glass page since it is redundant with the supplementary table 4.</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Please refer to methods section in the main text when glossing over technical details of the</w:t>
      </w:r>
      <w:r>
        <w:t xml:space="preserve"> </w:t>
      </w:r>
      <w:r w:rsidRPr="001011DB">
        <w:t>method.</w:t>
      </w:r>
    </w:p>
    <w:p w:rsidR="001011DB" w:rsidRDefault="001011DB" w:rsidP="001011DB">
      <w:pPr>
        <w:spacing w:after="0" w:line="240" w:lineRule="auto"/>
        <w:rPr>
          <w:color w:val="0070C0"/>
        </w:rPr>
      </w:pPr>
      <w:r w:rsidRPr="001011DB">
        <w:rPr>
          <w:color w:val="0070C0"/>
        </w:rPr>
        <w:t>Following the reviewer’s advice, we have referred to the Methods section at the appropriate</w:t>
      </w:r>
      <w:r>
        <w:rPr>
          <w:color w:val="0070C0"/>
        </w:rPr>
        <w:t xml:space="preserve"> </w:t>
      </w:r>
      <w:r w:rsidRPr="001011DB">
        <w:rPr>
          <w:color w:val="0070C0"/>
        </w:rPr>
        <w:t>places in the main text.</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Conclusion can be longer, elaborating on the differences between methods and shortcomings of</w:t>
      </w:r>
      <w:r>
        <w:t xml:space="preserve"> </w:t>
      </w:r>
      <w:r w:rsidRPr="001011DB">
        <w:t>each method. I think the paper does a thorough evaluation of various methods and approaches</w:t>
      </w:r>
      <w:r>
        <w:t xml:space="preserve"> </w:t>
      </w:r>
      <w:r w:rsidRPr="001011DB">
        <w:t xml:space="preserve">and </w:t>
      </w:r>
      <w:proofErr w:type="gramStart"/>
      <w:r w:rsidRPr="001011DB">
        <w:t>those conclusion</w:t>
      </w:r>
      <w:proofErr w:type="gramEnd"/>
      <w:r w:rsidRPr="001011DB">
        <w:t xml:space="preserve"> can be stressed here in more detail.</w:t>
      </w:r>
    </w:p>
    <w:p w:rsidR="001011DB" w:rsidRDefault="001011DB" w:rsidP="001011DB">
      <w:pPr>
        <w:spacing w:after="0" w:line="240" w:lineRule="auto"/>
        <w:rPr>
          <w:color w:val="0070C0"/>
        </w:rPr>
      </w:pPr>
      <w:r w:rsidRPr="001011DB">
        <w:rPr>
          <w:color w:val="0070C0"/>
        </w:rPr>
        <w:t>We have lengthened the discussion of differences between methods in each part of the</w:t>
      </w:r>
      <w:r>
        <w:rPr>
          <w:color w:val="0070C0"/>
        </w:rPr>
        <w:t xml:space="preserve"> </w:t>
      </w:r>
      <w:r w:rsidRPr="001011DB">
        <w:rPr>
          <w:color w:val="0070C0"/>
        </w:rPr>
        <w:t>evaluation to emphasize our findings. The conclusion section is also refined to accommodate</w:t>
      </w:r>
      <w:r>
        <w:rPr>
          <w:color w:val="0070C0"/>
        </w:rPr>
        <w:t xml:space="preserve"> </w:t>
      </w:r>
      <w:r w:rsidRPr="001011DB">
        <w:rPr>
          <w:color w:val="0070C0"/>
        </w:rPr>
        <w:t>those changes.</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 xml:space="preserve">Please add more detail to the methods section, e.g. how is the Gini Index calculated exactly? </w:t>
      </w:r>
      <w:proofErr w:type="gramStart"/>
      <w:r w:rsidRPr="001011DB">
        <w:t>At</w:t>
      </w:r>
      <w:r>
        <w:t xml:space="preserve"> </w:t>
      </w:r>
      <w:r w:rsidRPr="001011DB">
        <w:t>what resolution?</w:t>
      </w:r>
      <w:proofErr w:type="gramEnd"/>
      <w:r w:rsidRPr="001011DB">
        <w:t xml:space="preserve"> How is the </w:t>
      </w:r>
      <w:proofErr w:type="spellStart"/>
      <w:r w:rsidRPr="001011DB">
        <w:t>mappability</w:t>
      </w:r>
      <w:proofErr w:type="spellEnd"/>
      <w:r w:rsidRPr="001011DB">
        <w:t xml:space="preserve"> estimated for the GAM? Since a local alignment</w:t>
      </w:r>
      <w:r>
        <w:t xml:space="preserve"> </w:t>
      </w:r>
      <w:r w:rsidRPr="001011DB">
        <w:t xml:space="preserve">strategy is used, it is not clear to me how the </w:t>
      </w:r>
      <w:proofErr w:type="spellStart"/>
      <w:r w:rsidRPr="001011DB">
        <w:t>mappability</w:t>
      </w:r>
      <w:proofErr w:type="spellEnd"/>
      <w:r w:rsidRPr="001011DB">
        <w:t xml:space="preserve"> of a region is estimated. Some</w:t>
      </w:r>
      <w:r>
        <w:t xml:space="preserve"> </w:t>
      </w:r>
      <w:r w:rsidRPr="001011DB">
        <w:t xml:space="preserve">important details of the method </w:t>
      </w:r>
      <w:proofErr w:type="gramStart"/>
      <w:r w:rsidRPr="001011DB">
        <w:t>is</w:t>
      </w:r>
      <w:proofErr w:type="gramEnd"/>
      <w:r w:rsidRPr="001011DB">
        <w:t xml:space="preserve"> not clear to the reader.</w:t>
      </w:r>
    </w:p>
    <w:p w:rsidR="001011DB" w:rsidRPr="001011DB" w:rsidRDefault="001011DB" w:rsidP="001011DB">
      <w:pPr>
        <w:spacing w:after="0" w:line="240" w:lineRule="auto"/>
        <w:rPr>
          <w:color w:val="0070C0"/>
        </w:rPr>
      </w:pPr>
      <w:r w:rsidRPr="001011DB">
        <w:rPr>
          <w:color w:val="0070C0"/>
        </w:rPr>
        <w:t>We have added more details to the methods section, including the following:</w:t>
      </w:r>
    </w:p>
    <w:p w:rsidR="001011DB" w:rsidRPr="001011DB" w:rsidRDefault="001011DB" w:rsidP="001011DB">
      <w:pPr>
        <w:spacing w:after="0" w:line="240" w:lineRule="auto"/>
        <w:rPr>
          <w:color w:val="0070C0"/>
        </w:rPr>
      </w:pPr>
      <w:r w:rsidRPr="001011DB">
        <w:rPr>
          <w:color w:val="0070C0"/>
        </w:rPr>
        <w:t>Gini Index calculation</w:t>
      </w:r>
    </w:p>
    <w:p w:rsidR="001011DB" w:rsidRPr="001011DB" w:rsidRDefault="001011DB" w:rsidP="001011DB">
      <w:pPr>
        <w:spacing w:after="0" w:line="240" w:lineRule="auto"/>
        <w:rPr>
          <w:color w:val="0070C0"/>
        </w:rPr>
      </w:pPr>
      <w:r w:rsidRPr="001011DB">
        <w:rPr>
          <w:color w:val="0070C0"/>
        </w:rPr>
        <w:t>For each Hi-C inter-chromosomal interaction matrix M (at 1Mb resolution), we first sorted the</w:t>
      </w:r>
      <w:r>
        <w:rPr>
          <w:color w:val="0070C0"/>
        </w:rPr>
        <w:t xml:space="preserve"> </w:t>
      </w:r>
      <w:r w:rsidRPr="001011DB">
        <w:rPr>
          <w:color w:val="0070C0"/>
        </w:rPr>
        <w:t>contact regions from lowest to highest, based on the adjusted contact frequencies between</w:t>
      </w:r>
      <w:r>
        <w:rPr>
          <w:color w:val="0070C0"/>
        </w:rPr>
        <w:t xml:space="preserve"> </w:t>
      </w:r>
      <w:r w:rsidRPr="001011DB">
        <w:rPr>
          <w:color w:val="0070C0"/>
        </w:rPr>
        <w:t>these two regions. Regions that did not form contacts with any other regions were excluded.</w:t>
      </w:r>
      <w:r>
        <w:rPr>
          <w:color w:val="0070C0"/>
        </w:rPr>
        <w:t xml:space="preserve"> </w:t>
      </w:r>
      <w:r w:rsidRPr="001011DB">
        <w:rPr>
          <w:color w:val="0070C0"/>
        </w:rPr>
        <w:t xml:space="preserve">The cumulative contact </w:t>
      </w:r>
      <w:proofErr w:type="gramStart"/>
      <w:r w:rsidRPr="001011DB">
        <w:rPr>
          <w:color w:val="0070C0"/>
        </w:rPr>
        <w:t>frequencies for the sorted regions is</w:t>
      </w:r>
      <w:proofErr w:type="gramEnd"/>
      <w:r w:rsidRPr="001011DB">
        <w:rPr>
          <w:color w:val="0070C0"/>
        </w:rPr>
        <w:t xml:space="preserve"> the Lorenz curve. The Gini index is</w:t>
      </w:r>
      <w:r>
        <w:rPr>
          <w:color w:val="0070C0"/>
        </w:rPr>
        <w:t xml:space="preserve"> </w:t>
      </w:r>
      <w:r w:rsidRPr="001011DB">
        <w:rPr>
          <w:color w:val="0070C0"/>
        </w:rPr>
        <w:t>a measure of how much this curve deviates from the diagonal, and, in its simplified form, is</w:t>
      </w:r>
      <w:r>
        <w:rPr>
          <w:color w:val="0070C0"/>
        </w:rPr>
        <w:t xml:space="preserve"> </w:t>
      </w:r>
      <w:r w:rsidRPr="001011DB">
        <w:rPr>
          <w:color w:val="0070C0"/>
        </w:rPr>
        <w:t>computed as twice the area between the Lorenz curve and the diagonal.</w:t>
      </w:r>
    </w:p>
    <w:p w:rsidR="001011DB" w:rsidRPr="001011DB" w:rsidRDefault="001011DB" w:rsidP="001011DB">
      <w:pPr>
        <w:spacing w:after="0" w:line="240" w:lineRule="auto"/>
        <w:rPr>
          <w:color w:val="0070C0"/>
        </w:rPr>
      </w:pPr>
      <w:proofErr w:type="spellStart"/>
      <w:r w:rsidRPr="001011DB">
        <w:rPr>
          <w:color w:val="0070C0"/>
        </w:rPr>
        <w:t>Mappability</w:t>
      </w:r>
      <w:proofErr w:type="spellEnd"/>
      <w:r w:rsidRPr="001011DB">
        <w:rPr>
          <w:color w:val="0070C0"/>
        </w:rPr>
        <w:t xml:space="preserve"> used in GAM</w:t>
      </w:r>
    </w:p>
    <w:p w:rsidR="001011DB" w:rsidRPr="001011DB" w:rsidRDefault="001011DB" w:rsidP="001011DB">
      <w:pPr>
        <w:spacing w:after="0" w:line="240" w:lineRule="auto"/>
        <w:rPr>
          <w:color w:val="0070C0"/>
        </w:rPr>
      </w:pPr>
      <w:r w:rsidRPr="001011DB">
        <w:rPr>
          <w:color w:val="0070C0"/>
        </w:rPr>
        <w:t xml:space="preserve">We downloaded the </w:t>
      </w:r>
      <w:proofErr w:type="spellStart"/>
      <w:r w:rsidRPr="001011DB">
        <w:rPr>
          <w:color w:val="0070C0"/>
        </w:rPr>
        <w:t>mappability</w:t>
      </w:r>
      <w:proofErr w:type="spellEnd"/>
      <w:r w:rsidRPr="001011DB">
        <w:rPr>
          <w:color w:val="0070C0"/>
        </w:rPr>
        <w:t xml:space="preserve"> track from the UCSC table browser</w:t>
      </w:r>
    </w:p>
    <w:p w:rsidR="001011DB" w:rsidRPr="001011DB" w:rsidRDefault="001011DB" w:rsidP="001011DB">
      <w:pPr>
        <w:spacing w:after="0" w:line="240" w:lineRule="auto"/>
        <w:rPr>
          <w:color w:val="0070C0"/>
        </w:rPr>
      </w:pPr>
      <w:r w:rsidRPr="001011DB">
        <w:rPr>
          <w:color w:val="0070C0"/>
        </w:rPr>
        <w:t>(https://hgdownload.soe.ucsc.edu/goldenPath/hg19/encodeDCC/wgEncodeMapability/wgEncod</w:t>
      </w:r>
    </w:p>
    <w:p w:rsidR="001011DB" w:rsidRDefault="001011DB" w:rsidP="001011DB">
      <w:pPr>
        <w:spacing w:after="0" w:line="240" w:lineRule="auto"/>
        <w:rPr>
          <w:color w:val="0070C0"/>
        </w:rPr>
      </w:pPr>
      <w:r w:rsidRPr="001011DB">
        <w:rPr>
          <w:color w:val="0070C0"/>
        </w:rPr>
        <w:t xml:space="preserve">eCrgMapabilityAlign50mer.bigWig). </w:t>
      </w:r>
      <w:proofErr w:type="gramStart"/>
      <w:r w:rsidRPr="001011DB">
        <w:rPr>
          <w:color w:val="0070C0"/>
        </w:rPr>
        <w:t>The</w:t>
      </w:r>
      <w:proofErr w:type="gramEnd"/>
      <w:r w:rsidRPr="001011DB">
        <w:rPr>
          <w:color w:val="0070C0"/>
        </w:rPr>
        <w:t xml:space="preserve"> bigwig format is then converted to the </w:t>
      </w:r>
      <w:proofErr w:type="spellStart"/>
      <w:r w:rsidRPr="001011DB">
        <w:rPr>
          <w:color w:val="0070C0"/>
        </w:rPr>
        <w:t>bedgraph</w:t>
      </w:r>
      <w:proofErr w:type="spellEnd"/>
      <w:r w:rsidRPr="001011DB">
        <w:rPr>
          <w:color w:val="0070C0"/>
        </w:rPr>
        <w:t xml:space="preserve"> format</w:t>
      </w:r>
      <w:r>
        <w:rPr>
          <w:color w:val="0070C0"/>
        </w:rPr>
        <w:t xml:space="preserve"> </w:t>
      </w:r>
      <w:r w:rsidRPr="001011DB">
        <w:rPr>
          <w:color w:val="0070C0"/>
        </w:rPr>
        <w:t>and used in the GAM model.</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Minor</w:t>
      </w:r>
    </w:p>
    <w:p w:rsidR="001011DB" w:rsidRPr="001011DB" w:rsidRDefault="001011DB" w:rsidP="001011DB">
      <w:pPr>
        <w:spacing w:after="0" w:line="240" w:lineRule="auto"/>
      </w:pPr>
      <w:r w:rsidRPr="001011DB">
        <w:t xml:space="preserve">Fig2B has </w:t>
      </w:r>
      <w:proofErr w:type="spellStart"/>
      <w:r w:rsidRPr="001011DB">
        <w:t>color</w:t>
      </w:r>
      <w:proofErr w:type="spellEnd"/>
      <w:r w:rsidRPr="001011DB">
        <w:t xml:space="preserve"> but it does not code for a variable, just positivity/negativity. </w:t>
      </w:r>
      <w:proofErr w:type="gramStart"/>
      <w:r w:rsidRPr="001011DB">
        <w:t>Slightly confusing.</w:t>
      </w:r>
      <w:proofErr w:type="gramEnd"/>
    </w:p>
    <w:p w:rsidR="001011DB" w:rsidRDefault="001011DB" w:rsidP="001011DB">
      <w:pPr>
        <w:spacing w:after="0" w:line="240" w:lineRule="auto"/>
        <w:rPr>
          <w:color w:val="0070C0"/>
        </w:rPr>
      </w:pPr>
      <w:r w:rsidRPr="001011DB">
        <w:rPr>
          <w:color w:val="0070C0"/>
        </w:rPr>
        <w:t xml:space="preserve">We think that using different </w:t>
      </w:r>
      <w:proofErr w:type="spellStart"/>
      <w:r w:rsidRPr="001011DB">
        <w:rPr>
          <w:color w:val="0070C0"/>
        </w:rPr>
        <w:t>colors</w:t>
      </w:r>
      <w:proofErr w:type="spellEnd"/>
      <w:r w:rsidRPr="001011DB">
        <w:rPr>
          <w:color w:val="0070C0"/>
        </w:rPr>
        <w:t xml:space="preserve"> for positive/negativity makes it easier to compare between</w:t>
      </w:r>
      <w:r>
        <w:rPr>
          <w:color w:val="0070C0"/>
        </w:rPr>
        <w:t xml:space="preserve"> </w:t>
      </w:r>
      <w:r w:rsidRPr="001011DB">
        <w:rPr>
          <w:color w:val="0070C0"/>
        </w:rPr>
        <w:t xml:space="preserve">profiles. We now describe the </w:t>
      </w:r>
      <w:proofErr w:type="spellStart"/>
      <w:r w:rsidRPr="001011DB">
        <w:rPr>
          <w:color w:val="0070C0"/>
        </w:rPr>
        <w:t>colors</w:t>
      </w:r>
      <w:proofErr w:type="spellEnd"/>
      <w:r w:rsidRPr="001011DB">
        <w:rPr>
          <w:color w:val="0070C0"/>
        </w:rPr>
        <w:t xml:space="preserve"> in the figure inset as well: segments with log copy ratio</w:t>
      </w:r>
      <w:r>
        <w:rPr>
          <w:color w:val="0070C0"/>
        </w:rPr>
        <w:t xml:space="preserve"> </w:t>
      </w:r>
      <w:r w:rsidRPr="001011DB">
        <w:rPr>
          <w:color w:val="0070C0"/>
        </w:rPr>
        <w:t>larger than 0.3 as in red; less than -0.3 as in dark green; and copy ratios between -0.3 and 0.3</w:t>
      </w:r>
      <w:r>
        <w:rPr>
          <w:color w:val="0070C0"/>
        </w:rPr>
        <w:t xml:space="preserve"> </w:t>
      </w:r>
      <w:r w:rsidRPr="001011DB">
        <w:rPr>
          <w:color w:val="0070C0"/>
        </w:rPr>
        <w:t>in grey.</w:t>
      </w:r>
      <w:r>
        <w:rPr>
          <w:color w:val="0070C0"/>
        </w:rPr>
        <w:t xml:space="preserve"> </w:t>
      </w:r>
    </w:p>
    <w:p w:rsidR="001011DB" w:rsidRDefault="001011DB" w:rsidP="001011DB">
      <w:pPr>
        <w:spacing w:after="0" w:line="240" w:lineRule="auto"/>
        <w:rPr>
          <w:color w:val="0070C0"/>
        </w:rPr>
      </w:pPr>
    </w:p>
    <w:p w:rsidR="001011DB" w:rsidRPr="001011DB" w:rsidRDefault="001011DB" w:rsidP="001011DB">
      <w:pPr>
        <w:spacing w:after="0" w:line="240" w:lineRule="auto"/>
      </w:pPr>
      <w:r w:rsidRPr="001011DB">
        <w:t>Please better annotate the curves on the sides of hi-c matrices in the figures, it is not entirely</w:t>
      </w:r>
      <w:r>
        <w:t xml:space="preserve"> </w:t>
      </w:r>
      <w:r w:rsidRPr="001011DB">
        <w:t>clear that these curves correspond to the row sums and column sums and the figure legend do</w:t>
      </w:r>
      <w:r>
        <w:t xml:space="preserve"> </w:t>
      </w:r>
      <w:r w:rsidRPr="001011DB">
        <w:t>not always explain this.</w:t>
      </w:r>
    </w:p>
    <w:p w:rsidR="001011DB" w:rsidRDefault="001011DB" w:rsidP="001011DB">
      <w:pPr>
        <w:spacing w:after="0" w:line="240" w:lineRule="auto"/>
        <w:rPr>
          <w:color w:val="0070C0"/>
        </w:rPr>
      </w:pPr>
      <w:r w:rsidRPr="001011DB">
        <w:rPr>
          <w:color w:val="0070C0"/>
        </w:rPr>
        <w:t>We now describe the curves on the sides on Hi-C matrices in the figure legend.</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 xml:space="preserve">What are the </w:t>
      </w:r>
      <w:proofErr w:type="spellStart"/>
      <w:r w:rsidRPr="001011DB">
        <w:t>colors</w:t>
      </w:r>
      <w:proofErr w:type="spellEnd"/>
      <w:r w:rsidRPr="001011DB">
        <w:t xml:space="preserve"> in Fig 5C?</w:t>
      </w:r>
    </w:p>
    <w:p w:rsidR="001011DB" w:rsidRDefault="001011DB" w:rsidP="001011DB">
      <w:pPr>
        <w:spacing w:after="0" w:line="240" w:lineRule="auto"/>
        <w:rPr>
          <w:color w:val="0070C0"/>
        </w:rPr>
      </w:pPr>
      <w:r w:rsidRPr="001011DB">
        <w:rPr>
          <w:color w:val="0070C0"/>
        </w:rPr>
        <w:t xml:space="preserve">The </w:t>
      </w:r>
      <w:proofErr w:type="spellStart"/>
      <w:r w:rsidRPr="001011DB">
        <w:rPr>
          <w:color w:val="0070C0"/>
        </w:rPr>
        <w:t>colored</w:t>
      </w:r>
      <w:proofErr w:type="spellEnd"/>
      <w:r w:rsidRPr="001011DB">
        <w:rPr>
          <w:color w:val="0070C0"/>
        </w:rPr>
        <w:t xml:space="preserve"> reads are the discordant reads; exactly to which chromosomes they map is not</w:t>
      </w:r>
      <w:r>
        <w:rPr>
          <w:color w:val="0070C0"/>
        </w:rPr>
        <w:t xml:space="preserve"> </w:t>
      </w:r>
      <w:r w:rsidRPr="001011DB">
        <w:rPr>
          <w:color w:val="0070C0"/>
        </w:rPr>
        <w:t>relevant for illustrating the algorithm performance. However, some readers may not be familiar</w:t>
      </w:r>
      <w:r>
        <w:rPr>
          <w:color w:val="0070C0"/>
        </w:rPr>
        <w:t xml:space="preserve"> </w:t>
      </w:r>
      <w:r w:rsidRPr="001011DB">
        <w:rPr>
          <w:color w:val="0070C0"/>
        </w:rPr>
        <w:t xml:space="preserve">with this, and so we have now included the </w:t>
      </w:r>
      <w:proofErr w:type="spellStart"/>
      <w:r w:rsidRPr="001011DB">
        <w:rPr>
          <w:color w:val="0070C0"/>
        </w:rPr>
        <w:t>color</w:t>
      </w:r>
      <w:proofErr w:type="spellEnd"/>
      <w:r w:rsidRPr="001011DB">
        <w:rPr>
          <w:color w:val="0070C0"/>
        </w:rPr>
        <w:t xml:space="preserve"> code in the figure.</w:t>
      </w:r>
    </w:p>
    <w:p w:rsidR="001011DB" w:rsidRPr="001011DB" w:rsidRDefault="001011DB" w:rsidP="001011DB">
      <w:pPr>
        <w:spacing w:after="0" w:line="240" w:lineRule="auto"/>
        <w:rPr>
          <w:color w:val="0070C0"/>
        </w:rPr>
      </w:pPr>
    </w:p>
    <w:p w:rsidR="001011DB" w:rsidRPr="001011DB" w:rsidRDefault="001011DB" w:rsidP="001011DB">
      <w:pPr>
        <w:spacing w:after="0" w:line="240" w:lineRule="auto"/>
      </w:pPr>
      <w:r w:rsidRPr="001011DB">
        <w:t xml:space="preserve">Please place the detected and undetected translocation in a box in </w:t>
      </w:r>
      <w:proofErr w:type="spellStart"/>
      <w:r w:rsidRPr="001011DB">
        <w:t>SuppFig</w:t>
      </w:r>
      <w:proofErr w:type="spellEnd"/>
      <w:r w:rsidRPr="001011DB">
        <w:t xml:space="preserve"> 8 and </w:t>
      </w:r>
      <w:proofErr w:type="spellStart"/>
      <w:r w:rsidRPr="001011DB">
        <w:t>SuppFig</w:t>
      </w:r>
      <w:proofErr w:type="spellEnd"/>
      <w:r w:rsidRPr="001011DB">
        <w:t xml:space="preserve"> 9</w:t>
      </w:r>
    </w:p>
    <w:p w:rsidR="001011DB" w:rsidRDefault="001011DB" w:rsidP="001011DB">
      <w:pPr>
        <w:spacing w:after="0" w:line="240" w:lineRule="auto"/>
        <w:rPr>
          <w:color w:val="0070C0"/>
        </w:rPr>
      </w:pPr>
      <w:r w:rsidRPr="001011DB">
        <w:rPr>
          <w:color w:val="0070C0"/>
        </w:rPr>
        <w:lastRenderedPageBreak/>
        <w:t>We have placed the detected translocations in circles (</w:t>
      </w:r>
      <w:proofErr w:type="spellStart"/>
      <w:r w:rsidRPr="001011DB">
        <w:rPr>
          <w:color w:val="0070C0"/>
        </w:rPr>
        <w:t>SuppFig</w:t>
      </w:r>
      <w:proofErr w:type="spellEnd"/>
      <w:r w:rsidRPr="001011DB">
        <w:rPr>
          <w:color w:val="0070C0"/>
        </w:rPr>
        <w:t xml:space="preserve"> 8 is now </w:t>
      </w:r>
      <w:proofErr w:type="spellStart"/>
      <w:r w:rsidRPr="001011DB">
        <w:rPr>
          <w:color w:val="0070C0"/>
        </w:rPr>
        <w:t>SuppFig</w:t>
      </w:r>
      <w:proofErr w:type="spellEnd"/>
      <w:r w:rsidRPr="001011DB">
        <w:rPr>
          <w:color w:val="0070C0"/>
        </w:rPr>
        <w:t xml:space="preserve"> 13 in the</w:t>
      </w:r>
      <w:r>
        <w:rPr>
          <w:color w:val="0070C0"/>
        </w:rPr>
        <w:t xml:space="preserve"> </w:t>
      </w:r>
      <w:r w:rsidRPr="001011DB">
        <w:rPr>
          <w:color w:val="0070C0"/>
        </w:rPr>
        <w:t xml:space="preserve">revised manuscript). For </w:t>
      </w:r>
      <w:proofErr w:type="spellStart"/>
      <w:r w:rsidRPr="001011DB">
        <w:rPr>
          <w:color w:val="0070C0"/>
        </w:rPr>
        <w:t>SuppFig</w:t>
      </w:r>
      <w:proofErr w:type="spellEnd"/>
      <w:r w:rsidRPr="001011DB">
        <w:rPr>
          <w:color w:val="0070C0"/>
        </w:rPr>
        <w:t xml:space="preserve"> 9, now </w:t>
      </w:r>
      <w:proofErr w:type="spellStart"/>
      <w:r w:rsidRPr="001011DB">
        <w:rPr>
          <w:color w:val="0070C0"/>
        </w:rPr>
        <w:t>SuppFig</w:t>
      </w:r>
      <w:proofErr w:type="spellEnd"/>
      <w:r w:rsidRPr="001011DB">
        <w:rPr>
          <w:color w:val="0070C0"/>
        </w:rPr>
        <w:t xml:space="preserve"> 14, we obtained the translocation information</w:t>
      </w:r>
      <w:r>
        <w:rPr>
          <w:color w:val="0070C0"/>
        </w:rPr>
        <w:t xml:space="preserve"> </w:t>
      </w:r>
      <w:r w:rsidRPr="001011DB">
        <w:rPr>
          <w:color w:val="0070C0"/>
        </w:rPr>
        <w:t>from a previously published K562 karyotype [7, 8] and do not have the exact coordinates.</w:t>
      </w:r>
    </w:p>
    <w:p w:rsidR="001011DB" w:rsidRDefault="001011DB" w:rsidP="001011DB">
      <w:pPr>
        <w:spacing w:after="0" w:line="240" w:lineRule="auto"/>
        <w:rPr>
          <w:color w:val="0070C0"/>
        </w:rPr>
      </w:pPr>
    </w:p>
    <w:p w:rsidR="001011DB" w:rsidRDefault="001011DB" w:rsidP="001011DB">
      <w:pPr>
        <w:spacing w:after="0" w:line="240" w:lineRule="auto"/>
        <w:rPr>
          <w:b/>
        </w:rPr>
      </w:pPr>
      <w:r w:rsidRPr="001011DB">
        <w:rPr>
          <w:b/>
        </w:rPr>
        <w:t>Reviewer 2</w:t>
      </w:r>
    </w:p>
    <w:p w:rsidR="001011DB" w:rsidRDefault="001011DB" w:rsidP="001011DB">
      <w:pPr>
        <w:spacing w:after="0" w:line="240" w:lineRule="auto"/>
      </w:pPr>
      <w:r>
        <w:t xml:space="preserve">The authors describe a new method for </w:t>
      </w:r>
      <w:proofErr w:type="spellStart"/>
      <w:r>
        <w:t>analyzing</w:t>
      </w:r>
      <w:proofErr w:type="spellEnd"/>
      <w:r>
        <w:t xml:space="preserve"> Hi-C data to characterize CNVs</w:t>
      </w:r>
      <w:r>
        <w:t xml:space="preserve"> </w:t>
      </w:r>
      <w:r>
        <w:t>and SVs in human genomes, particularly in cancer. Their method appears to be substantially</w:t>
      </w:r>
      <w:r>
        <w:t xml:space="preserve"> </w:t>
      </w:r>
      <w:r>
        <w:t>better than WGS and other Hi-C-based approaches, particularly in repetitive regions of the</w:t>
      </w:r>
      <w:r>
        <w:t xml:space="preserve"> </w:t>
      </w:r>
      <w:r>
        <w:t>genome. They also make this tool publicly available with installation instructions. Therefore, I</w:t>
      </w:r>
      <w:r>
        <w:t xml:space="preserve"> </w:t>
      </w:r>
      <w:r>
        <w:t>expect this tool to be useful to the community. My main suggestion is to compare their results</w:t>
      </w:r>
      <w:r>
        <w:t xml:space="preserve"> </w:t>
      </w:r>
      <w:r>
        <w:t>to a recent publication in my point 1 below, since I expect this will give much greater insight into</w:t>
      </w:r>
      <w:r>
        <w:t xml:space="preserve"> </w:t>
      </w:r>
      <w:r>
        <w:t>the strengths and weaknesses of their methods.</w:t>
      </w:r>
    </w:p>
    <w:p w:rsidR="001011DB" w:rsidRDefault="001011DB" w:rsidP="001011DB">
      <w:pPr>
        <w:spacing w:after="0" w:line="240" w:lineRule="auto"/>
      </w:pPr>
      <w:r>
        <w:t>1. Although this publication may not have been available when the authors were performing this</w:t>
      </w:r>
      <w:r>
        <w:t xml:space="preserve"> </w:t>
      </w:r>
      <w:r>
        <w:t>analysis, I expect it would be very useful if they would compare their CNV and SV predictions to</w:t>
      </w:r>
      <w:r>
        <w:t xml:space="preserve"> </w:t>
      </w:r>
      <w:r>
        <w:t>those detected in K562 recently in this paper https://genome.cshlp.org/content/29/3/472.long,</w:t>
      </w:r>
      <w:r>
        <w:t xml:space="preserve"> </w:t>
      </w:r>
      <w:r>
        <w:t xml:space="preserve">since they used WGS, 10x, mate-pair, karyotyping, and </w:t>
      </w:r>
      <w:proofErr w:type="spellStart"/>
      <w:r>
        <w:t>aCGH</w:t>
      </w:r>
      <w:proofErr w:type="spellEnd"/>
      <w:r>
        <w:t>.</w:t>
      </w:r>
    </w:p>
    <w:p w:rsidR="001011DB" w:rsidRDefault="001011DB" w:rsidP="001011DB">
      <w:pPr>
        <w:spacing w:after="0" w:line="240" w:lineRule="auto"/>
        <w:rPr>
          <w:color w:val="0070C0"/>
        </w:rPr>
      </w:pPr>
      <w:r w:rsidRPr="001011DB">
        <w:rPr>
          <w:color w:val="0070C0"/>
        </w:rPr>
        <w:t>We thank the reviewer for the suggestion. We have downloaded the log2 copy ratios for K562</w:t>
      </w:r>
      <w:r>
        <w:rPr>
          <w:color w:val="0070C0"/>
        </w:rPr>
        <w:t xml:space="preserve"> </w:t>
      </w:r>
      <w:r w:rsidRPr="001011DB">
        <w:rPr>
          <w:color w:val="0070C0"/>
        </w:rPr>
        <w:t>provided in the GR paper [9]. The paper indicated that the array CGH has consistent results</w:t>
      </w:r>
      <w:r>
        <w:rPr>
          <w:color w:val="0070C0"/>
        </w:rPr>
        <w:t xml:space="preserve"> </w:t>
      </w:r>
      <w:r w:rsidRPr="001011DB">
        <w:rPr>
          <w:color w:val="0070C0"/>
        </w:rPr>
        <w:t>with WGS, and provided the log2 copy ratios only for the array CGH data. We have now added</w:t>
      </w:r>
      <w:r>
        <w:rPr>
          <w:color w:val="0070C0"/>
        </w:rPr>
        <w:t xml:space="preserve"> </w:t>
      </w:r>
      <w:r w:rsidRPr="001011DB">
        <w:rPr>
          <w:color w:val="0070C0"/>
        </w:rPr>
        <w:t>the array CGH-based CNV profile to the list of profiles being compared in Figure 2 (WGS data;</w:t>
      </w:r>
      <w:r>
        <w:rPr>
          <w:color w:val="0070C0"/>
        </w:rPr>
        <w:t xml:space="preserve"> </w:t>
      </w:r>
      <w:proofErr w:type="spellStart"/>
      <w:r w:rsidRPr="001011DB">
        <w:rPr>
          <w:color w:val="0070C0"/>
        </w:rPr>
        <w:t>HiNT</w:t>
      </w:r>
      <w:proofErr w:type="spellEnd"/>
      <w:r w:rsidRPr="001011DB">
        <w:rPr>
          <w:color w:val="0070C0"/>
        </w:rPr>
        <w:t xml:space="preserve">-CNV, </w:t>
      </w:r>
      <w:proofErr w:type="spellStart"/>
      <w:r w:rsidRPr="001011DB">
        <w:rPr>
          <w:color w:val="0070C0"/>
        </w:rPr>
        <w:t>HiCnv</w:t>
      </w:r>
      <w:proofErr w:type="spellEnd"/>
      <w:r w:rsidRPr="001011DB">
        <w:rPr>
          <w:color w:val="0070C0"/>
        </w:rPr>
        <w:t xml:space="preserve">, and </w:t>
      </w:r>
      <w:proofErr w:type="spellStart"/>
      <w:r w:rsidRPr="001011DB">
        <w:rPr>
          <w:color w:val="0070C0"/>
        </w:rPr>
        <w:t>OneD</w:t>
      </w:r>
      <w:proofErr w:type="spellEnd"/>
      <w:r w:rsidRPr="001011DB">
        <w:rPr>
          <w:color w:val="0070C0"/>
        </w:rPr>
        <w:t xml:space="preserve"> for Hi-C data; </w:t>
      </w:r>
      <w:proofErr w:type="spellStart"/>
      <w:r w:rsidRPr="001011DB">
        <w:rPr>
          <w:color w:val="0070C0"/>
        </w:rPr>
        <w:t>OneD</w:t>
      </w:r>
      <w:proofErr w:type="spellEnd"/>
      <w:r w:rsidRPr="001011DB">
        <w:rPr>
          <w:color w:val="0070C0"/>
        </w:rPr>
        <w:t xml:space="preserve"> is another computational tool suggested by</w:t>
      </w:r>
      <w:r>
        <w:rPr>
          <w:color w:val="0070C0"/>
        </w:rPr>
        <w:t xml:space="preserve"> </w:t>
      </w:r>
      <w:r w:rsidRPr="001011DB">
        <w:rPr>
          <w:color w:val="0070C0"/>
        </w:rPr>
        <w:t>Reviewer 1). We typically see more smooth CNV profiles at lower resolution for array CGH data,</w:t>
      </w:r>
      <w:r>
        <w:rPr>
          <w:color w:val="0070C0"/>
        </w:rPr>
        <w:t xml:space="preserve"> </w:t>
      </w:r>
      <w:r w:rsidRPr="001011DB">
        <w:rPr>
          <w:color w:val="0070C0"/>
        </w:rPr>
        <w:t>but that was not the case for the log-ratios computed in that paper. The new Figure 2 is copied</w:t>
      </w:r>
      <w:r>
        <w:rPr>
          <w:color w:val="0070C0"/>
        </w:rPr>
        <w:t xml:space="preserve"> </w:t>
      </w:r>
      <w:r w:rsidRPr="001011DB">
        <w:rPr>
          <w:color w:val="0070C0"/>
        </w:rPr>
        <w:t>below. Since SVs provided in the GR paper include only deletions (DEL), inversions (INV),</w:t>
      </w:r>
      <w:r>
        <w:rPr>
          <w:color w:val="0070C0"/>
        </w:rPr>
        <w:t xml:space="preserve"> </w:t>
      </w:r>
      <w:r w:rsidRPr="001011DB">
        <w:rPr>
          <w:color w:val="0070C0"/>
        </w:rPr>
        <w:t xml:space="preserve">duplications (DUL), and unknown types (UNK), and </w:t>
      </w:r>
      <w:proofErr w:type="spellStart"/>
      <w:r w:rsidRPr="001011DB">
        <w:rPr>
          <w:color w:val="0070C0"/>
        </w:rPr>
        <w:t>HiNT</w:t>
      </w:r>
      <w:proofErr w:type="spellEnd"/>
      <w:r w:rsidRPr="001011DB">
        <w:rPr>
          <w:color w:val="0070C0"/>
        </w:rPr>
        <w:t>-TL can only predict translocations, we</w:t>
      </w:r>
      <w:r>
        <w:rPr>
          <w:color w:val="0070C0"/>
        </w:rPr>
        <w:t xml:space="preserve"> </w:t>
      </w:r>
      <w:r w:rsidRPr="001011DB">
        <w:rPr>
          <w:color w:val="0070C0"/>
        </w:rPr>
        <w:t>did not perform additional analysis for SVs.</w:t>
      </w:r>
    </w:p>
    <w:p w:rsidR="001011DB" w:rsidRDefault="001011DB" w:rsidP="001011DB">
      <w:pPr>
        <w:spacing w:after="0" w:line="240" w:lineRule="auto"/>
        <w:rPr>
          <w:color w:val="0070C0"/>
        </w:rPr>
      </w:pPr>
      <w:r>
        <w:rPr>
          <w:noProof/>
          <w:color w:val="0070C0"/>
          <w:lang w:eastAsia="en-GB"/>
        </w:rPr>
        <w:lastRenderedPageBreak/>
        <w:drawing>
          <wp:inline distT="0" distB="0" distL="0" distR="0">
            <wp:extent cx="5731510" cy="459128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591280"/>
                    </a:xfrm>
                    <a:prstGeom prst="rect">
                      <a:avLst/>
                    </a:prstGeom>
                    <a:noFill/>
                    <a:ln>
                      <a:noFill/>
                    </a:ln>
                  </pic:spPr>
                </pic:pic>
              </a:graphicData>
            </a:graphic>
          </wp:inline>
        </w:drawing>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2. The </w:t>
      </w:r>
      <w:proofErr w:type="gramStart"/>
      <w:r w:rsidRPr="001011DB">
        <w:rPr>
          <w:rFonts w:cs="Helvetica"/>
        </w:rPr>
        <w:t>authors</w:t>
      </w:r>
      <w:proofErr w:type="gramEnd"/>
      <w:r w:rsidRPr="001011DB">
        <w:rPr>
          <w:rFonts w:cs="Helvetica"/>
        </w:rPr>
        <w:t xml:space="preserve"> state: "For the translocations detected only in WGS, some are missed in Hi-C</w:t>
      </w:r>
      <w:r>
        <w:rPr>
          <w:rFonts w:cs="Helvetica"/>
        </w:rPr>
        <w:t xml:space="preserve"> </w:t>
      </w:r>
      <w:r w:rsidRPr="001011DB">
        <w:rPr>
          <w:rFonts w:cs="Helvetica"/>
        </w:rPr>
        <w:t xml:space="preserve">due to its more uneven genome coverage." What </w:t>
      </w:r>
      <w:proofErr w:type="gramStart"/>
      <w:r w:rsidRPr="001011DB">
        <w:rPr>
          <w:rFonts w:cs="Helvetica"/>
        </w:rPr>
        <w:t>fraction are</w:t>
      </w:r>
      <w:proofErr w:type="gramEnd"/>
      <w:r w:rsidRPr="001011DB">
        <w:rPr>
          <w:rFonts w:cs="Helvetica"/>
        </w:rPr>
        <w:t xml:space="preserve"> missed due to its uneven</w:t>
      </w:r>
      <w:r>
        <w:rPr>
          <w:rFonts w:cs="Helvetica"/>
        </w:rPr>
        <w:t xml:space="preserve"> </w:t>
      </w:r>
      <w:r w:rsidRPr="001011DB">
        <w:rPr>
          <w:rFonts w:cs="Helvetica"/>
        </w:rPr>
        <w:t>coverage?</w:t>
      </w:r>
    </w:p>
    <w:p w:rsidR="001011DB" w:rsidRPr="001011DB" w:rsidRDefault="001011DB" w:rsidP="001011DB">
      <w:pPr>
        <w:autoSpaceDE w:val="0"/>
        <w:autoSpaceDN w:val="0"/>
        <w:adjustRightInd w:val="0"/>
        <w:spacing w:after="0" w:line="240" w:lineRule="auto"/>
        <w:rPr>
          <w:rFonts w:cs="Helvetica"/>
          <w:color w:val="0070C0"/>
        </w:rPr>
      </w:pPr>
      <w:r w:rsidRPr="001011DB">
        <w:rPr>
          <w:rFonts w:cs="Helvetica"/>
          <w:color w:val="0070C0"/>
        </w:rPr>
        <w:t>Please see our response to reviewer1 on pages 10-13.</w:t>
      </w:r>
    </w:p>
    <w:p w:rsidR="001011DB" w:rsidRPr="001011DB" w:rsidRDefault="001011DB" w:rsidP="001011DB">
      <w:pPr>
        <w:autoSpaceDE w:val="0"/>
        <w:autoSpaceDN w:val="0"/>
        <w:adjustRightInd w:val="0"/>
        <w:spacing w:after="0" w:line="240" w:lineRule="auto"/>
        <w:rPr>
          <w:rFonts w:cs="Helvetica"/>
        </w:rPr>
      </w:pP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3. Could the authors compare the performance they see for other methods like </w:t>
      </w:r>
      <w:proofErr w:type="spellStart"/>
      <w:r w:rsidRPr="001011DB">
        <w:rPr>
          <w:rFonts w:cs="Helvetica"/>
        </w:rPr>
        <w:t>HiCtrans</w:t>
      </w:r>
      <w:proofErr w:type="spellEnd"/>
      <w:r w:rsidRPr="001011DB">
        <w:rPr>
          <w:rFonts w:cs="Helvetica"/>
        </w:rPr>
        <w:t xml:space="preserve"> and</w:t>
      </w:r>
      <w:r>
        <w:rPr>
          <w:rFonts w:cs="Helvetica"/>
        </w:rPr>
        <w:t xml:space="preserve"> </w:t>
      </w:r>
      <w:proofErr w:type="spellStart"/>
      <w:r w:rsidRPr="001011DB">
        <w:rPr>
          <w:rFonts w:cs="Helvetica"/>
        </w:rPr>
        <w:t>HiCnv</w:t>
      </w:r>
      <w:proofErr w:type="spellEnd"/>
      <w:r w:rsidRPr="001011DB">
        <w:rPr>
          <w:rFonts w:cs="Helvetica"/>
        </w:rPr>
        <w:t xml:space="preserve"> relative to the performance reported in the publications about these tools, and ideally</w:t>
      </w:r>
      <w:r>
        <w:rPr>
          <w:rFonts w:cs="Helvetica"/>
        </w:rPr>
        <w:t xml:space="preserve"> </w:t>
      </w:r>
      <w:r w:rsidRPr="001011DB">
        <w:rPr>
          <w:rFonts w:cs="Helvetica"/>
        </w:rPr>
        <w:t>explain any discrepancies?</w:t>
      </w:r>
    </w:p>
    <w:p w:rsidR="001011DB" w:rsidRPr="001011DB" w:rsidRDefault="001011DB" w:rsidP="001011DB">
      <w:pPr>
        <w:autoSpaceDE w:val="0"/>
        <w:autoSpaceDN w:val="0"/>
        <w:adjustRightInd w:val="0"/>
        <w:spacing w:after="0" w:line="240" w:lineRule="auto"/>
        <w:rPr>
          <w:rFonts w:cs="Helvetica"/>
          <w:color w:val="0070C0"/>
        </w:rPr>
      </w:pPr>
      <w:r w:rsidRPr="001011DB">
        <w:rPr>
          <w:rFonts w:cs="Helvetica"/>
          <w:color w:val="0070C0"/>
        </w:rPr>
        <w:t>This is an excellent question. For CNVs, what we have found in our evaluations is that the</w:t>
      </w:r>
      <w:r>
        <w:rPr>
          <w:rFonts w:cs="Helvetica"/>
          <w:color w:val="0070C0"/>
        </w:rPr>
        <w:t xml:space="preserve"> </w:t>
      </w:r>
      <w:r w:rsidRPr="001011DB">
        <w:rPr>
          <w:rFonts w:cs="Helvetica"/>
          <w:color w:val="0070C0"/>
        </w:rPr>
        <w:t xml:space="preserve">performance of </w:t>
      </w:r>
      <w:proofErr w:type="spellStart"/>
      <w:r w:rsidRPr="001011DB">
        <w:rPr>
          <w:rFonts w:cs="Helvetica"/>
          <w:color w:val="0070C0"/>
        </w:rPr>
        <w:t>HiCnv</w:t>
      </w:r>
      <w:proofErr w:type="spellEnd"/>
      <w:r w:rsidRPr="001011DB">
        <w:rPr>
          <w:rFonts w:cs="Helvetica"/>
          <w:color w:val="0070C0"/>
        </w:rPr>
        <w:t xml:space="preserve"> is uneven across datasets. For some cell lines (e.g., </w:t>
      </w:r>
      <w:proofErr w:type="spellStart"/>
      <w:r w:rsidRPr="001011DB">
        <w:rPr>
          <w:rFonts w:cs="Helvetica"/>
          <w:color w:val="0070C0"/>
        </w:rPr>
        <w:t>LNCaP</w:t>
      </w:r>
      <w:proofErr w:type="spellEnd"/>
      <w:r w:rsidRPr="001011DB">
        <w:rPr>
          <w:rFonts w:cs="Helvetica"/>
          <w:color w:val="0070C0"/>
        </w:rPr>
        <w:t>), it</w:t>
      </w:r>
      <w:r>
        <w:rPr>
          <w:rFonts w:cs="Helvetica"/>
          <w:color w:val="0070C0"/>
        </w:rPr>
        <w:t xml:space="preserve"> </w:t>
      </w:r>
      <w:r w:rsidRPr="001011DB">
        <w:rPr>
          <w:rFonts w:cs="Helvetica"/>
          <w:color w:val="0070C0"/>
        </w:rPr>
        <w:t>performed reasonably well; for others (e.g., K562, GM12878), it did not perform well. One</w:t>
      </w:r>
      <w:r>
        <w:rPr>
          <w:rFonts w:cs="Helvetica"/>
          <w:color w:val="0070C0"/>
        </w:rPr>
        <w:t xml:space="preserve"> </w:t>
      </w:r>
      <w:r w:rsidRPr="001011DB">
        <w:rPr>
          <w:rFonts w:cs="Helvetica"/>
          <w:color w:val="0070C0"/>
        </w:rPr>
        <w:t>difference for the good performance group is that they have low sequencing coverage, but it is</w:t>
      </w:r>
      <w:r>
        <w:rPr>
          <w:rFonts w:cs="Helvetica"/>
          <w:color w:val="0070C0"/>
        </w:rPr>
        <w:t xml:space="preserve"> </w:t>
      </w:r>
      <w:r w:rsidRPr="001011DB">
        <w:rPr>
          <w:rFonts w:cs="Helvetica"/>
          <w:color w:val="0070C0"/>
        </w:rPr>
        <w:t>not clear why the coverage should make a substantial difference.</w:t>
      </w:r>
    </w:p>
    <w:p w:rsidR="001011DB" w:rsidRDefault="001011DB" w:rsidP="001011DB">
      <w:pPr>
        <w:autoSpaceDE w:val="0"/>
        <w:autoSpaceDN w:val="0"/>
        <w:adjustRightInd w:val="0"/>
        <w:spacing w:after="0" w:line="240" w:lineRule="auto"/>
        <w:rPr>
          <w:rFonts w:cs="Helvetica"/>
          <w:color w:val="0070C0"/>
        </w:rPr>
      </w:pPr>
      <w:r w:rsidRPr="001011DB">
        <w:rPr>
          <w:rFonts w:cs="Helvetica"/>
          <w:color w:val="0070C0"/>
        </w:rPr>
        <w:t xml:space="preserve">For translocations, we could not reproduce the results of </w:t>
      </w:r>
      <w:proofErr w:type="spellStart"/>
      <w:r w:rsidRPr="001011DB">
        <w:rPr>
          <w:rFonts w:cs="Helvetica"/>
          <w:color w:val="0070C0"/>
        </w:rPr>
        <w:t>HiCtrans</w:t>
      </w:r>
      <w:proofErr w:type="spellEnd"/>
      <w:r w:rsidRPr="001011DB">
        <w:rPr>
          <w:rFonts w:cs="Helvetica"/>
          <w:color w:val="0070C0"/>
        </w:rPr>
        <w:t xml:space="preserve"> when we applied their</w:t>
      </w:r>
      <w:r>
        <w:rPr>
          <w:rFonts w:cs="Helvetica"/>
          <w:color w:val="0070C0"/>
        </w:rPr>
        <w:t xml:space="preserve"> </w:t>
      </w:r>
      <w:r w:rsidRPr="001011DB">
        <w:rPr>
          <w:rFonts w:cs="Helvetica"/>
          <w:color w:val="0070C0"/>
        </w:rPr>
        <w:t>algorithm to some of the datasets used in that paper. Our guess is that they used additional</w:t>
      </w:r>
      <w:r>
        <w:rPr>
          <w:rFonts w:cs="Helvetica"/>
          <w:color w:val="0070C0"/>
        </w:rPr>
        <w:t xml:space="preserve"> </w:t>
      </w:r>
      <w:r w:rsidRPr="001011DB">
        <w:rPr>
          <w:rFonts w:cs="Helvetica"/>
          <w:color w:val="0070C0"/>
        </w:rPr>
        <w:t>filtering to get the final results, but they neglected to describe the details in their paper. In our</w:t>
      </w:r>
      <w:r>
        <w:rPr>
          <w:rFonts w:cs="Helvetica"/>
          <w:color w:val="0070C0"/>
        </w:rPr>
        <w:t xml:space="preserve"> </w:t>
      </w:r>
      <w:r w:rsidRPr="001011DB">
        <w:rPr>
          <w:rFonts w:cs="Helvetica"/>
          <w:color w:val="0070C0"/>
        </w:rPr>
        <w:t>manuscript, we used the previously reported FISH-validated translocations as the gold standard</w:t>
      </w:r>
      <w:r>
        <w:rPr>
          <w:rFonts w:cs="Helvetica"/>
          <w:color w:val="0070C0"/>
        </w:rPr>
        <w:t xml:space="preserve"> </w:t>
      </w:r>
      <w:r w:rsidRPr="001011DB">
        <w:rPr>
          <w:rFonts w:cs="Helvetica"/>
          <w:color w:val="0070C0"/>
        </w:rPr>
        <w:t>to evaluate algorithms, as well as WGS-identified breakpoints.</w:t>
      </w:r>
    </w:p>
    <w:p w:rsidR="001011DB" w:rsidRPr="001011DB" w:rsidRDefault="001011DB" w:rsidP="001011DB">
      <w:pPr>
        <w:autoSpaceDE w:val="0"/>
        <w:autoSpaceDN w:val="0"/>
        <w:adjustRightInd w:val="0"/>
        <w:spacing w:after="0" w:line="240" w:lineRule="auto"/>
        <w:rPr>
          <w:rFonts w:cs="Helvetica"/>
          <w:color w:val="0070C0"/>
        </w:rPr>
      </w:pPr>
    </w:p>
    <w:p w:rsidR="001011DB" w:rsidRPr="001011DB" w:rsidRDefault="001011DB" w:rsidP="001011DB">
      <w:pPr>
        <w:autoSpaceDE w:val="0"/>
        <w:autoSpaceDN w:val="0"/>
        <w:adjustRightInd w:val="0"/>
        <w:spacing w:after="0" w:line="240" w:lineRule="auto"/>
        <w:rPr>
          <w:rFonts w:cs="Helvetica"/>
        </w:rPr>
      </w:pPr>
      <w:r w:rsidRPr="001011DB">
        <w:rPr>
          <w:rFonts w:cs="Helvetica"/>
        </w:rPr>
        <w:t>4. It would be good to perform statistical tests when claiming HINT outperforms other methods,</w:t>
      </w:r>
      <w:r>
        <w:rPr>
          <w:rFonts w:cs="Helvetica"/>
        </w:rPr>
        <w:t xml:space="preserve"> </w:t>
      </w:r>
      <w:r w:rsidRPr="001011DB">
        <w:rPr>
          <w:rFonts w:cs="Helvetica"/>
        </w:rPr>
        <w:t>e.g., for the AUC comparisons in line 304.</w:t>
      </w:r>
    </w:p>
    <w:p w:rsidR="001011DB" w:rsidRPr="001011DB" w:rsidRDefault="001011DB" w:rsidP="001011DB">
      <w:pPr>
        <w:autoSpaceDE w:val="0"/>
        <w:autoSpaceDN w:val="0"/>
        <w:adjustRightInd w:val="0"/>
        <w:spacing w:after="0" w:line="240" w:lineRule="auto"/>
        <w:rPr>
          <w:rFonts w:cs="Helvetica"/>
          <w:color w:val="0070C0"/>
        </w:rPr>
      </w:pPr>
      <w:r w:rsidRPr="001011DB">
        <w:rPr>
          <w:rFonts w:cs="Helvetica"/>
          <w:color w:val="0070C0"/>
        </w:rPr>
        <w:t xml:space="preserve">We have added p-values for the AUC comparisons between </w:t>
      </w:r>
      <w:proofErr w:type="spellStart"/>
      <w:r w:rsidRPr="001011DB">
        <w:rPr>
          <w:rFonts w:cs="Helvetica"/>
          <w:color w:val="0070C0"/>
        </w:rPr>
        <w:t>HiNT</w:t>
      </w:r>
      <w:proofErr w:type="spellEnd"/>
      <w:r w:rsidRPr="001011DB">
        <w:rPr>
          <w:rFonts w:cs="Helvetica"/>
          <w:color w:val="0070C0"/>
        </w:rPr>
        <w:t xml:space="preserve"> and other methods. The </w:t>
      </w:r>
      <w:proofErr w:type="spellStart"/>
      <w:r w:rsidRPr="001011DB">
        <w:rPr>
          <w:rFonts w:cs="Helvetica"/>
          <w:color w:val="0070C0"/>
        </w:rPr>
        <w:t>pvalues</w:t>
      </w:r>
      <w:proofErr w:type="spellEnd"/>
      <w:r>
        <w:rPr>
          <w:rFonts w:cs="Helvetica"/>
          <w:color w:val="0070C0"/>
        </w:rPr>
        <w:t xml:space="preserve"> </w:t>
      </w:r>
      <w:r w:rsidRPr="001011DB">
        <w:rPr>
          <w:rFonts w:cs="Helvetica"/>
          <w:color w:val="0070C0"/>
        </w:rPr>
        <w:t xml:space="preserve">are calculated with the R package </w:t>
      </w:r>
      <w:proofErr w:type="spellStart"/>
      <w:r w:rsidRPr="001011DB">
        <w:rPr>
          <w:rFonts w:cs="Helvetica"/>
          <w:color w:val="0070C0"/>
        </w:rPr>
        <w:t>pROC</w:t>
      </w:r>
      <w:proofErr w:type="spellEnd"/>
      <w:r w:rsidRPr="001011DB">
        <w:rPr>
          <w:rFonts w:cs="Helvetica"/>
          <w:color w:val="0070C0"/>
        </w:rPr>
        <w:t xml:space="preserve"> by adopting the bootstrap method [11].</w:t>
      </w:r>
    </w:p>
    <w:p w:rsidR="001011DB" w:rsidRPr="001011DB" w:rsidRDefault="001011DB" w:rsidP="001011DB">
      <w:pPr>
        <w:autoSpaceDE w:val="0"/>
        <w:autoSpaceDN w:val="0"/>
        <w:adjustRightInd w:val="0"/>
        <w:spacing w:after="0" w:line="240" w:lineRule="auto"/>
        <w:rPr>
          <w:rFonts w:cs="Helvetica"/>
        </w:rPr>
      </w:pPr>
    </w:p>
    <w:p w:rsidR="001011DB" w:rsidRPr="001011DB" w:rsidRDefault="001011DB" w:rsidP="001011DB">
      <w:pPr>
        <w:autoSpaceDE w:val="0"/>
        <w:autoSpaceDN w:val="0"/>
        <w:adjustRightInd w:val="0"/>
        <w:spacing w:after="0" w:line="240" w:lineRule="auto"/>
        <w:rPr>
          <w:rFonts w:cs="Helvetica-Bold"/>
          <w:b/>
          <w:bCs/>
        </w:rPr>
      </w:pPr>
      <w:r w:rsidRPr="001011DB">
        <w:rPr>
          <w:rFonts w:cs="Helvetica-Bold"/>
          <w:b/>
          <w:bCs/>
        </w:rPr>
        <w:t>REFERENCE</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1. Wu H-J, </w:t>
      </w:r>
      <w:proofErr w:type="spellStart"/>
      <w:r w:rsidRPr="001011DB">
        <w:rPr>
          <w:rFonts w:cs="Helvetica"/>
        </w:rPr>
        <w:t>Michor</w:t>
      </w:r>
      <w:proofErr w:type="spellEnd"/>
      <w:r w:rsidRPr="001011DB">
        <w:rPr>
          <w:rFonts w:cs="Helvetica"/>
        </w:rPr>
        <w:t xml:space="preserve"> F: </w:t>
      </w:r>
      <w:r w:rsidRPr="001011DB">
        <w:rPr>
          <w:rFonts w:cs="Helvetica-Bold"/>
          <w:b/>
          <w:bCs/>
        </w:rPr>
        <w:t xml:space="preserve">A computational strategy to adjust for copy number in </w:t>
      </w:r>
      <w:proofErr w:type="spellStart"/>
      <w:r w:rsidRPr="001011DB">
        <w:rPr>
          <w:rFonts w:cs="Helvetica-Bold"/>
          <w:b/>
          <w:bCs/>
        </w:rPr>
        <w:t>tumor</w:t>
      </w:r>
      <w:proofErr w:type="spellEnd"/>
      <w:r w:rsidRPr="001011DB">
        <w:rPr>
          <w:rFonts w:cs="Helvetica-Bold"/>
          <w:b/>
          <w:bCs/>
        </w:rPr>
        <w:t xml:space="preserve"> Hi-C</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lastRenderedPageBreak/>
        <w:t>data</w:t>
      </w:r>
      <w:proofErr w:type="gramEnd"/>
      <w:r w:rsidRPr="001011DB">
        <w:rPr>
          <w:rFonts w:cs="Helvetica"/>
        </w:rPr>
        <w:t xml:space="preserve">. </w:t>
      </w:r>
      <w:r w:rsidRPr="001011DB">
        <w:rPr>
          <w:rFonts w:cs="Helvetica-Oblique"/>
          <w:i/>
          <w:iCs/>
        </w:rPr>
        <w:t xml:space="preserve">Bioinformatics </w:t>
      </w:r>
      <w:r w:rsidRPr="001011DB">
        <w:rPr>
          <w:rFonts w:cs="Helvetica"/>
        </w:rPr>
        <w:t>2016:1–7.</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2. </w:t>
      </w:r>
      <w:proofErr w:type="spellStart"/>
      <w:r w:rsidRPr="001011DB">
        <w:rPr>
          <w:rFonts w:cs="Helvetica"/>
        </w:rPr>
        <w:t>Yaffe</w:t>
      </w:r>
      <w:proofErr w:type="spellEnd"/>
      <w:r w:rsidRPr="001011DB">
        <w:rPr>
          <w:rFonts w:cs="Helvetica"/>
        </w:rPr>
        <w:t xml:space="preserve"> E, </w:t>
      </w:r>
      <w:proofErr w:type="spellStart"/>
      <w:r w:rsidRPr="001011DB">
        <w:rPr>
          <w:rFonts w:cs="Helvetica"/>
        </w:rPr>
        <w:t>Tanay</w:t>
      </w:r>
      <w:proofErr w:type="spellEnd"/>
      <w:r w:rsidRPr="001011DB">
        <w:rPr>
          <w:rFonts w:cs="Helvetica"/>
        </w:rPr>
        <w:t xml:space="preserve"> A: </w:t>
      </w:r>
      <w:r w:rsidRPr="001011DB">
        <w:rPr>
          <w:rFonts w:cs="Helvetica-Bold"/>
          <w:b/>
          <w:bCs/>
        </w:rPr>
        <w:t xml:space="preserve">Probabilistic </w:t>
      </w:r>
      <w:proofErr w:type="spellStart"/>
      <w:r w:rsidRPr="001011DB">
        <w:rPr>
          <w:rFonts w:cs="Helvetica-Bold"/>
          <w:b/>
          <w:bCs/>
        </w:rPr>
        <w:t>modeling</w:t>
      </w:r>
      <w:proofErr w:type="spellEnd"/>
      <w:r w:rsidRPr="001011DB">
        <w:rPr>
          <w:rFonts w:cs="Helvetica-Bold"/>
          <w:b/>
          <w:bCs/>
        </w:rPr>
        <w:t xml:space="preserve"> of Hi-C contact maps eliminates systematic</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t>biases</w:t>
      </w:r>
      <w:proofErr w:type="gramEnd"/>
      <w:r w:rsidRPr="001011DB">
        <w:rPr>
          <w:rFonts w:cs="Helvetica-Bold"/>
          <w:b/>
          <w:bCs/>
        </w:rPr>
        <w:t xml:space="preserve"> to characterize global chromosomal architecture. </w:t>
      </w:r>
      <w:r w:rsidRPr="001011DB">
        <w:rPr>
          <w:rFonts w:cs="Helvetica-Oblique"/>
          <w:i/>
          <w:iCs/>
        </w:rPr>
        <w:t xml:space="preserve">Nat Genet </w:t>
      </w:r>
      <w:r w:rsidRPr="001011DB">
        <w:rPr>
          <w:rFonts w:cs="Helvetica"/>
        </w:rPr>
        <w:t xml:space="preserve">2011, </w:t>
      </w:r>
      <w:r w:rsidRPr="001011DB">
        <w:rPr>
          <w:rFonts w:cs="Helvetica-Bold"/>
          <w:b/>
          <w:bCs/>
        </w:rPr>
        <w:t>43</w:t>
      </w:r>
      <w:r w:rsidRPr="001011DB">
        <w:rPr>
          <w:rFonts w:cs="Helvetica"/>
        </w:rPr>
        <w:t>:1059–1065.</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3. Chakraborty A, Ay F: </w:t>
      </w:r>
      <w:r w:rsidRPr="001011DB">
        <w:rPr>
          <w:rFonts w:cs="Helvetica-Bold"/>
          <w:b/>
          <w:bCs/>
        </w:rPr>
        <w:t>Identification of copy number variations and translocations in</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t>cancer</w:t>
      </w:r>
      <w:proofErr w:type="gramEnd"/>
      <w:r w:rsidRPr="001011DB">
        <w:rPr>
          <w:rFonts w:cs="Helvetica-Bold"/>
          <w:b/>
          <w:bCs/>
        </w:rPr>
        <w:t xml:space="preserve"> cells from Hi-C data. </w:t>
      </w:r>
      <w:r w:rsidRPr="001011DB">
        <w:rPr>
          <w:rFonts w:cs="Helvetica-Oblique"/>
          <w:i/>
          <w:iCs/>
        </w:rPr>
        <w:t xml:space="preserve">Bioinformatics </w:t>
      </w:r>
      <w:r w:rsidRPr="001011DB">
        <w:rPr>
          <w:rFonts w:cs="Helvetica"/>
        </w:rPr>
        <w:t xml:space="preserve">2017, </w:t>
      </w:r>
      <w:r w:rsidRPr="001011DB">
        <w:rPr>
          <w:rFonts w:cs="Helvetica-Bold"/>
          <w:b/>
          <w:bCs/>
        </w:rPr>
        <w:t>34</w:t>
      </w:r>
      <w:r w:rsidRPr="001011DB">
        <w:rPr>
          <w:rFonts w:cs="Helvetica"/>
        </w:rPr>
        <w:t>:338–345.</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4. Vidal E, le </w:t>
      </w:r>
      <w:proofErr w:type="spellStart"/>
      <w:r w:rsidRPr="001011DB">
        <w:rPr>
          <w:rFonts w:cs="Helvetica"/>
        </w:rPr>
        <w:t>Dily</w:t>
      </w:r>
      <w:proofErr w:type="spellEnd"/>
      <w:r w:rsidRPr="001011DB">
        <w:rPr>
          <w:rFonts w:cs="Helvetica"/>
        </w:rPr>
        <w:t xml:space="preserve"> F, </w:t>
      </w:r>
      <w:proofErr w:type="spellStart"/>
      <w:r w:rsidRPr="001011DB">
        <w:rPr>
          <w:rFonts w:cs="Helvetica"/>
        </w:rPr>
        <w:t>Quilez</w:t>
      </w:r>
      <w:proofErr w:type="spellEnd"/>
      <w:r w:rsidRPr="001011DB">
        <w:rPr>
          <w:rFonts w:cs="Helvetica"/>
        </w:rPr>
        <w:t xml:space="preserve"> J, </w:t>
      </w:r>
      <w:proofErr w:type="spellStart"/>
      <w:r w:rsidRPr="001011DB">
        <w:rPr>
          <w:rFonts w:cs="Helvetica"/>
        </w:rPr>
        <w:t>Stadhouders</w:t>
      </w:r>
      <w:proofErr w:type="spellEnd"/>
      <w:r w:rsidRPr="001011DB">
        <w:rPr>
          <w:rFonts w:cs="Helvetica"/>
        </w:rPr>
        <w:t xml:space="preserve"> R, </w:t>
      </w:r>
      <w:proofErr w:type="spellStart"/>
      <w:r w:rsidRPr="001011DB">
        <w:rPr>
          <w:rFonts w:cs="Helvetica"/>
        </w:rPr>
        <w:t>Cuartero</w:t>
      </w:r>
      <w:proofErr w:type="spellEnd"/>
      <w:r w:rsidRPr="001011DB">
        <w:rPr>
          <w:rFonts w:cs="Helvetica"/>
        </w:rPr>
        <w:t xml:space="preserve"> Y, Graf T, Marti-</w:t>
      </w:r>
      <w:proofErr w:type="spellStart"/>
      <w:r w:rsidRPr="001011DB">
        <w:rPr>
          <w:rFonts w:cs="Helvetica"/>
        </w:rPr>
        <w:t>Renom</w:t>
      </w:r>
      <w:proofErr w:type="spellEnd"/>
      <w:r w:rsidRPr="001011DB">
        <w:rPr>
          <w:rFonts w:cs="Helvetica"/>
        </w:rPr>
        <w:t xml:space="preserve"> MA, </w:t>
      </w:r>
      <w:proofErr w:type="spellStart"/>
      <w:r w:rsidRPr="001011DB">
        <w:rPr>
          <w:rFonts w:cs="Helvetica"/>
        </w:rPr>
        <w:t>Beato</w:t>
      </w:r>
      <w:proofErr w:type="spellEnd"/>
      <w:r w:rsidRPr="001011DB">
        <w:rPr>
          <w:rFonts w:cs="Helvetica"/>
        </w:rPr>
        <w:t xml:space="preserve"> M,</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Filion GJ: </w:t>
      </w:r>
      <w:proofErr w:type="spellStart"/>
      <w:r w:rsidRPr="001011DB">
        <w:rPr>
          <w:rFonts w:cs="Helvetica-Bold"/>
          <w:b/>
          <w:bCs/>
        </w:rPr>
        <w:t>OneD</w:t>
      </w:r>
      <w:proofErr w:type="spellEnd"/>
      <w:r w:rsidRPr="001011DB">
        <w:rPr>
          <w:rFonts w:cs="Helvetica-Bold"/>
          <w:b/>
          <w:bCs/>
        </w:rPr>
        <w:t>: increasing reproducibility of Hi-C samples with abnormal karyotypes</w:t>
      </w:r>
      <w:r w:rsidRPr="001011DB">
        <w:rPr>
          <w:rFonts w:cs="Helvetica"/>
        </w:rPr>
        <w:t>.</w:t>
      </w:r>
    </w:p>
    <w:p w:rsidR="001011DB" w:rsidRPr="001011DB" w:rsidRDefault="001011DB" w:rsidP="001011DB">
      <w:pPr>
        <w:autoSpaceDE w:val="0"/>
        <w:autoSpaceDN w:val="0"/>
        <w:adjustRightInd w:val="0"/>
        <w:spacing w:after="0" w:line="240" w:lineRule="auto"/>
        <w:rPr>
          <w:rFonts w:cs="Helvetica"/>
        </w:rPr>
      </w:pPr>
      <w:r w:rsidRPr="001011DB">
        <w:rPr>
          <w:rFonts w:cs="Helvetica-Oblique"/>
          <w:i/>
          <w:iCs/>
        </w:rPr>
        <w:t xml:space="preserve">Nucleic Acids Research </w:t>
      </w:r>
      <w:r w:rsidRPr="001011DB">
        <w:rPr>
          <w:rFonts w:cs="Helvetica"/>
        </w:rPr>
        <w:t xml:space="preserve">2018, </w:t>
      </w:r>
      <w:r w:rsidRPr="001011DB">
        <w:rPr>
          <w:rFonts w:cs="Helvetica-Bold"/>
          <w:b/>
          <w:bCs/>
        </w:rPr>
        <w:t>46</w:t>
      </w:r>
      <w:r w:rsidRPr="001011DB">
        <w:rPr>
          <w:rFonts w:cs="Helvetica"/>
        </w:rPr>
        <w:t>:e49–e49.</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5. </w:t>
      </w:r>
      <w:proofErr w:type="spellStart"/>
      <w:r w:rsidRPr="001011DB">
        <w:rPr>
          <w:rFonts w:cs="Helvetica"/>
        </w:rPr>
        <w:t>Imakaev</w:t>
      </w:r>
      <w:proofErr w:type="spellEnd"/>
      <w:r w:rsidRPr="001011DB">
        <w:rPr>
          <w:rFonts w:cs="Helvetica"/>
        </w:rPr>
        <w:t xml:space="preserve"> M, </w:t>
      </w:r>
      <w:proofErr w:type="spellStart"/>
      <w:r w:rsidRPr="001011DB">
        <w:rPr>
          <w:rFonts w:cs="Helvetica"/>
        </w:rPr>
        <w:t>Fudenberg</w:t>
      </w:r>
      <w:proofErr w:type="spellEnd"/>
      <w:r w:rsidRPr="001011DB">
        <w:rPr>
          <w:rFonts w:cs="Helvetica"/>
        </w:rPr>
        <w:t xml:space="preserve"> G, McCord RP, </w:t>
      </w:r>
      <w:proofErr w:type="spellStart"/>
      <w:r w:rsidRPr="001011DB">
        <w:rPr>
          <w:rFonts w:cs="Helvetica"/>
        </w:rPr>
        <w:t>Naumova</w:t>
      </w:r>
      <w:proofErr w:type="spellEnd"/>
      <w:r w:rsidRPr="001011DB">
        <w:rPr>
          <w:rFonts w:cs="Helvetica"/>
        </w:rPr>
        <w:t xml:space="preserve"> N, </w:t>
      </w:r>
      <w:proofErr w:type="spellStart"/>
      <w:r w:rsidRPr="001011DB">
        <w:rPr>
          <w:rFonts w:cs="Helvetica"/>
        </w:rPr>
        <w:t>Goloborodko</w:t>
      </w:r>
      <w:proofErr w:type="spellEnd"/>
      <w:r w:rsidRPr="001011DB">
        <w:rPr>
          <w:rFonts w:cs="Helvetica"/>
        </w:rPr>
        <w:t xml:space="preserve"> A, </w:t>
      </w:r>
      <w:proofErr w:type="spellStart"/>
      <w:r w:rsidRPr="001011DB">
        <w:rPr>
          <w:rFonts w:cs="Helvetica"/>
        </w:rPr>
        <w:t>Lajoie</w:t>
      </w:r>
      <w:proofErr w:type="spellEnd"/>
      <w:r w:rsidRPr="001011DB">
        <w:rPr>
          <w:rFonts w:cs="Helvetica"/>
        </w:rPr>
        <w:t xml:space="preserve"> BR, Dekker J,</w:t>
      </w:r>
    </w:p>
    <w:p w:rsidR="001011DB" w:rsidRPr="001011DB" w:rsidRDefault="001011DB" w:rsidP="001011DB">
      <w:pPr>
        <w:autoSpaceDE w:val="0"/>
        <w:autoSpaceDN w:val="0"/>
        <w:adjustRightInd w:val="0"/>
        <w:spacing w:after="0" w:line="240" w:lineRule="auto"/>
        <w:rPr>
          <w:rFonts w:cs="Helvetica"/>
        </w:rPr>
      </w:pPr>
      <w:proofErr w:type="spellStart"/>
      <w:r w:rsidRPr="001011DB">
        <w:rPr>
          <w:rFonts w:cs="Helvetica"/>
        </w:rPr>
        <w:t>Mirny</w:t>
      </w:r>
      <w:proofErr w:type="spellEnd"/>
      <w:r w:rsidRPr="001011DB">
        <w:rPr>
          <w:rFonts w:cs="Helvetica"/>
        </w:rPr>
        <w:t xml:space="preserve"> LA: </w:t>
      </w:r>
      <w:r w:rsidRPr="001011DB">
        <w:rPr>
          <w:rFonts w:cs="Helvetica-Bold"/>
          <w:b/>
          <w:bCs/>
        </w:rPr>
        <w:t>Iterative correction of Hi-C data reveals hallmarks of chromosome organization</w:t>
      </w:r>
      <w:r w:rsidRPr="001011DB">
        <w:rPr>
          <w:rFonts w:cs="Helvetica"/>
        </w:rPr>
        <w:t>.</w:t>
      </w:r>
    </w:p>
    <w:p w:rsidR="001011DB" w:rsidRPr="001011DB" w:rsidRDefault="001011DB" w:rsidP="001011DB">
      <w:pPr>
        <w:autoSpaceDE w:val="0"/>
        <w:autoSpaceDN w:val="0"/>
        <w:adjustRightInd w:val="0"/>
        <w:spacing w:after="0" w:line="240" w:lineRule="auto"/>
        <w:rPr>
          <w:rFonts w:cs="Helvetica"/>
        </w:rPr>
      </w:pPr>
      <w:r w:rsidRPr="001011DB">
        <w:rPr>
          <w:rFonts w:cs="Helvetica-Oblique"/>
          <w:i/>
          <w:iCs/>
        </w:rPr>
        <w:t xml:space="preserve">Nat Meth </w:t>
      </w:r>
      <w:r w:rsidRPr="001011DB">
        <w:rPr>
          <w:rFonts w:cs="Helvetica"/>
        </w:rPr>
        <w:t xml:space="preserve">2012, </w:t>
      </w:r>
      <w:r w:rsidRPr="001011DB">
        <w:rPr>
          <w:rFonts w:cs="Helvetica-Bold"/>
          <w:b/>
          <w:bCs/>
        </w:rPr>
        <w:t>9</w:t>
      </w:r>
      <w:r w:rsidRPr="001011DB">
        <w:rPr>
          <w:rFonts w:cs="Helvetica"/>
        </w:rPr>
        <w:t>:999–1003.</w:t>
      </w:r>
    </w:p>
    <w:p w:rsidR="001011DB" w:rsidRPr="001011DB" w:rsidRDefault="001011DB" w:rsidP="001011DB">
      <w:pPr>
        <w:autoSpaceDE w:val="0"/>
        <w:autoSpaceDN w:val="0"/>
        <w:adjustRightInd w:val="0"/>
        <w:spacing w:after="0" w:line="240" w:lineRule="auto"/>
        <w:rPr>
          <w:rFonts w:cs="Calibri"/>
        </w:rPr>
      </w:pPr>
      <w:r w:rsidRPr="001011DB">
        <w:rPr>
          <w:rFonts w:cs="Calibri"/>
        </w:rPr>
        <w:t>19</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6. </w:t>
      </w:r>
      <w:proofErr w:type="spellStart"/>
      <w:r w:rsidRPr="001011DB">
        <w:rPr>
          <w:rFonts w:cs="Helvetica"/>
        </w:rPr>
        <w:t>Tubio</w:t>
      </w:r>
      <w:proofErr w:type="spellEnd"/>
      <w:r w:rsidRPr="001011DB">
        <w:rPr>
          <w:rFonts w:cs="Helvetica"/>
        </w:rPr>
        <w:t xml:space="preserve"> JMC, Li Y, </w:t>
      </w:r>
      <w:proofErr w:type="spellStart"/>
      <w:r w:rsidRPr="001011DB">
        <w:rPr>
          <w:rFonts w:cs="Helvetica"/>
        </w:rPr>
        <w:t>Ju</w:t>
      </w:r>
      <w:proofErr w:type="spellEnd"/>
      <w:r w:rsidRPr="001011DB">
        <w:rPr>
          <w:rFonts w:cs="Helvetica"/>
        </w:rPr>
        <w:t xml:space="preserve"> YS, </w:t>
      </w:r>
      <w:proofErr w:type="spellStart"/>
      <w:r w:rsidRPr="001011DB">
        <w:rPr>
          <w:rFonts w:cs="Helvetica"/>
        </w:rPr>
        <w:t>Martincorena</w:t>
      </w:r>
      <w:proofErr w:type="spellEnd"/>
      <w:r w:rsidRPr="001011DB">
        <w:rPr>
          <w:rFonts w:cs="Helvetica"/>
        </w:rPr>
        <w:t xml:space="preserve"> I, Cooke SL, </w:t>
      </w:r>
      <w:proofErr w:type="spellStart"/>
      <w:r w:rsidRPr="001011DB">
        <w:rPr>
          <w:rFonts w:cs="Helvetica"/>
        </w:rPr>
        <w:t>Tojo</w:t>
      </w:r>
      <w:proofErr w:type="spellEnd"/>
      <w:r w:rsidRPr="001011DB">
        <w:rPr>
          <w:rFonts w:cs="Helvetica"/>
        </w:rPr>
        <w:t xml:space="preserve"> M, </w:t>
      </w:r>
      <w:proofErr w:type="spellStart"/>
      <w:r w:rsidRPr="001011DB">
        <w:rPr>
          <w:rFonts w:cs="Helvetica"/>
        </w:rPr>
        <w:t>Gundem</w:t>
      </w:r>
      <w:proofErr w:type="spellEnd"/>
      <w:r w:rsidRPr="001011DB">
        <w:rPr>
          <w:rFonts w:cs="Helvetica"/>
        </w:rPr>
        <w:t xml:space="preserve"> G, </w:t>
      </w:r>
      <w:proofErr w:type="spellStart"/>
      <w:r w:rsidRPr="001011DB">
        <w:rPr>
          <w:rFonts w:cs="Helvetica"/>
        </w:rPr>
        <w:t>Pipinikas</w:t>
      </w:r>
      <w:proofErr w:type="spellEnd"/>
      <w:r w:rsidRPr="001011DB">
        <w:rPr>
          <w:rFonts w:cs="Helvetica"/>
        </w:rPr>
        <w:t xml:space="preserve"> CP,</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Zamora J, </w:t>
      </w:r>
      <w:proofErr w:type="spellStart"/>
      <w:r w:rsidRPr="001011DB">
        <w:rPr>
          <w:rFonts w:cs="Helvetica"/>
        </w:rPr>
        <w:t>Raine</w:t>
      </w:r>
      <w:proofErr w:type="spellEnd"/>
      <w:r w:rsidRPr="001011DB">
        <w:rPr>
          <w:rFonts w:cs="Helvetica"/>
        </w:rPr>
        <w:t xml:space="preserve"> K, Menzies A, Roman-Garcia P, </w:t>
      </w:r>
      <w:proofErr w:type="spellStart"/>
      <w:r w:rsidRPr="001011DB">
        <w:rPr>
          <w:rFonts w:cs="Helvetica"/>
        </w:rPr>
        <w:t>Fullam</w:t>
      </w:r>
      <w:proofErr w:type="spellEnd"/>
      <w:r w:rsidRPr="001011DB">
        <w:rPr>
          <w:rFonts w:cs="Helvetica"/>
        </w:rPr>
        <w:t xml:space="preserve"> A, </w:t>
      </w:r>
      <w:proofErr w:type="spellStart"/>
      <w:r w:rsidRPr="001011DB">
        <w:rPr>
          <w:rFonts w:cs="Helvetica"/>
        </w:rPr>
        <w:t>Gerstung</w:t>
      </w:r>
      <w:proofErr w:type="spellEnd"/>
      <w:r w:rsidRPr="001011DB">
        <w:rPr>
          <w:rFonts w:cs="Helvetica"/>
        </w:rPr>
        <w:t xml:space="preserve"> M, </w:t>
      </w:r>
      <w:proofErr w:type="spellStart"/>
      <w:r w:rsidRPr="001011DB">
        <w:rPr>
          <w:rFonts w:cs="Helvetica"/>
        </w:rPr>
        <w:t>Shlien</w:t>
      </w:r>
      <w:proofErr w:type="spellEnd"/>
      <w:r w:rsidRPr="001011DB">
        <w:rPr>
          <w:rFonts w:cs="Helvetica"/>
        </w:rPr>
        <w:t xml:space="preserve"> A, </w:t>
      </w:r>
      <w:proofErr w:type="spellStart"/>
      <w:r w:rsidRPr="001011DB">
        <w:rPr>
          <w:rFonts w:cs="Helvetica"/>
        </w:rPr>
        <w:t>Tarpey</w:t>
      </w:r>
      <w:proofErr w:type="spellEnd"/>
      <w:r w:rsidRPr="001011DB">
        <w:rPr>
          <w:rFonts w:cs="Helvetica"/>
        </w:rPr>
        <w:t xml:space="preserve"> PS,</w:t>
      </w:r>
    </w:p>
    <w:p w:rsidR="001011DB" w:rsidRPr="001011DB" w:rsidRDefault="001011DB" w:rsidP="001011DB">
      <w:pPr>
        <w:autoSpaceDE w:val="0"/>
        <w:autoSpaceDN w:val="0"/>
        <w:adjustRightInd w:val="0"/>
        <w:spacing w:after="0" w:line="240" w:lineRule="auto"/>
        <w:rPr>
          <w:rFonts w:cs="Helvetica"/>
        </w:rPr>
      </w:pPr>
      <w:proofErr w:type="spellStart"/>
      <w:r w:rsidRPr="001011DB">
        <w:rPr>
          <w:rFonts w:cs="Helvetica"/>
        </w:rPr>
        <w:t>Papaemmanuil</w:t>
      </w:r>
      <w:proofErr w:type="spellEnd"/>
      <w:r w:rsidRPr="001011DB">
        <w:rPr>
          <w:rFonts w:cs="Helvetica"/>
        </w:rPr>
        <w:t xml:space="preserve"> E, </w:t>
      </w:r>
      <w:proofErr w:type="spellStart"/>
      <w:r w:rsidRPr="001011DB">
        <w:rPr>
          <w:rFonts w:cs="Helvetica"/>
        </w:rPr>
        <w:t>Knappskog</w:t>
      </w:r>
      <w:proofErr w:type="spellEnd"/>
      <w:r w:rsidRPr="001011DB">
        <w:rPr>
          <w:rFonts w:cs="Helvetica"/>
        </w:rPr>
        <w:t xml:space="preserve"> S, Van Loo P, Ramakrishna M, Davies HR, Marshall J, Wedge</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DC, Teague JW, Butler AP, Nik-Zainal S, </w:t>
      </w:r>
      <w:proofErr w:type="spellStart"/>
      <w:r w:rsidRPr="001011DB">
        <w:rPr>
          <w:rFonts w:cs="Helvetica"/>
        </w:rPr>
        <w:t>Alexandrov</w:t>
      </w:r>
      <w:proofErr w:type="spellEnd"/>
      <w:r w:rsidRPr="001011DB">
        <w:rPr>
          <w:rFonts w:cs="Helvetica"/>
        </w:rPr>
        <w:t xml:space="preserve"> L, </w:t>
      </w:r>
      <w:proofErr w:type="spellStart"/>
      <w:r w:rsidRPr="001011DB">
        <w:rPr>
          <w:rFonts w:cs="Helvetica"/>
        </w:rPr>
        <w:t>Behjati</w:t>
      </w:r>
      <w:proofErr w:type="spellEnd"/>
      <w:r w:rsidRPr="001011DB">
        <w:rPr>
          <w:rFonts w:cs="Helvetica"/>
        </w:rPr>
        <w:t xml:space="preserve"> S, Yates LR, </w:t>
      </w:r>
      <w:proofErr w:type="spellStart"/>
      <w:r w:rsidRPr="001011DB">
        <w:rPr>
          <w:rFonts w:cs="Helvetica"/>
        </w:rPr>
        <w:t>Bolli</w:t>
      </w:r>
      <w:proofErr w:type="spellEnd"/>
      <w:r w:rsidRPr="001011DB">
        <w:rPr>
          <w:rFonts w:cs="Helvetica"/>
        </w:rPr>
        <w:t xml:space="preserve"> N, et al.:</w:t>
      </w:r>
    </w:p>
    <w:p w:rsidR="001011DB" w:rsidRPr="001011DB" w:rsidRDefault="001011DB" w:rsidP="001011DB">
      <w:pPr>
        <w:autoSpaceDE w:val="0"/>
        <w:autoSpaceDN w:val="0"/>
        <w:adjustRightInd w:val="0"/>
        <w:spacing w:after="0" w:line="240" w:lineRule="auto"/>
        <w:rPr>
          <w:rFonts w:cs="Helvetica-Bold"/>
          <w:b/>
          <w:bCs/>
        </w:rPr>
      </w:pPr>
      <w:r w:rsidRPr="001011DB">
        <w:rPr>
          <w:rFonts w:cs="Helvetica-Bold"/>
          <w:b/>
          <w:bCs/>
        </w:rPr>
        <w:t xml:space="preserve">Extensive transduction of </w:t>
      </w:r>
      <w:proofErr w:type="spellStart"/>
      <w:r w:rsidRPr="001011DB">
        <w:rPr>
          <w:rFonts w:cs="Helvetica-Bold"/>
          <w:b/>
          <w:bCs/>
        </w:rPr>
        <w:t>nonrepetitive</w:t>
      </w:r>
      <w:proofErr w:type="spellEnd"/>
      <w:r w:rsidRPr="001011DB">
        <w:rPr>
          <w:rFonts w:cs="Helvetica-Bold"/>
          <w:b/>
          <w:bCs/>
        </w:rPr>
        <w:t xml:space="preserve"> DNA mediated by L1 </w:t>
      </w:r>
      <w:proofErr w:type="spellStart"/>
      <w:r w:rsidRPr="001011DB">
        <w:rPr>
          <w:rFonts w:cs="Helvetica-Bold"/>
          <w:b/>
          <w:bCs/>
        </w:rPr>
        <w:t>retrotransposition</w:t>
      </w:r>
      <w:proofErr w:type="spellEnd"/>
      <w:r w:rsidRPr="001011DB">
        <w:rPr>
          <w:rFonts w:cs="Helvetica-Bold"/>
          <w:b/>
          <w:bCs/>
        </w:rPr>
        <w:t xml:space="preserve"> in cancer</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t>genomes</w:t>
      </w:r>
      <w:proofErr w:type="gramEnd"/>
      <w:r w:rsidRPr="001011DB">
        <w:rPr>
          <w:rFonts w:cs="Helvetica"/>
        </w:rPr>
        <w:t xml:space="preserve">. </w:t>
      </w:r>
      <w:r w:rsidRPr="001011DB">
        <w:rPr>
          <w:rFonts w:cs="Helvetica-Oblique"/>
          <w:i/>
          <w:iCs/>
        </w:rPr>
        <w:t xml:space="preserve">Science </w:t>
      </w:r>
      <w:r w:rsidRPr="001011DB">
        <w:rPr>
          <w:rFonts w:cs="Helvetica"/>
        </w:rPr>
        <w:t xml:space="preserve">2014, </w:t>
      </w:r>
      <w:r w:rsidRPr="001011DB">
        <w:rPr>
          <w:rFonts w:cs="Helvetica-Bold"/>
          <w:b/>
          <w:bCs/>
        </w:rPr>
        <w:t>345</w:t>
      </w:r>
      <w:r w:rsidRPr="001011DB">
        <w:rPr>
          <w:rFonts w:cs="Helvetica"/>
        </w:rPr>
        <w:t>:1251343–1251343.</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7. </w:t>
      </w:r>
      <w:proofErr w:type="spellStart"/>
      <w:r w:rsidRPr="001011DB">
        <w:rPr>
          <w:rFonts w:cs="Helvetica"/>
        </w:rPr>
        <w:t>Taberlay</w:t>
      </w:r>
      <w:proofErr w:type="spellEnd"/>
      <w:r w:rsidRPr="001011DB">
        <w:rPr>
          <w:rFonts w:cs="Helvetica"/>
        </w:rPr>
        <w:t xml:space="preserve"> PC, </w:t>
      </w:r>
      <w:proofErr w:type="spellStart"/>
      <w:r w:rsidRPr="001011DB">
        <w:rPr>
          <w:rFonts w:cs="Helvetica"/>
        </w:rPr>
        <w:t>Achinger-Kawecka</w:t>
      </w:r>
      <w:proofErr w:type="spellEnd"/>
      <w:r w:rsidRPr="001011DB">
        <w:rPr>
          <w:rFonts w:cs="Helvetica"/>
        </w:rPr>
        <w:t xml:space="preserve"> J, </w:t>
      </w:r>
      <w:proofErr w:type="spellStart"/>
      <w:r w:rsidRPr="001011DB">
        <w:rPr>
          <w:rFonts w:cs="Helvetica"/>
        </w:rPr>
        <w:t>Lun</w:t>
      </w:r>
      <w:proofErr w:type="spellEnd"/>
      <w:r w:rsidRPr="001011DB">
        <w:rPr>
          <w:rFonts w:cs="Helvetica"/>
        </w:rPr>
        <w:t xml:space="preserve"> ATL, </w:t>
      </w:r>
      <w:proofErr w:type="spellStart"/>
      <w:r w:rsidRPr="001011DB">
        <w:rPr>
          <w:rFonts w:cs="Helvetica"/>
        </w:rPr>
        <w:t>Buske</w:t>
      </w:r>
      <w:proofErr w:type="spellEnd"/>
      <w:r w:rsidRPr="001011DB">
        <w:rPr>
          <w:rFonts w:cs="Helvetica"/>
        </w:rPr>
        <w:t xml:space="preserve"> FA, Sabir K, Gould CM, </w:t>
      </w:r>
      <w:proofErr w:type="spellStart"/>
      <w:r w:rsidRPr="001011DB">
        <w:rPr>
          <w:rFonts w:cs="Helvetica"/>
        </w:rPr>
        <w:t>Zotenko</w:t>
      </w:r>
      <w:proofErr w:type="spellEnd"/>
      <w:r w:rsidRPr="001011DB">
        <w:rPr>
          <w:rFonts w:cs="Helvetica"/>
        </w:rPr>
        <w:t xml:space="preserve"> E, Bert</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SA, Giles KA, Bauer DC, Smyth GK, </w:t>
      </w:r>
      <w:proofErr w:type="spellStart"/>
      <w:r w:rsidRPr="001011DB">
        <w:rPr>
          <w:rFonts w:cs="Helvetica"/>
        </w:rPr>
        <w:t>Stirzaker</w:t>
      </w:r>
      <w:proofErr w:type="spellEnd"/>
      <w:r w:rsidRPr="001011DB">
        <w:rPr>
          <w:rFonts w:cs="Helvetica"/>
        </w:rPr>
        <w:t xml:space="preserve"> C, </w:t>
      </w:r>
      <w:proofErr w:type="spellStart"/>
      <w:r w:rsidRPr="001011DB">
        <w:rPr>
          <w:rFonts w:cs="Helvetica"/>
        </w:rPr>
        <w:t>O'Donoghue</w:t>
      </w:r>
      <w:proofErr w:type="spellEnd"/>
      <w:r w:rsidRPr="001011DB">
        <w:rPr>
          <w:rFonts w:cs="Helvetica"/>
        </w:rPr>
        <w:t xml:space="preserve"> SI, Clark SJ: </w:t>
      </w:r>
      <w:r w:rsidRPr="001011DB">
        <w:rPr>
          <w:rFonts w:cs="Helvetica-Bold"/>
          <w:b/>
          <w:bCs/>
        </w:rPr>
        <w:t>Three-dimensional</w:t>
      </w:r>
    </w:p>
    <w:p w:rsidR="001011DB" w:rsidRPr="001011DB" w:rsidRDefault="001011DB" w:rsidP="001011DB">
      <w:pPr>
        <w:autoSpaceDE w:val="0"/>
        <w:autoSpaceDN w:val="0"/>
        <w:adjustRightInd w:val="0"/>
        <w:spacing w:after="0" w:line="240" w:lineRule="auto"/>
        <w:rPr>
          <w:rFonts w:cs="Helvetica-Bold"/>
          <w:b/>
          <w:bCs/>
        </w:rPr>
      </w:pPr>
      <w:proofErr w:type="gramStart"/>
      <w:r w:rsidRPr="001011DB">
        <w:rPr>
          <w:rFonts w:cs="Helvetica-Bold"/>
          <w:b/>
          <w:bCs/>
        </w:rPr>
        <w:t>disorganization</w:t>
      </w:r>
      <w:proofErr w:type="gramEnd"/>
      <w:r w:rsidRPr="001011DB">
        <w:rPr>
          <w:rFonts w:cs="Helvetica-Bold"/>
          <w:b/>
          <w:bCs/>
        </w:rPr>
        <w:t xml:space="preserve"> of the cancer genome occurs coincident with long-range genetic and</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t>epigenetic</w:t>
      </w:r>
      <w:proofErr w:type="gramEnd"/>
      <w:r w:rsidRPr="001011DB">
        <w:rPr>
          <w:rFonts w:cs="Helvetica-Bold"/>
          <w:b/>
          <w:bCs/>
        </w:rPr>
        <w:t xml:space="preserve"> alterations. </w:t>
      </w:r>
      <w:r w:rsidRPr="001011DB">
        <w:rPr>
          <w:rFonts w:cs="Helvetica-Oblique"/>
          <w:i/>
          <w:iCs/>
        </w:rPr>
        <w:t xml:space="preserve">Genome Research </w:t>
      </w:r>
      <w:r w:rsidRPr="001011DB">
        <w:rPr>
          <w:rFonts w:cs="Helvetica"/>
        </w:rPr>
        <w:t xml:space="preserve">2016, </w:t>
      </w:r>
      <w:r w:rsidRPr="001011DB">
        <w:rPr>
          <w:rFonts w:cs="Helvetica-Bold"/>
          <w:b/>
          <w:bCs/>
        </w:rPr>
        <w:t>26</w:t>
      </w:r>
      <w:r w:rsidRPr="001011DB">
        <w:rPr>
          <w:rFonts w:cs="Helvetica"/>
        </w:rPr>
        <w:t>:719–731.</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8. </w:t>
      </w:r>
      <w:proofErr w:type="spellStart"/>
      <w:r w:rsidRPr="001011DB">
        <w:rPr>
          <w:rFonts w:cs="Helvetica"/>
        </w:rPr>
        <w:t>Naumann</w:t>
      </w:r>
      <w:proofErr w:type="spellEnd"/>
      <w:r w:rsidRPr="001011DB">
        <w:rPr>
          <w:rFonts w:cs="Helvetica"/>
        </w:rPr>
        <w:t xml:space="preserve"> S, </w:t>
      </w:r>
      <w:proofErr w:type="spellStart"/>
      <w:r w:rsidRPr="001011DB">
        <w:rPr>
          <w:rFonts w:cs="Helvetica"/>
        </w:rPr>
        <w:t>Reutzel</w:t>
      </w:r>
      <w:proofErr w:type="spellEnd"/>
      <w:r w:rsidRPr="001011DB">
        <w:rPr>
          <w:rFonts w:cs="Helvetica"/>
        </w:rPr>
        <w:t xml:space="preserve"> D, Speicher M, Decker HJ: </w:t>
      </w:r>
      <w:r w:rsidRPr="001011DB">
        <w:rPr>
          <w:rFonts w:cs="Helvetica-Bold"/>
          <w:b/>
          <w:bCs/>
        </w:rPr>
        <w:t>Complete karyotype characterization of</w:t>
      </w:r>
    </w:p>
    <w:p w:rsidR="001011DB" w:rsidRPr="001011DB" w:rsidRDefault="001011DB" w:rsidP="001011DB">
      <w:pPr>
        <w:autoSpaceDE w:val="0"/>
        <w:autoSpaceDN w:val="0"/>
        <w:adjustRightInd w:val="0"/>
        <w:spacing w:after="0" w:line="240" w:lineRule="auto"/>
        <w:rPr>
          <w:rFonts w:cs="Helvetica-Bold"/>
          <w:b/>
          <w:bCs/>
        </w:rPr>
      </w:pPr>
      <w:proofErr w:type="gramStart"/>
      <w:r w:rsidRPr="001011DB">
        <w:rPr>
          <w:rFonts w:cs="Helvetica-Bold"/>
          <w:b/>
          <w:bCs/>
        </w:rPr>
        <w:t>the</w:t>
      </w:r>
      <w:proofErr w:type="gramEnd"/>
      <w:r w:rsidRPr="001011DB">
        <w:rPr>
          <w:rFonts w:cs="Helvetica-Bold"/>
          <w:b/>
          <w:bCs/>
        </w:rPr>
        <w:t xml:space="preserve"> K562 cell line by combined application of G-banding, multiplex-fluorescence in situ</w:t>
      </w:r>
    </w:p>
    <w:p w:rsidR="001011DB" w:rsidRPr="001011DB" w:rsidRDefault="001011DB" w:rsidP="001011DB">
      <w:pPr>
        <w:autoSpaceDE w:val="0"/>
        <w:autoSpaceDN w:val="0"/>
        <w:adjustRightInd w:val="0"/>
        <w:spacing w:after="0" w:line="240" w:lineRule="auto"/>
        <w:rPr>
          <w:rFonts w:cs="Helvetica-Bold"/>
          <w:b/>
          <w:bCs/>
        </w:rPr>
      </w:pPr>
      <w:proofErr w:type="gramStart"/>
      <w:r w:rsidRPr="001011DB">
        <w:rPr>
          <w:rFonts w:cs="Helvetica-Bold"/>
          <w:b/>
          <w:bCs/>
        </w:rPr>
        <w:t>hybridization</w:t>
      </w:r>
      <w:proofErr w:type="gramEnd"/>
      <w:r w:rsidRPr="001011DB">
        <w:rPr>
          <w:rFonts w:cs="Helvetica-Bold"/>
          <w:b/>
          <w:bCs/>
        </w:rPr>
        <w:t>, fluorescence in situ hybridization, and comparative genomic hybridization.</w:t>
      </w:r>
    </w:p>
    <w:p w:rsidR="001011DB" w:rsidRPr="001011DB" w:rsidRDefault="001011DB" w:rsidP="001011DB">
      <w:pPr>
        <w:autoSpaceDE w:val="0"/>
        <w:autoSpaceDN w:val="0"/>
        <w:adjustRightInd w:val="0"/>
        <w:spacing w:after="0" w:line="240" w:lineRule="auto"/>
        <w:rPr>
          <w:rFonts w:cs="Helvetica"/>
        </w:rPr>
      </w:pPr>
      <w:proofErr w:type="spellStart"/>
      <w:r w:rsidRPr="001011DB">
        <w:rPr>
          <w:rFonts w:cs="Helvetica-Oblique"/>
          <w:i/>
          <w:iCs/>
        </w:rPr>
        <w:t>Leuk</w:t>
      </w:r>
      <w:proofErr w:type="spellEnd"/>
      <w:r w:rsidRPr="001011DB">
        <w:rPr>
          <w:rFonts w:cs="Helvetica-Oblique"/>
          <w:i/>
          <w:iCs/>
        </w:rPr>
        <w:t xml:space="preserve"> Res </w:t>
      </w:r>
      <w:r w:rsidRPr="001011DB">
        <w:rPr>
          <w:rFonts w:cs="Helvetica"/>
        </w:rPr>
        <w:t xml:space="preserve">2001, </w:t>
      </w:r>
      <w:r w:rsidRPr="001011DB">
        <w:rPr>
          <w:rFonts w:cs="Helvetica-Bold"/>
          <w:b/>
          <w:bCs/>
        </w:rPr>
        <w:t>25</w:t>
      </w:r>
      <w:r w:rsidRPr="001011DB">
        <w:rPr>
          <w:rFonts w:cs="Helvetica"/>
        </w:rPr>
        <w:t>:313–322.</w:t>
      </w:r>
    </w:p>
    <w:p w:rsidR="001011DB" w:rsidRPr="001011DB" w:rsidRDefault="001011DB" w:rsidP="001011DB">
      <w:pPr>
        <w:autoSpaceDE w:val="0"/>
        <w:autoSpaceDN w:val="0"/>
        <w:adjustRightInd w:val="0"/>
        <w:spacing w:after="0" w:line="240" w:lineRule="auto"/>
        <w:rPr>
          <w:rFonts w:cs="Helvetica"/>
        </w:rPr>
      </w:pPr>
      <w:r w:rsidRPr="001011DB">
        <w:rPr>
          <w:rFonts w:cs="Helvetica"/>
        </w:rPr>
        <w:t xml:space="preserve">9. Zhou B, </w:t>
      </w:r>
      <w:proofErr w:type="spellStart"/>
      <w:r w:rsidRPr="001011DB">
        <w:rPr>
          <w:rFonts w:cs="Helvetica"/>
        </w:rPr>
        <w:t>Ho</w:t>
      </w:r>
      <w:proofErr w:type="spellEnd"/>
      <w:r w:rsidRPr="001011DB">
        <w:rPr>
          <w:rFonts w:cs="Helvetica"/>
        </w:rPr>
        <w:t xml:space="preserve"> SS, Greer SU, Zhu X, Bell JM, Arthur JG, Spies N, Zhang X, </w:t>
      </w:r>
      <w:proofErr w:type="spellStart"/>
      <w:r w:rsidRPr="001011DB">
        <w:rPr>
          <w:rFonts w:cs="Helvetica"/>
        </w:rPr>
        <w:t>Byeon</w:t>
      </w:r>
      <w:proofErr w:type="spellEnd"/>
      <w:r w:rsidRPr="001011DB">
        <w:rPr>
          <w:rFonts w:cs="Helvetica"/>
        </w:rPr>
        <w:t xml:space="preserve"> S, </w:t>
      </w:r>
      <w:proofErr w:type="spellStart"/>
      <w:r w:rsidRPr="001011DB">
        <w:rPr>
          <w:rFonts w:cs="Helvetica"/>
        </w:rPr>
        <w:t>Pattni</w:t>
      </w:r>
      <w:proofErr w:type="spellEnd"/>
      <w:r w:rsidRPr="001011DB">
        <w:rPr>
          <w:rFonts w:cs="Helvetica"/>
        </w:rPr>
        <w:t xml:space="preserve"> R,</w:t>
      </w:r>
    </w:p>
    <w:p w:rsidR="001011DB" w:rsidRPr="001011DB" w:rsidRDefault="001011DB" w:rsidP="001011DB">
      <w:pPr>
        <w:autoSpaceDE w:val="0"/>
        <w:autoSpaceDN w:val="0"/>
        <w:adjustRightInd w:val="0"/>
        <w:spacing w:after="0" w:line="240" w:lineRule="auto"/>
        <w:rPr>
          <w:rFonts w:cs="Helvetica"/>
        </w:rPr>
      </w:pPr>
      <w:r w:rsidRPr="001011DB">
        <w:rPr>
          <w:rFonts w:cs="Helvetica"/>
        </w:rPr>
        <w:t>Ben-</w:t>
      </w:r>
      <w:proofErr w:type="spellStart"/>
      <w:r w:rsidRPr="001011DB">
        <w:rPr>
          <w:rFonts w:cs="Helvetica"/>
        </w:rPr>
        <w:t>Efraim</w:t>
      </w:r>
      <w:proofErr w:type="spellEnd"/>
      <w:r w:rsidRPr="001011DB">
        <w:rPr>
          <w:rFonts w:cs="Helvetica"/>
        </w:rPr>
        <w:t xml:space="preserve"> N, Haney MS, </w:t>
      </w:r>
      <w:proofErr w:type="spellStart"/>
      <w:r w:rsidRPr="001011DB">
        <w:rPr>
          <w:rFonts w:cs="Helvetica"/>
        </w:rPr>
        <w:t>Haraksingh</w:t>
      </w:r>
      <w:proofErr w:type="spellEnd"/>
      <w:r w:rsidRPr="001011DB">
        <w:rPr>
          <w:rFonts w:cs="Helvetica"/>
        </w:rPr>
        <w:t xml:space="preserve"> RR, Song G, Ji HP, Perrin D, Wong WH, </w:t>
      </w:r>
      <w:proofErr w:type="spellStart"/>
      <w:r w:rsidRPr="001011DB">
        <w:rPr>
          <w:rFonts w:cs="Helvetica"/>
        </w:rPr>
        <w:t>Abyzov</w:t>
      </w:r>
      <w:proofErr w:type="spellEnd"/>
      <w:r w:rsidRPr="001011DB">
        <w:rPr>
          <w:rFonts w:cs="Helvetica"/>
        </w:rPr>
        <w:t xml:space="preserve"> A,</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Urban AE: </w:t>
      </w:r>
      <w:r w:rsidRPr="001011DB">
        <w:rPr>
          <w:rFonts w:cs="Helvetica-Bold"/>
          <w:b/>
          <w:bCs/>
        </w:rPr>
        <w:t>Comprehensive, integrated, and phased whole-genome analysis of the primary</w:t>
      </w:r>
    </w:p>
    <w:p w:rsidR="001011DB" w:rsidRPr="001011DB" w:rsidRDefault="001011DB" w:rsidP="001011DB">
      <w:pPr>
        <w:autoSpaceDE w:val="0"/>
        <w:autoSpaceDN w:val="0"/>
        <w:adjustRightInd w:val="0"/>
        <w:spacing w:after="0" w:line="240" w:lineRule="auto"/>
        <w:rPr>
          <w:rFonts w:cs="Helvetica"/>
        </w:rPr>
      </w:pPr>
      <w:r w:rsidRPr="001011DB">
        <w:rPr>
          <w:rFonts w:cs="Helvetica-Bold"/>
          <w:b/>
          <w:bCs/>
        </w:rPr>
        <w:t>ENCODE cell line K562</w:t>
      </w:r>
      <w:r w:rsidRPr="001011DB">
        <w:rPr>
          <w:rFonts w:cs="Helvetica"/>
        </w:rPr>
        <w:t xml:space="preserve">. </w:t>
      </w:r>
      <w:r w:rsidRPr="001011DB">
        <w:rPr>
          <w:rFonts w:cs="Helvetica-Oblique"/>
          <w:i/>
          <w:iCs/>
        </w:rPr>
        <w:t xml:space="preserve">Genome Research </w:t>
      </w:r>
      <w:r w:rsidRPr="001011DB">
        <w:rPr>
          <w:rFonts w:cs="Helvetica"/>
        </w:rPr>
        <w:t xml:space="preserve">2019, </w:t>
      </w:r>
      <w:r w:rsidRPr="001011DB">
        <w:rPr>
          <w:rFonts w:cs="Helvetica-Bold"/>
          <w:b/>
          <w:bCs/>
        </w:rPr>
        <w:t>29</w:t>
      </w:r>
      <w:r w:rsidRPr="001011DB">
        <w:rPr>
          <w:rFonts w:cs="Helvetica"/>
        </w:rPr>
        <w:t>:472–484.</w:t>
      </w:r>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10. Chakraborty A, Ay F: </w:t>
      </w:r>
      <w:r w:rsidRPr="001011DB">
        <w:rPr>
          <w:rFonts w:cs="Helvetica-Bold"/>
          <w:b/>
          <w:bCs/>
        </w:rPr>
        <w:t>Identification of copy number variations and translocations in</w:t>
      </w:r>
    </w:p>
    <w:p w:rsidR="001011DB" w:rsidRPr="001011DB" w:rsidRDefault="001011DB" w:rsidP="001011DB">
      <w:pPr>
        <w:autoSpaceDE w:val="0"/>
        <w:autoSpaceDN w:val="0"/>
        <w:adjustRightInd w:val="0"/>
        <w:spacing w:after="0" w:line="240" w:lineRule="auto"/>
        <w:rPr>
          <w:rFonts w:cs="Helvetica"/>
        </w:rPr>
      </w:pPr>
      <w:proofErr w:type="gramStart"/>
      <w:r w:rsidRPr="001011DB">
        <w:rPr>
          <w:rFonts w:cs="Helvetica-Bold"/>
          <w:b/>
          <w:bCs/>
        </w:rPr>
        <w:t>cancer</w:t>
      </w:r>
      <w:proofErr w:type="gramEnd"/>
      <w:r w:rsidRPr="001011DB">
        <w:rPr>
          <w:rFonts w:cs="Helvetica-Bold"/>
          <w:b/>
          <w:bCs/>
        </w:rPr>
        <w:t xml:space="preserve"> cells from Hi-C data. </w:t>
      </w:r>
      <w:proofErr w:type="gramStart"/>
      <w:r w:rsidRPr="001011DB">
        <w:rPr>
          <w:rFonts w:cs="Helvetica-Oblique"/>
          <w:i/>
          <w:iCs/>
        </w:rPr>
        <w:t xml:space="preserve">Bioinformatics </w:t>
      </w:r>
      <w:r w:rsidRPr="001011DB">
        <w:rPr>
          <w:rFonts w:cs="Helvetica"/>
        </w:rPr>
        <w:t>2017.</w:t>
      </w:r>
      <w:proofErr w:type="gramEnd"/>
    </w:p>
    <w:p w:rsidR="001011DB" w:rsidRPr="001011DB" w:rsidRDefault="001011DB" w:rsidP="001011DB">
      <w:pPr>
        <w:autoSpaceDE w:val="0"/>
        <w:autoSpaceDN w:val="0"/>
        <w:adjustRightInd w:val="0"/>
        <w:spacing w:after="0" w:line="240" w:lineRule="auto"/>
        <w:rPr>
          <w:rFonts w:cs="Helvetica-Bold"/>
          <w:b/>
          <w:bCs/>
        </w:rPr>
      </w:pPr>
      <w:r w:rsidRPr="001011DB">
        <w:rPr>
          <w:rFonts w:cs="Helvetica"/>
        </w:rPr>
        <w:t xml:space="preserve">11. Robin X, </w:t>
      </w:r>
      <w:proofErr w:type="spellStart"/>
      <w:r w:rsidRPr="001011DB">
        <w:rPr>
          <w:rFonts w:cs="Helvetica"/>
        </w:rPr>
        <w:t>Turck</w:t>
      </w:r>
      <w:proofErr w:type="spellEnd"/>
      <w:r w:rsidRPr="001011DB">
        <w:rPr>
          <w:rFonts w:cs="Helvetica"/>
        </w:rPr>
        <w:t xml:space="preserve"> N, </w:t>
      </w:r>
      <w:proofErr w:type="spellStart"/>
      <w:r w:rsidRPr="001011DB">
        <w:rPr>
          <w:rFonts w:cs="Helvetica"/>
        </w:rPr>
        <w:t>Hainard</w:t>
      </w:r>
      <w:proofErr w:type="spellEnd"/>
      <w:r w:rsidRPr="001011DB">
        <w:rPr>
          <w:rFonts w:cs="Helvetica"/>
        </w:rPr>
        <w:t xml:space="preserve"> A, </w:t>
      </w:r>
      <w:proofErr w:type="spellStart"/>
      <w:r w:rsidRPr="001011DB">
        <w:rPr>
          <w:rFonts w:cs="Helvetica"/>
        </w:rPr>
        <w:t>Tiberti</w:t>
      </w:r>
      <w:proofErr w:type="spellEnd"/>
      <w:r w:rsidRPr="001011DB">
        <w:rPr>
          <w:rFonts w:cs="Helvetica"/>
        </w:rPr>
        <w:t xml:space="preserve"> N, </w:t>
      </w:r>
      <w:proofErr w:type="spellStart"/>
      <w:r w:rsidRPr="001011DB">
        <w:rPr>
          <w:rFonts w:cs="Helvetica"/>
        </w:rPr>
        <w:t>Lisacek</w:t>
      </w:r>
      <w:proofErr w:type="spellEnd"/>
      <w:r w:rsidRPr="001011DB">
        <w:rPr>
          <w:rFonts w:cs="Helvetica"/>
        </w:rPr>
        <w:t xml:space="preserve"> F, Sanchez J-C, Müller M: </w:t>
      </w:r>
      <w:proofErr w:type="spellStart"/>
      <w:r w:rsidRPr="001011DB">
        <w:rPr>
          <w:rFonts w:cs="Helvetica-Bold"/>
          <w:b/>
          <w:bCs/>
        </w:rPr>
        <w:t>pROC</w:t>
      </w:r>
      <w:proofErr w:type="spellEnd"/>
      <w:r w:rsidRPr="001011DB">
        <w:rPr>
          <w:rFonts w:cs="Helvetica-Bold"/>
          <w:b/>
          <w:bCs/>
        </w:rPr>
        <w:t xml:space="preserve">: an </w:t>
      </w:r>
      <w:proofErr w:type="spellStart"/>
      <w:r w:rsidRPr="001011DB">
        <w:rPr>
          <w:rFonts w:cs="Helvetica-Bold"/>
          <w:b/>
          <w:bCs/>
        </w:rPr>
        <w:t>opensource</w:t>
      </w:r>
      <w:proofErr w:type="spellEnd"/>
    </w:p>
    <w:p w:rsidR="001011DB" w:rsidRDefault="001011DB" w:rsidP="001011DB">
      <w:pPr>
        <w:spacing w:after="0" w:line="240" w:lineRule="auto"/>
        <w:rPr>
          <w:rFonts w:cs="Helvetica"/>
        </w:rPr>
      </w:pPr>
      <w:proofErr w:type="gramStart"/>
      <w:r w:rsidRPr="001011DB">
        <w:rPr>
          <w:rFonts w:cs="Helvetica-Bold"/>
          <w:b/>
          <w:bCs/>
        </w:rPr>
        <w:t>package</w:t>
      </w:r>
      <w:proofErr w:type="gramEnd"/>
      <w:r w:rsidRPr="001011DB">
        <w:rPr>
          <w:rFonts w:cs="Helvetica-Bold"/>
          <w:b/>
          <w:bCs/>
        </w:rPr>
        <w:t xml:space="preserve"> for R and S+ to </w:t>
      </w:r>
      <w:proofErr w:type="spellStart"/>
      <w:r w:rsidRPr="001011DB">
        <w:rPr>
          <w:rFonts w:cs="Helvetica-Bold"/>
          <w:b/>
          <w:bCs/>
        </w:rPr>
        <w:t>analyze</w:t>
      </w:r>
      <w:proofErr w:type="spellEnd"/>
      <w:r w:rsidRPr="001011DB">
        <w:rPr>
          <w:rFonts w:cs="Helvetica-Bold"/>
          <w:b/>
          <w:bCs/>
        </w:rPr>
        <w:t xml:space="preserve"> and compare ROC curves</w:t>
      </w:r>
      <w:r w:rsidRPr="001011DB">
        <w:rPr>
          <w:rFonts w:cs="Helvetica"/>
        </w:rPr>
        <w:t>. 2011:1–8.</w:t>
      </w:r>
    </w:p>
    <w:p w:rsidR="00C35D39" w:rsidRDefault="00C35D39" w:rsidP="001011DB">
      <w:pPr>
        <w:spacing w:after="0" w:line="240" w:lineRule="auto"/>
        <w:rPr>
          <w:rFonts w:cs="Helvetica"/>
        </w:rPr>
      </w:pPr>
    </w:p>
    <w:p w:rsidR="00C35D39" w:rsidRPr="00C35D39" w:rsidRDefault="00C35D39" w:rsidP="001011DB">
      <w:pPr>
        <w:spacing w:after="0" w:line="240" w:lineRule="auto"/>
        <w:rPr>
          <w:rFonts w:cs="Helvetica"/>
          <w:b/>
          <w:u w:val="single"/>
        </w:rPr>
      </w:pPr>
      <w:r w:rsidRPr="00C35D39">
        <w:rPr>
          <w:rFonts w:cs="Helvetica"/>
          <w:b/>
          <w:u w:val="single"/>
        </w:rPr>
        <w:t>Second round</w:t>
      </w:r>
    </w:p>
    <w:p w:rsidR="00C35D39" w:rsidRDefault="00C35D39" w:rsidP="001011DB">
      <w:pPr>
        <w:spacing w:after="0" w:line="240" w:lineRule="auto"/>
        <w:rPr>
          <w:b/>
        </w:rPr>
      </w:pPr>
      <w:r>
        <w:rPr>
          <w:b/>
        </w:rPr>
        <w:t>Reviewer 1</w:t>
      </w:r>
    </w:p>
    <w:p w:rsidR="00C35D39" w:rsidRDefault="00C35D39" w:rsidP="00C35D39">
      <w:pPr>
        <w:spacing w:after="0" w:line="240" w:lineRule="auto"/>
      </w:pPr>
      <w:r>
        <w:t xml:space="preserve">I find the authors' responses to my criticism satisfactory and the revised manuscript very improved. While the </w:t>
      </w:r>
      <w:proofErr w:type="gramStart"/>
      <w:r>
        <w:t>authors</w:t>
      </w:r>
      <w:proofErr w:type="gramEnd"/>
      <w:r>
        <w:t xml:space="preserve"> </w:t>
      </w:r>
      <w:proofErr w:type="spellStart"/>
      <w:r>
        <w:t>counterpointers</w:t>
      </w:r>
      <w:proofErr w:type="spellEnd"/>
      <w:r>
        <w:t>' for retaining certain parts of their manuscript - as opposed to the newer approaches they tried at my request - are valid and reasonable, I have a few minor suggestions to make to the text.</w:t>
      </w:r>
    </w:p>
    <w:p w:rsidR="00C35D39" w:rsidRDefault="00C35D39" w:rsidP="00C35D39">
      <w:pPr>
        <w:spacing w:after="0" w:line="240" w:lineRule="auto"/>
      </w:pPr>
      <w:r>
        <w:t xml:space="preserve">I am afraid the </w:t>
      </w:r>
      <w:proofErr w:type="spellStart"/>
      <w:r>
        <w:t>mappability</w:t>
      </w:r>
      <w:proofErr w:type="spellEnd"/>
      <w:r>
        <w:t xml:space="preserve"> estimation used in the manuscript is not entirely valid. Unless I am </w:t>
      </w:r>
      <w:proofErr w:type="spellStart"/>
      <w:r>
        <w:t>msising</w:t>
      </w:r>
      <w:proofErr w:type="spellEnd"/>
      <w:r>
        <w:t xml:space="preserve"> a detail here, authors use BWA-MEM local alignment strategy, which will result in alignments of different length. However, ENCODE50mer track measures the </w:t>
      </w:r>
      <w:proofErr w:type="spellStart"/>
      <w:r>
        <w:t>mappability</w:t>
      </w:r>
      <w:proofErr w:type="spellEnd"/>
      <w:r>
        <w:t xml:space="preserve">/uniqueness given a fixed </w:t>
      </w:r>
      <w:proofErr w:type="spellStart"/>
      <w:r>
        <w:t>alignemnt</w:t>
      </w:r>
      <w:proofErr w:type="spellEnd"/>
      <w:r>
        <w:t xml:space="preserve"> length of 50mer. </w:t>
      </w:r>
      <w:proofErr w:type="gramStart"/>
      <w:r>
        <w:t>Unfortunately</w:t>
      </w:r>
      <w:proofErr w:type="gramEnd"/>
      <w:r>
        <w:t xml:space="preserve">, to the best of my knowledge, measuring the </w:t>
      </w:r>
      <w:proofErr w:type="spellStart"/>
      <w:r>
        <w:t>mappability</w:t>
      </w:r>
      <w:proofErr w:type="spellEnd"/>
      <w:r>
        <w:t xml:space="preserve"> for a local alignment of non-fixed length and using that as a parameter is a challenging and open problem. I have two recommendations to the authors, use a shorter </w:t>
      </w:r>
      <w:proofErr w:type="spellStart"/>
      <w:r>
        <w:t>mappability</w:t>
      </w:r>
      <w:proofErr w:type="spellEnd"/>
      <w:r>
        <w:t xml:space="preserve"> track as opposed to 50bp as a more conservative measure, assuming a large majority of their </w:t>
      </w:r>
      <w:proofErr w:type="spellStart"/>
      <w:r>
        <w:t>bwa</w:t>
      </w:r>
      <w:proofErr w:type="spellEnd"/>
      <w:r>
        <w:t xml:space="preserve">-mem alignments are, say, ~30bp long, use 36mer track from ENCODE. Otherwise, clarify </w:t>
      </w:r>
      <w:proofErr w:type="gramStart"/>
      <w:r>
        <w:t>this the</w:t>
      </w:r>
      <w:proofErr w:type="gramEnd"/>
      <w:r>
        <w:t xml:space="preserve"> text in methods and recommend the users the method to take care in choosing which track to use. My </w:t>
      </w:r>
      <w:r>
        <w:lastRenderedPageBreak/>
        <w:t xml:space="preserve">guess is that using 30 or 50bp </w:t>
      </w:r>
      <w:proofErr w:type="spellStart"/>
      <w:r>
        <w:t>mappability</w:t>
      </w:r>
      <w:proofErr w:type="spellEnd"/>
      <w:r>
        <w:t xml:space="preserve"> tracks will not change the results significantly. Clarification of this in the text would still be helpful.</w:t>
      </w:r>
    </w:p>
    <w:p w:rsidR="00C35D39" w:rsidRDefault="00C35D39" w:rsidP="00C35D39">
      <w:pPr>
        <w:spacing w:after="0" w:line="240" w:lineRule="auto"/>
      </w:pPr>
      <w:r>
        <w:t xml:space="preserve">I thank the authors for </w:t>
      </w:r>
      <w:proofErr w:type="spellStart"/>
      <w:r>
        <w:t>analyzing</w:t>
      </w:r>
      <w:proofErr w:type="spellEnd"/>
      <w:r>
        <w:t xml:space="preserve"> more cell types. I believe the poor quality of </w:t>
      </w:r>
      <w:proofErr w:type="spellStart"/>
      <w:r>
        <w:t>LnCAP</w:t>
      </w:r>
      <w:proofErr w:type="spellEnd"/>
      <w:r>
        <w:t xml:space="preserve"> may be due to the low quality of the Hi-C data. Yardimci et al. 2019 points this fact out comprehensively, since they </w:t>
      </w:r>
      <w:proofErr w:type="spellStart"/>
      <w:r>
        <w:t>analyzed</w:t>
      </w:r>
      <w:proofErr w:type="spellEnd"/>
      <w:r>
        <w:t xml:space="preserve"> the same ENCODE </w:t>
      </w:r>
      <w:proofErr w:type="spellStart"/>
      <w:r>
        <w:t>LnCAP</w:t>
      </w:r>
      <w:proofErr w:type="spellEnd"/>
      <w:r>
        <w:t xml:space="preserve"> data. Authors can point out the reason for the poor performance of </w:t>
      </w:r>
      <w:proofErr w:type="spellStart"/>
      <w:r>
        <w:t>LnCAP</w:t>
      </w:r>
      <w:proofErr w:type="spellEnd"/>
      <w:r>
        <w:t xml:space="preserve"> if they wish so.</w:t>
      </w:r>
    </w:p>
    <w:p w:rsidR="00C35D39" w:rsidRDefault="00C35D39" w:rsidP="00C35D39">
      <w:pPr>
        <w:spacing w:after="0" w:line="240" w:lineRule="auto"/>
      </w:pPr>
      <w:r>
        <w:t xml:space="preserve">Again, the authors did a very nice job trying to remove compartment effects using </w:t>
      </w:r>
      <w:proofErr w:type="spellStart"/>
      <w:r>
        <w:t>eigendecomposition</w:t>
      </w:r>
      <w:proofErr w:type="spellEnd"/>
      <w:r>
        <w:t xml:space="preserve">. Since the results were not as helpful as we hoped for, I recommend </w:t>
      </w:r>
      <w:proofErr w:type="spellStart"/>
      <w:r>
        <w:t>pointng</w:t>
      </w:r>
      <w:proofErr w:type="spellEnd"/>
      <w:r>
        <w:t xml:space="preserve"> out shortcoming of using the original averaging approach in text,  or at least point out the possibility of using more cell type specific averages in the </w:t>
      </w:r>
      <w:proofErr w:type="spellStart"/>
      <w:r>
        <w:t>fugure</w:t>
      </w:r>
      <w:proofErr w:type="spellEnd"/>
      <w:r>
        <w:t xml:space="preserve"> (as an example, built from data from N cell types from same tissue).</w:t>
      </w:r>
    </w:p>
    <w:p w:rsidR="00C35D39" w:rsidRDefault="00C35D39" w:rsidP="00C35D39">
      <w:pPr>
        <w:spacing w:after="0" w:line="240" w:lineRule="auto"/>
      </w:pPr>
      <w:r>
        <w:t xml:space="preserve">The analysis of </w:t>
      </w:r>
      <w:proofErr w:type="spellStart"/>
      <w:r>
        <w:t>discprepancies</w:t>
      </w:r>
      <w:proofErr w:type="spellEnd"/>
      <w:r>
        <w:t xml:space="preserve"> of the between WGS vs. HI-C detected CNVs is quite useful. I recommend adding the insights from these analyses in a bit more detail to conclusion, though I leave it at the authors' discretion.</w:t>
      </w:r>
    </w:p>
    <w:p w:rsidR="00C35D39" w:rsidRDefault="00C35D39" w:rsidP="00C35D39">
      <w:pPr>
        <w:spacing w:after="0" w:line="240" w:lineRule="auto"/>
      </w:pPr>
    </w:p>
    <w:p w:rsidR="00C35D39" w:rsidRDefault="00C35D39" w:rsidP="00C35D39">
      <w:pPr>
        <w:spacing w:after="0" w:line="240" w:lineRule="auto"/>
        <w:rPr>
          <w:b/>
        </w:rPr>
      </w:pPr>
      <w:r>
        <w:rPr>
          <w:b/>
        </w:rPr>
        <w:t>Reviewer 2</w:t>
      </w:r>
    </w:p>
    <w:p w:rsidR="00C35D39" w:rsidRPr="00C35D39" w:rsidRDefault="00C35D39" w:rsidP="00C35D39">
      <w:pPr>
        <w:spacing w:after="0" w:line="240" w:lineRule="auto"/>
      </w:pPr>
      <w:r w:rsidRPr="00C35D39">
        <w:t>The authors have done a good job responding to the reviewer's comments, including a number of new comparisons and analyses</w:t>
      </w:r>
      <w:bookmarkStart w:id="0" w:name="_GoBack"/>
      <w:bookmarkEnd w:id="0"/>
    </w:p>
    <w:sectPr w:rsidR="00C35D39" w:rsidRPr="00C35D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A3"/>
    <w:rsid w:val="000A5A67"/>
    <w:rsid w:val="001011DB"/>
    <w:rsid w:val="00255F0A"/>
    <w:rsid w:val="007E39D6"/>
    <w:rsid w:val="00C35D39"/>
    <w:rsid w:val="00C97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7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7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19</Pages>
  <Words>4931</Words>
  <Characters>28112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2</cp:revision>
  <dcterms:created xsi:type="dcterms:W3CDTF">2020-02-14T16:09:00Z</dcterms:created>
  <dcterms:modified xsi:type="dcterms:W3CDTF">2020-02-14T16:49:00Z</dcterms:modified>
</cp:coreProperties>
</file>