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37E0CC" w14:textId="4D967542" w:rsidR="00A530A6" w:rsidRPr="00A530A6" w:rsidRDefault="00A530A6" w:rsidP="00A530A6">
      <w:pPr>
        <w:spacing w:line="480" w:lineRule="auto"/>
        <w:outlineLvl w:val="0"/>
        <w:rPr>
          <w:rFonts w:ascii="Times New Roman" w:hAnsi="Times New Roman" w:cs="Times New Roman"/>
          <w:b/>
          <w:bCs/>
          <w:sz w:val="32"/>
          <w:szCs w:val="32"/>
          <w:lang w:eastAsia="zh-CN"/>
        </w:rPr>
      </w:pPr>
      <w:r w:rsidRPr="00A530A6">
        <w:rPr>
          <w:rFonts w:ascii="Times New Roman" w:hAnsi="Times New Roman" w:cs="Times New Roman" w:hint="eastAsia"/>
          <w:b/>
          <w:bCs/>
          <w:sz w:val="32"/>
          <w:szCs w:val="32"/>
          <w:lang w:eastAsia="zh-CN"/>
        </w:rPr>
        <w:t>S</w:t>
      </w:r>
      <w:r w:rsidRPr="00A530A6">
        <w:rPr>
          <w:rFonts w:ascii="Times New Roman" w:hAnsi="Times New Roman" w:cs="Times New Roman"/>
          <w:b/>
          <w:bCs/>
          <w:sz w:val="32"/>
          <w:szCs w:val="32"/>
          <w:lang w:eastAsia="zh-CN"/>
        </w:rPr>
        <w:t>upplementary Figures</w:t>
      </w:r>
    </w:p>
    <w:p w14:paraId="7F4A3003" w14:textId="756B375D" w:rsidR="00A530A6" w:rsidRPr="00A530A6" w:rsidRDefault="00A530A6" w:rsidP="00A530A6">
      <w:pPr>
        <w:spacing w:line="480" w:lineRule="auto"/>
        <w:outlineLvl w:val="0"/>
        <w:rPr>
          <w:rFonts w:ascii="Times New Roman" w:hAnsi="Times New Roman" w:cs="Times New Roman"/>
          <w:sz w:val="32"/>
          <w:szCs w:val="32"/>
        </w:rPr>
      </w:pPr>
      <w:r w:rsidRPr="00A530A6">
        <w:rPr>
          <w:rFonts w:ascii="Times New Roman" w:hAnsi="Times New Roman" w:cs="Times New Roman"/>
          <w:sz w:val="32"/>
          <w:szCs w:val="32"/>
        </w:rPr>
        <w:t xml:space="preserve">CB2 improves power of </w:t>
      </w:r>
      <w:r w:rsidRPr="00A530A6">
        <w:rPr>
          <w:rFonts w:ascii="Times New Roman" w:hAnsi="Times New Roman" w:cs="Times New Roman" w:hint="eastAsia"/>
          <w:sz w:val="32"/>
          <w:szCs w:val="32"/>
          <w:lang w:eastAsia="zh-CN"/>
        </w:rPr>
        <w:t>cell</w:t>
      </w:r>
      <w:r w:rsidRPr="00A530A6">
        <w:rPr>
          <w:rFonts w:ascii="Times New Roman" w:hAnsi="Times New Roman" w:cs="Times New Roman"/>
          <w:sz w:val="32"/>
          <w:szCs w:val="32"/>
        </w:rPr>
        <w:t xml:space="preserve"> detection in droplet-based single-cell RNA sequencing data</w:t>
      </w:r>
    </w:p>
    <w:p w14:paraId="75913C6B" w14:textId="77777777" w:rsidR="00A530A6" w:rsidRDefault="00A530A6" w:rsidP="00A530A6">
      <w:pPr>
        <w:spacing w:line="480" w:lineRule="auto"/>
        <w:outlineLvl w:val="0"/>
        <w:rPr>
          <w:rFonts w:ascii="Times New Roman" w:hAnsi="Times New Roman" w:cs="Times New Roman"/>
          <w:vertAlign w:val="superscript"/>
        </w:rPr>
      </w:pPr>
      <w:proofErr w:type="spellStart"/>
      <w:r w:rsidRPr="00C50941">
        <w:rPr>
          <w:rFonts w:ascii="Times New Roman" w:hAnsi="Times New Roman" w:cs="Times New Roman"/>
        </w:rPr>
        <w:t>Zijian</w:t>
      </w:r>
      <w:proofErr w:type="spellEnd"/>
      <w:r w:rsidRPr="00C50941">
        <w:rPr>
          <w:rFonts w:ascii="Times New Roman" w:hAnsi="Times New Roman" w:cs="Times New Roman"/>
        </w:rPr>
        <w:t xml:space="preserve"> Ni (zni25@wisc.edu)</w:t>
      </w:r>
      <w:r w:rsidRPr="00C50941">
        <w:rPr>
          <w:rFonts w:ascii="Times New Roman" w:hAnsi="Times New Roman" w:cs="Times New Roman"/>
          <w:vertAlign w:val="superscript"/>
        </w:rPr>
        <w:t>1</w:t>
      </w:r>
      <w:r w:rsidRPr="00C50941">
        <w:rPr>
          <w:rFonts w:ascii="Times New Roman" w:hAnsi="Times New Roman" w:cs="Times New Roman"/>
        </w:rPr>
        <w:t xml:space="preserve">, </w:t>
      </w:r>
      <w:proofErr w:type="spellStart"/>
      <w:r w:rsidRPr="00C50941">
        <w:rPr>
          <w:rFonts w:ascii="Times New Roman" w:hAnsi="Times New Roman" w:cs="Times New Roman"/>
        </w:rPr>
        <w:t>Shuyang</w:t>
      </w:r>
      <w:proofErr w:type="spellEnd"/>
      <w:r w:rsidRPr="00C50941">
        <w:rPr>
          <w:rFonts w:ascii="Times New Roman" w:hAnsi="Times New Roman" w:cs="Times New Roman"/>
        </w:rPr>
        <w:t xml:space="preserve"> Chen</w:t>
      </w:r>
      <w:r>
        <w:rPr>
          <w:rFonts w:ascii="Times New Roman" w:hAnsi="Times New Roman" w:cs="Times New Roman"/>
        </w:rPr>
        <w:t xml:space="preserve"> </w:t>
      </w:r>
      <w:r>
        <w:rPr>
          <w:rFonts w:ascii="Times New Roman" w:eastAsia="Yu Mincho" w:hAnsi="Times New Roman" w:cs="Times New Roman"/>
          <w:lang w:eastAsia="ja-JP"/>
        </w:rPr>
        <w:t>(schen662@wisc.edu)</w:t>
      </w:r>
      <w:r w:rsidRPr="00C50941">
        <w:rPr>
          <w:rFonts w:ascii="Times New Roman" w:hAnsi="Times New Roman" w:cs="Times New Roman"/>
          <w:vertAlign w:val="superscript"/>
        </w:rPr>
        <w:t>1</w:t>
      </w:r>
      <w:r w:rsidRPr="00C50941">
        <w:rPr>
          <w:rFonts w:ascii="Times New Roman" w:hAnsi="Times New Roman" w:cs="Times New Roman"/>
        </w:rPr>
        <w:t>, Jared Brown</w:t>
      </w:r>
      <w:r>
        <w:rPr>
          <w:rFonts w:ascii="Times New Roman" w:hAnsi="Times New Roman" w:cs="Times New Roman"/>
        </w:rPr>
        <w:t xml:space="preserve"> (brown46@wisc.edu)</w:t>
      </w:r>
      <w:r w:rsidRPr="00C50941">
        <w:rPr>
          <w:rFonts w:ascii="Times New Roman" w:hAnsi="Times New Roman" w:cs="Times New Roman"/>
          <w:vertAlign w:val="superscript"/>
        </w:rPr>
        <w:t>1</w:t>
      </w:r>
      <w:r w:rsidRPr="00C50941">
        <w:rPr>
          <w:rFonts w:ascii="Times New Roman" w:hAnsi="Times New Roman" w:cs="Times New Roman"/>
        </w:rPr>
        <w:t xml:space="preserve">, Christina </w:t>
      </w:r>
      <w:proofErr w:type="spellStart"/>
      <w:r w:rsidRPr="00C50941">
        <w:rPr>
          <w:rFonts w:ascii="Times New Roman" w:hAnsi="Times New Roman" w:cs="Times New Roman"/>
        </w:rPr>
        <w:t>Kendziorski</w:t>
      </w:r>
      <w:proofErr w:type="spellEnd"/>
      <w:r>
        <w:rPr>
          <w:rFonts w:ascii="Times New Roman" w:hAnsi="Times New Roman" w:cs="Times New Roman"/>
        </w:rPr>
        <w:t xml:space="preserve"> (</w:t>
      </w:r>
      <w:r w:rsidRPr="00A530A6">
        <w:rPr>
          <w:rStyle w:val="Hyperlink"/>
          <w:rFonts w:ascii="Times New Roman" w:hAnsi="Times New Roman" w:cs="Times New Roman"/>
          <w:color w:val="000000" w:themeColor="text1"/>
          <w:u w:val="none"/>
        </w:rPr>
        <w:t>c.kendziorski@gmail.com)</w:t>
      </w:r>
      <w:r w:rsidRPr="00A530A6">
        <w:rPr>
          <w:rStyle w:val="Hyperlink"/>
          <w:rFonts w:ascii="Times New Roman" w:hAnsi="Times New Roman" w:cs="Times New Roman"/>
          <w:color w:val="000000" w:themeColor="text1"/>
          <w:u w:val="none"/>
          <w:vertAlign w:val="superscript"/>
        </w:rPr>
        <w:t>2*</w:t>
      </w:r>
    </w:p>
    <w:p w14:paraId="5FC7DD8A" w14:textId="77777777" w:rsidR="00A530A6" w:rsidRPr="00C50941" w:rsidRDefault="00A530A6" w:rsidP="00A530A6">
      <w:pPr>
        <w:spacing w:line="480" w:lineRule="auto"/>
        <w:outlineLvl w:val="0"/>
        <w:rPr>
          <w:rFonts w:ascii="Times New Roman" w:hAnsi="Times New Roman" w:cs="Times New Roman"/>
        </w:rPr>
      </w:pPr>
    </w:p>
    <w:p w14:paraId="118ADCF7" w14:textId="77777777" w:rsidR="00A530A6" w:rsidRPr="00C50941" w:rsidRDefault="00A530A6" w:rsidP="00A530A6">
      <w:pPr>
        <w:spacing w:line="480" w:lineRule="auto"/>
        <w:outlineLvl w:val="0"/>
        <w:rPr>
          <w:rFonts w:ascii="Times New Roman" w:hAnsi="Times New Roman" w:cs="Times New Roman"/>
        </w:rPr>
      </w:pPr>
      <w:r w:rsidRPr="00C50941">
        <w:rPr>
          <w:rFonts w:ascii="Times New Roman" w:hAnsi="Times New Roman" w:cs="Times New Roman"/>
          <w:vertAlign w:val="superscript"/>
        </w:rPr>
        <w:t>1</w:t>
      </w:r>
      <w:r w:rsidRPr="00C50941">
        <w:rPr>
          <w:rFonts w:ascii="Times New Roman" w:hAnsi="Times New Roman" w:cs="Times New Roman"/>
        </w:rPr>
        <w:t>Department of Statistics, University of Wisconsin-Madison, Madison, WI, USA</w:t>
      </w:r>
    </w:p>
    <w:p w14:paraId="174B9D71" w14:textId="77777777" w:rsidR="00A530A6" w:rsidRDefault="00A530A6" w:rsidP="00A530A6">
      <w:pPr>
        <w:spacing w:line="480" w:lineRule="auto"/>
        <w:rPr>
          <w:rFonts w:ascii="Times New Roman" w:hAnsi="Times New Roman" w:cs="Times New Roman"/>
        </w:rPr>
      </w:pPr>
      <w:r w:rsidRPr="00C50941">
        <w:rPr>
          <w:rFonts w:ascii="Times New Roman" w:hAnsi="Times New Roman" w:cs="Times New Roman"/>
          <w:vertAlign w:val="superscript"/>
        </w:rPr>
        <w:t>2</w:t>
      </w:r>
      <w:r w:rsidRPr="00C50941">
        <w:rPr>
          <w:rFonts w:ascii="Times New Roman" w:hAnsi="Times New Roman" w:cs="Times New Roman"/>
        </w:rPr>
        <w:t>Department of Biostatistics and Medical Informatics, University of Wisconsin-Madison, Madison, WI, USA</w:t>
      </w:r>
    </w:p>
    <w:p w14:paraId="4AE3A3E2" w14:textId="77777777" w:rsidR="00A530A6" w:rsidRDefault="00A530A6" w:rsidP="00A530A6">
      <w:pPr>
        <w:spacing w:line="480" w:lineRule="auto"/>
        <w:rPr>
          <w:rFonts w:ascii="Times New Roman" w:hAnsi="Times New Roman" w:cs="Times New Roman"/>
        </w:rPr>
      </w:pPr>
      <w:r>
        <w:rPr>
          <w:rFonts w:ascii="Times New Roman" w:hAnsi="Times New Roman" w:cs="Times New Roman"/>
        </w:rPr>
        <w:t>*Corresponding author</w:t>
      </w:r>
    </w:p>
    <w:p w14:paraId="1680D947" w14:textId="201D48DC" w:rsidR="00A530A6" w:rsidRDefault="00A530A6">
      <w:r>
        <w:br w:type="page"/>
      </w:r>
    </w:p>
    <w:p w14:paraId="1FE7ADBF" w14:textId="3EDA6199" w:rsidR="00AC537C" w:rsidRPr="00355F3D" w:rsidRDefault="00FD7AE3" w:rsidP="00E63E9A">
      <w:pPr>
        <w:spacing w:line="480" w:lineRule="auto"/>
        <w:jc w:val="center"/>
      </w:pPr>
      <w:r>
        <w:rPr>
          <w:noProof/>
        </w:rPr>
        <w:lastRenderedPageBreak/>
        <w:drawing>
          <wp:inline distT="0" distB="0" distL="0" distR="0" wp14:anchorId="14A7A303" wp14:editId="33614CEA">
            <wp:extent cx="5225143" cy="461777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Fig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30432" cy="4622451"/>
                    </a:xfrm>
                    <a:prstGeom prst="rect">
                      <a:avLst/>
                    </a:prstGeom>
                  </pic:spPr>
                </pic:pic>
              </a:graphicData>
            </a:graphic>
          </wp:inline>
        </w:drawing>
      </w:r>
    </w:p>
    <w:p w14:paraId="0F83BBF4" w14:textId="2E858973" w:rsidR="00CE78BD" w:rsidRDefault="00224686" w:rsidP="00E63E9A">
      <w:pPr>
        <w:spacing w:line="440" w:lineRule="exact"/>
        <w:rPr>
          <w:rFonts w:ascii="Times New Roman" w:hAnsi="Times New Roman" w:cs="Times New Roman"/>
        </w:rPr>
      </w:pPr>
      <w:r>
        <w:rPr>
          <w:rFonts w:ascii="Times New Roman" w:hAnsi="Times New Roman" w:cs="Times New Roman"/>
          <w:b/>
        </w:rPr>
        <w:t>Fig</w:t>
      </w:r>
      <w:r w:rsidR="00977267">
        <w:rPr>
          <w:rFonts w:ascii="Times New Roman" w:hAnsi="Times New Roman" w:cs="Times New Roman"/>
          <w:b/>
        </w:rPr>
        <w:t>.</w:t>
      </w:r>
      <w:r>
        <w:rPr>
          <w:rFonts w:ascii="Times New Roman" w:hAnsi="Times New Roman" w:cs="Times New Roman"/>
          <w:b/>
        </w:rPr>
        <w:t xml:space="preserve"> S</w:t>
      </w:r>
      <w:r w:rsidR="00AC537C" w:rsidRPr="002F1512">
        <w:rPr>
          <w:rFonts w:ascii="Times New Roman" w:hAnsi="Times New Roman" w:cs="Times New Roman"/>
          <w:b/>
        </w:rPr>
        <w:t>1:</w:t>
      </w:r>
      <w:r w:rsidR="00DA23E5">
        <w:rPr>
          <w:rFonts w:ascii="Times New Roman" w:hAnsi="Times New Roman" w:cs="Times New Roman"/>
          <w:b/>
        </w:rPr>
        <w:t xml:space="preserve"> </w:t>
      </w:r>
      <w:r w:rsidR="00DA23E5" w:rsidRPr="005C3737">
        <w:rPr>
          <w:rFonts w:ascii="Times" w:hAnsi="Times" w:cs="Helvetica"/>
          <w:bCs/>
          <w:color w:val="000000"/>
          <w:szCs w:val="23"/>
        </w:rPr>
        <w:t>(a)</w:t>
      </w:r>
      <w:r w:rsidR="00DA23E5" w:rsidRPr="005C3737">
        <w:rPr>
          <w:rFonts w:ascii="Times" w:hAnsi="Times" w:cs="Helvetica"/>
          <w:b/>
          <w:color w:val="000000"/>
          <w:szCs w:val="23"/>
        </w:rPr>
        <w:t xml:space="preserve"> </w:t>
      </w:r>
      <w:r w:rsidR="00DA23E5">
        <w:rPr>
          <w:rFonts w:ascii="Times" w:hAnsi="Times" w:cs="Helvetica"/>
          <w:bCs/>
          <w:color w:val="000000"/>
          <w:szCs w:val="23"/>
        </w:rPr>
        <w:t xml:space="preserve">Projection of </w:t>
      </w:r>
      <w:r w:rsidR="0031536F">
        <w:rPr>
          <w:rFonts w:ascii="Times" w:hAnsi="Times" w:cs="Helvetica"/>
          <w:bCs/>
          <w:color w:val="000000"/>
          <w:szCs w:val="23"/>
        </w:rPr>
        <w:t xml:space="preserve">a </w:t>
      </w:r>
      <w:r w:rsidR="00DA23E5" w:rsidRPr="005C3737">
        <w:rPr>
          <w:rFonts w:ascii="Times" w:hAnsi="Times" w:cs="Helvetica"/>
          <w:color w:val="000000"/>
          <w:szCs w:val="23"/>
        </w:rPr>
        <w:t>hypothetical cell population containing t</w:t>
      </w:r>
      <w:r w:rsidR="00DA23E5">
        <w:rPr>
          <w:rFonts w:ascii="Times" w:hAnsi="Times" w:cs="Helvetica"/>
          <w:color w:val="000000"/>
          <w:szCs w:val="23"/>
        </w:rPr>
        <w:t>hree</w:t>
      </w:r>
      <w:r w:rsidR="00DA23E5" w:rsidRPr="005C3737">
        <w:rPr>
          <w:rFonts w:ascii="Times" w:hAnsi="Times" w:cs="Helvetica"/>
          <w:color w:val="000000"/>
          <w:szCs w:val="23"/>
        </w:rPr>
        <w:t xml:space="preserve"> sub-populations (</w:t>
      </w:r>
      <w:r w:rsidR="007C2571">
        <w:rPr>
          <w:rFonts w:ascii="Times" w:hAnsi="Times" w:cs="Helvetica"/>
          <w:color w:val="000000"/>
          <w:szCs w:val="23"/>
        </w:rPr>
        <w:t>red, green and blue</w:t>
      </w:r>
      <w:r w:rsidR="0031536F">
        <w:rPr>
          <w:rFonts w:ascii="Times" w:hAnsi="Times" w:cs="Helvetica"/>
          <w:color w:val="000000"/>
          <w:szCs w:val="23"/>
        </w:rPr>
        <w:t xml:space="preserve"> </w:t>
      </w:r>
      <w:r w:rsidR="0031536F">
        <w:rPr>
          <w:rFonts w:ascii="Times New Roman" w:hAnsi="Times New Roman" w:cs="Times New Roman"/>
          <w:color w:val="000000"/>
          <w:szCs w:val="23"/>
        </w:rPr>
        <w:t>where intensity corresponds to read depth</w:t>
      </w:r>
      <w:r w:rsidR="00DA23E5" w:rsidRPr="005C3737">
        <w:rPr>
          <w:rFonts w:ascii="Times" w:hAnsi="Times" w:cs="Helvetica"/>
          <w:color w:val="000000"/>
          <w:szCs w:val="23"/>
        </w:rPr>
        <w:t>)</w:t>
      </w:r>
      <w:r w:rsidR="004B46D5">
        <w:rPr>
          <w:rFonts w:ascii="Times" w:hAnsi="Times" w:cs="Helvetica"/>
          <w:color w:val="000000"/>
          <w:szCs w:val="23"/>
        </w:rPr>
        <w:t>.</w:t>
      </w:r>
      <w:r w:rsidR="009B678C">
        <w:rPr>
          <w:rFonts w:ascii="Times New Roman" w:hAnsi="Times New Roman" w:cs="Times New Roman"/>
          <w:b/>
        </w:rPr>
        <w:t xml:space="preserve"> </w:t>
      </w:r>
      <w:r w:rsidR="009B678C">
        <w:rPr>
          <w:rFonts w:ascii="Times New Roman" w:hAnsi="Times New Roman" w:cs="Times New Roman"/>
        </w:rPr>
        <w:t xml:space="preserve">(b) </w:t>
      </w:r>
      <w:r w:rsidR="00F95258">
        <w:rPr>
          <w:rFonts w:ascii="Times New Roman" w:hAnsi="Times New Roman" w:cs="Times New Roman"/>
        </w:rPr>
        <w:t>In the</w:t>
      </w:r>
      <w:r w:rsidR="00FD7AE3">
        <w:rPr>
          <w:rFonts w:ascii="Times New Roman" w:hAnsi="Times New Roman" w:cs="Times New Roman"/>
        </w:rPr>
        <w:t xml:space="preserve"> commercial droplet-based </w:t>
      </w:r>
      <w:proofErr w:type="spellStart"/>
      <w:r w:rsidR="00FD7AE3">
        <w:rPr>
          <w:rFonts w:ascii="Times New Roman" w:hAnsi="Times New Roman" w:cs="Times New Roman"/>
        </w:rPr>
        <w:t>scRNA</w:t>
      </w:r>
      <w:proofErr w:type="spellEnd"/>
      <w:r w:rsidR="00FD7AE3">
        <w:rPr>
          <w:rFonts w:ascii="Times New Roman" w:hAnsi="Times New Roman" w:cs="Times New Roman"/>
        </w:rPr>
        <w:t xml:space="preserve">-seq </w:t>
      </w:r>
      <w:r w:rsidR="00AC537C" w:rsidRPr="002F1512">
        <w:rPr>
          <w:rFonts w:ascii="Times New Roman" w:hAnsi="Times New Roman" w:cs="Times New Roman"/>
        </w:rPr>
        <w:t>protocol</w:t>
      </w:r>
      <w:r w:rsidR="00FD7AE3">
        <w:rPr>
          <w:rFonts w:ascii="Times New Roman" w:hAnsi="Times New Roman" w:cs="Times New Roman"/>
        </w:rPr>
        <w:t xml:space="preserve"> 10x Chromium</w:t>
      </w:r>
      <w:r w:rsidR="00EF228F" w:rsidRPr="002F1512">
        <w:rPr>
          <w:rFonts w:ascii="Times New Roman" w:hAnsi="Times New Roman" w:cs="Times New Roman"/>
        </w:rPr>
        <w:fldChar w:fldCharType="begin" w:fldLock="1"/>
      </w:r>
      <w:r w:rsidR="00FD34E0">
        <w:rPr>
          <w:rFonts w:ascii="Times New Roman" w:hAnsi="Times New Roman" w:cs="Times New Roman"/>
        </w:rPr>
        <w:instrText>ADDIN CSL_CITATION {"citationItems":[{"id":"ITEM-1","itemData":{"DOI":"10.1038/ncomms14049","ISSN":"2041-1723","abstract":"Single-cell gene expression analysis is challenging. This work describes a new droplet-based single cell RNA-seq platform capable of processing tens of thousands of cells across 8 independent samples in minutes, and demonstrates cellular subtypes and host–donor chimerism in transplant patients.","author":[{"dropping-particle":"","family":"Zheng","given":"Grace X. Y.","non-dropping-particle":"","parse-names":false,"suffix":""},{"dropping-particle":"","family":"Terry","given":"Jessica M.","non-dropping-particle":"","parse-names":false,"suffix":""},{"dropping-particle":"","family":"Belgrader","given":"Phillip","non-dropping-particle":"","parse-names":false,"suffix":""},{"dropping-particle":"","family":"Ryvkin","given":"Paul","non-dropping-particle":"","parse-names":false,"suffix":""},{"dropping-particle":"","family":"Bent","given":"Zachary W.","non-dropping-particle":"","parse-names":false,"suffix":""},{"dropping-particle":"","family":"Wilson","given":"Ryan","non-dropping-particle":"","parse-names":false,"suffix":""},{"dropping-particle":"","family":"Ziraldo","given":"Solongo B.","non-dropping-particle":"","parse-names":false,"suffix":""},{"dropping-particle":"","family":"Wheeler","given":"Tobias D.","non-dropping-particle":"","parse-names":false,"suffix":""},{"dropping-particle":"","family":"McDermott","given":"Geoff P.","non-dropping-particle":"","parse-names":false,"suffix":""},{"dropping-particle":"","family":"Zhu","given":"Junjie","non-dropping-particle":"","parse-names":false,"suffix":""},{"dropping-particle":"","family":"Gregory","given":"Mark T.","non-dropping-particle":"","parse-names":false,"suffix":""},{"dropping-particle":"","family":"Shuga","given":"Joe","non-dropping-particle":"","parse-names":false,"suffix":""},{"dropping-particle":"","family":"Montesclaros","given":"Luz","non-dropping-particle":"","parse-names":false,"suffix":""},{"dropping-particle":"","family":"Underwood","given":"Jason G.","non-dropping-particle":"","parse-names":false,"suffix":""},{"dropping-particle":"","family":"Masquelier","given":"Donald A.","non-dropping-particle":"","parse-names":false,"suffix":""},{"dropping-particle":"","family":"Nishimura","given":"Stefanie Y.","non-dropping-particle":"","parse-names":false,"suffix":""},{"dropping-particle":"","family":"Schnall-Levin","given":"Michael","non-dropping-particle":"","parse-names":false,"suffix":""},{"dropping-particle":"","family":"Wyatt","given":"Paul W.","non-dropping-particle":"","parse-names":false,"suffix":""},{"dropping-particle":"","family":"Hindson","given":"Christopher M.","non-dropping-particle":"","parse-names":false,"suffix":""},{"dropping-particle":"","family":"Bharadwaj","given":"Rajiv","non-dropping-particle":"","parse-names":false,"suffix":""},{"dropping-particle":"","family":"Wong","given":"Alexander","non-dropping-particle":"","parse-names":false,"suffix":""},{"dropping-particle":"","family":"Ness","given":"Kevin D.","non-dropping-particle":"","parse-names":false,"suffix":""},{"dropping-particle":"","family":"Beppu","given":"Lan W.","non-dropping-particle":"","parse-names":false,"suffix":""},{"dropping-particle":"","family":"Deeg","given":"H. Joachim","non-dropping-particle":"","parse-names":false,"suffix":""},{"dropping-particle":"","family":"McFarland","given":"Christopher","non-dropping-particle":"","parse-names":false,"suffix":""},{"dropping-particle":"","family":"Loeb","given":"Keith R.","non-dropping-particle":"","parse-names":false,"suffix":""},{"dropping-particle":"","family":"Valente","given":"William J.","non-dropping-particle":"","parse-names":false,"suffix":""},{"dropping-particle":"","family":"Ericson","given":"Nolan G.","non-dropping-particle":"","parse-names":false,"suffix":""},{"dropping-particle":"","family":"Stevens","given":"Emily A.","non-dropping-particle":"","parse-names":false,"suffix":""},{"dropping-particle":"","family":"Radich","given":"Jerald P.","non-dropping-particle":"","parse-names":false,"suffix":""},{"dropping-particle":"","family":"Mikkelsen","given":"Tarjei S.","non-dropping-particle":"","parse-names":false,"suffix":""},{"dropping-particle":"","family":"Hindson","given":"Benjamin J.","non-dropping-particle":"","parse-names":false,"suffix":""},{"dropping-particle":"","family":"Bielas","given":"Jason H.","non-dropping-particle":"","parse-names":false,"suffix":""}],"container-title":"Nature Communications","id":"ITEM-1","issued":{"date-parts":[["2017","1","16"]]},"page":"14049","publisher":"Nature Publishing Group","title":"Massively parallel digital transcriptional profiling of single cells","type":"article-journal","volume":"8"},"uris":["http://www.mendeley.com/documents/?uuid=e1f49fe7-d5f5-33f6-bf38-a73ed155d7d6"]}],"mendeley":{"formattedCitation":"[1]","plainTextFormattedCitation":"[1]","previouslyFormattedCitation":"[1]"},"properties":{"noteIndex":0},"schema":"https://github.com/citation-style-language/schema/raw/master/csl-citation.json"}</w:instrText>
      </w:r>
      <w:r w:rsidR="00EF228F" w:rsidRPr="002F1512">
        <w:rPr>
          <w:rFonts w:ascii="Times New Roman" w:hAnsi="Times New Roman" w:cs="Times New Roman"/>
        </w:rPr>
        <w:fldChar w:fldCharType="separate"/>
      </w:r>
      <w:r w:rsidR="0027488E" w:rsidRPr="0027488E">
        <w:rPr>
          <w:rFonts w:ascii="Times New Roman" w:hAnsi="Times New Roman" w:cs="Times New Roman"/>
          <w:noProof/>
        </w:rPr>
        <w:t>[1]</w:t>
      </w:r>
      <w:r w:rsidR="00EF228F" w:rsidRPr="002F1512">
        <w:rPr>
          <w:rFonts w:ascii="Times New Roman" w:hAnsi="Times New Roman" w:cs="Times New Roman"/>
        </w:rPr>
        <w:fldChar w:fldCharType="end"/>
      </w:r>
      <w:r w:rsidR="009B678C">
        <w:rPr>
          <w:rFonts w:ascii="Times New Roman" w:hAnsi="Times New Roman" w:cs="Times New Roman"/>
        </w:rPr>
        <w:t>, g</w:t>
      </w:r>
      <w:r w:rsidR="00AC537C" w:rsidRPr="002F1512">
        <w:rPr>
          <w:rFonts w:ascii="Times New Roman" w:hAnsi="Times New Roman" w:cs="Times New Roman"/>
        </w:rPr>
        <w:t xml:space="preserve">el beads containing oligonucleotide indexes made up of bead-specific barcodes combined </w:t>
      </w:r>
      <w:r w:rsidR="00EF228F">
        <w:rPr>
          <w:rFonts w:ascii="Times New Roman" w:hAnsi="Times New Roman" w:cs="Times New Roman"/>
        </w:rPr>
        <w:t xml:space="preserve">with </w:t>
      </w:r>
      <w:r w:rsidR="00E04956">
        <w:rPr>
          <w:rFonts w:ascii="Times New Roman" w:hAnsi="Times New Roman" w:cs="Times New Roman"/>
        </w:rPr>
        <w:t>UMIs</w:t>
      </w:r>
      <w:r w:rsidR="00AC537C" w:rsidRPr="002F1512">
        <w:rPr>
          <w:rFonts w:ascii="Times New Roman" w:hAnsi="Times New Roman" w:cs="Times New Roman"/>
        </w:rPr>
        <w:t xml:space="preserve"> and oligo-dT tags to prime polyadenylated RNA</w:t>
      </w:r>
      <w:r w:rsidR="009B678C">
        <w:rPr>
          <w:rFonts w:ascii="Times New Roman" w:hAnsi="Times New Roman" w:cs="Times New Roman"/>
        </w:rPr>
        <w:t xml:space="preserve"> are combined with single</w:t>
      </w:r>
      <w:r w:rsidR="00AC537C" w:rsidRPr="002F1512">
        <w:rPr>
          <w:rFonts w:ascii="Times New Roman" w:hAnsi="Times New Roman" w:cs="Times New Roman"/>
        </w:rPr>
        <w:t xml:space="preserve"> cells in one channel of a microfluidic chip</w:t>
      </w:r>
      <w:r w:rsidR="00C7726F">
        <w:rPr>
          <w:rFonts w:ascii="Times New Roman" w:hAnsi="Times New Roman" w:cs="Times New Roman"/>
        </w:rPr>
        <w:t xml:space="preserve"> and oil in another</w:t>
      </w:r>
      <w:r w:rsidR="00681973">
        <w:rPr>
          <w:rFonts w:ascii="Times New Roman" w:hAnsi="Times New Roman" w:cs="Times New Roman"/>
        </w:rPr>
        <w:t xml:space="preserve"> </w:t>
      </w:r>
      <w:r w:rsidR="00AC537C" w:rsidRPr="002F1512">
        <w:rPr>
          <w:rFonts w:ascii="Times New Roman" w:hAnsi="Times New Roman" w:cs="Times New Roman"/>
        </w:rPr>
        <w:t>to form gel-beads in emulsion, or GEMs</w:t>
      </w:r>
      <w:r w:rsidR="00816C29">
        <w:rPr>
          <w:rFonts w:ascii="Times New Roman" w:hAnsi="Times New Roman" w:cs="Times New Roman"/>
        </w:rPr>
        <w:t xml:space="preserve">. (c) </w:t>
      </w:r>
      <w:r w:rsidR="00AC537C" w:rsidRPr="002F1512">
        <w:rPr>
          <w:rFonts w:ascii="Times New Roman" w:hAnsi="Times New Roman" w:cs="Times New Roman"/>
        </w:rPr>
        <w:t>GEMs that capture individual cells are referred to as functional GEMs</w:t>
      </w:r>
      <w:r w:rsidR="00E04956">
        <w:rPr>
          <w:rFonts w:ascii="Times New Roman" w:hAnsi="Times New Roman" w:cs="Times New Roman"/>
        </w:rPr>
        <w:t xml:space="preserve">; those </w:t>
      </w:r>
      <w:r w:rsidR="002F1512">
        <w:rPr>
          <w:rFonts w:ascii="Times New Roman" w:hAnsi="Times New Roman" w:cs="Times New Roman"/>
        </w:rPr>
        <w:t>that fail to capture cells are empty droplets</w:t>
      </w:r>
      <w:r w:rsidR="00AC537C" w:rsidRPr="002F1512">
        <w:rPr>
          <w:rFonts w:ascii="Times New Roman" w:hAnsi="Times New Roman" w:cs="Times New Roman"/>
        </w:rPr>
        <w:t>. Gel beads dissolve and release their oligos for reverse transcription of polyadenylated RNAs</w:t>
      </w:r>
      <w:r w:rsidR="002F1512">
        <w:rPr>
          <w:rFonts w:ascii="Times New Roman" w:hAnsi="Times New Roman" w:cs="Times New Roman"/>
        </w:rPr>
        <w:t xml:space="preserve">. </w:t>
      </w:r>
      <w:r w:rsidR="00816C29">
        <w:rPr>
          <w:rFonts w:ascii="Times New Roman" w:hAnsi="Times New Roman" w:cs="Times New Roman"/>
        </w:rPr>
        <w:t>(</w:t>
      </w:r>
      <w:r w:rsidR="00681973">
        <w:rPr>
          <w:rFonts w:ascii="Times New Roman" w:hAnsi="Times New Roman" w:cs="Times New Roman"/>
        </w:rPr>
        <w:t>d</w:t>
      </w:r>
      <w:r w:rsidR="00816C29">
        <w:rPr>
          <w:rFonts w:ascii="Times New Roman" w:hAnsi="Times New Roman" w:cs="Times New Roman"/>
        </w:rPr>
        <w:t xml:space="preserve">) </w:t>
      </w:r>
      <w:r w:rsidR="00AC537C" w:rsidRPr="002F1512">
        <w:rPr>
          <w:rFonts w:ascii="Times New Roman" w:hAnsi="Times New Roman" w:cs="Times New Roman"/>
        </w:rPr>
        <w:t xml:space="preserve">Indexed cDNA is pooled for PCR amplification and sequencing </w:t>
      </w:r>
      <w:r w:rsidR="00E04956">
        <w:rPr>
          <w:rFonts w:ascii="Times New Roman" w:hAnsi="Times New Roman" w:cs="Times New Roman"/>
        </w:rPr>
        <w:t>to give</w:t>
      </w:r>
      <w:r w:rsidR="00AC537C" w:rsidRPr="002F1512">
        <w:rPr>
          <w:rFonts w:ascii="Times New Roman" w:hAnsi="Times New Roman" w:cs="Times New Roman"/>
        </w:rPr>
        <w:t xml:space="preserve"> a data matrix of UMI counts for each barcode</w:t>
      </w:r>
      <w:r w:rsidR="00681973">
        <w:rPr>
          <w:rFonts w:ascii="Times New Roman" w:hAnsi="Times New Roman" w:cs="Times New Roman"/>
        </w:rPr>
        <w:t>, which is taken as input to CB2</w:t>
      </w:r>
      <w:r w:rsidR="00C7726F">
        <w:rPr>
          <w:rFonts w:ascii="Times New Roman" w:hAnsi="Times New Roman" w:cs="Times New Roman"/>
        </w:rPr>
        <w:t xml:space="preserve"> (</w:t>
      </w:r>
      <w:r w:rsidR="00977267">
        <w:rPr>
          <w:rFonts w:ascii="Times New Roman" w:hAnsi="Times New Roman" w:cs="Times New Roman"/>
          <w:b/>
          <w:bCs/>
        </w:rPr>
        <w:t>Fig.</w:t>
      </w:r>
      <w:r w:rsidR="00C7726F" w:rsidRPr="00C7726F">
        <w:rPr>
          <w:rFonts w:ascii="Times New Roman" w:hAnsi="Times New Roman" w:cs="Times New Roman"/>
          <w:b/>
          <w:bCs/>
        </w:rPr>
        <w:t xml:space="preserve"> 1</w:t>
      </w:r>
      <w:r w:rsidR="00C7726F">
        <w:rPr>
          <w:rFonts w:ascii="Times New Roman" w:hAnsi="Times New Roman" w:cs="Times New Roman"/>
        </w:rPr>
        <w:t>)</w:t>
      </w:r>
      <w:r w:rsidR="00681973">
        <w:rPr>
          <w:rFonts w:ascii="Times New Roman" w:hAnsi="Times New Roman" w:cs="Times New Roman"/>
        </w:rPr>
        <w:t xml:space="preserve">. By leveraging correlation among cell sub-populations, CB2 shows improved sensitivity and specificity for identifying cells </w:t>
      </w:r>
      <w:r w:rsidR="00CE51B5">
        <w:rPr>
          <w:rFonts w:ascii="Times New Roman" w:hAnsi="Times New Roman" w:cs="Times New Roman"/>
        </w:rPr>
        <w:t xml:space="preserve">in </w:t>
      </w:r>
      <w:r w:rsidR="0031536F">
        <w:rPr>
          <w:rFonts w:ascii="Times New Roman" w:hAnsi="Times New Roman" w:cs="Times New Roman"/>
        </w:rPr>
        <w:t>common</w:t>
      </w:r>
      <w:r w:rsidR="00CE51B5">
        <w:rPr>
          <w:rFonts w:ascii="Times New Roman" w:hAnsi="Times New Roman" w:cs="Times New Roman"/>
        </w:rPr>
        <w:t xml:space="preserve"> </w:t>
      </w:r>
      <w:r w:rsidR="00681973">
        <w:rPr>
          <w:rFonts w:ascii="Times New Roman" w:hAnsi="Times New Roman" w:cs="Times New Roman"/>
        </w:rPr>
        <w:t xml:space="preserve">as well as </w:t>
      </w:r>
      <w:r w:rsidR="00CE51B5">
        <w:rPr>
          <w:rFonts w:ascii="Times New Roman" w:hAnsi="Times New Roman" w:cs="Times New Roman"/>
        </w:rPr>
        <w:t xml:space="preserve">rare subpopulations. </w:t>
      </w:r>
    </w:p>
    <w:p w14:paraId="4BCE41CD" w14:textId="19517708" w:rsidR="00CE78BD" w:rsidRPr="00CE78BD" w:rsidRDefault="006F2C3F" w:rsidP="00355F3D">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2C422A08" wp14:editId="55C24803">
            <wp:extent cx="5943600" cy="33458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Fig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345815"/>
                    </a:xfrm>
                    <a:prstGeom prst="rect">
                      <a:avLst/>
                    </a:prstGeom>
                  </pic:spPr>
                </pic:pic>
              </a:graphicData>
            </a:graphic>
          </wp:inline>
        </w:drawing>
      </w:r>
    </w:p>
    <w:p w14:paraId="5E3F7FEF" w14:textId="40E2C8EC" w:rsidR="003A501B" w:rsidRPr="00CE78BD" w:rsidRDefault="00977267" w:rsidP="00355F3D">
      <w:pPr>
        <w:spacing w:line="480" w:lineRule="auto"/>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3A501B">
        <w:rPr>
          <w:rFonts w:ascii="Times New Roman" w:hAnsi="Times New Roman" w:cs="Times New Roman"/>
          <w:b/>
        </w:rPr>
        <w:t>2</w:t>
      </w:r>
      <w:r w:rsidR="003A501B" w:rsidRPr="00CE78BD">
        <w:rPr>
          <w:rFonts w:ascii="Times New Roman" w:hAnsi="Times New Roman" w:cs="Times New Roman"/>
        </w:rPr>
        <w:t xml:space="preserve">: </w:t>
      </w:r>
      <w:r w:rsidR="003A501B">
        <w:rPr>
          <w:rFonts w:ascii="Times New Roman" w:hAnsi="Times New Roman" w:cs="Times New Roman"/>
        </w:rPr>
        <w:t>UMI counts are plotted against barcodes that have been ordered by total count. Both CB2 and ED</w:t>
      </w:r>
      <w:r w:rsidR="00B37F62">
        <w:rPr>
          <w:rFonts w:ascii="Times New Roman" w:hAnsi="Times New Roman" w:cs="Times New Roman"/>
        </w:rPr>
        <w:t xml:space="preserve"> automatically call</w:t>
      </w:r>
      <w:r w:rsidR="003A501B">
        <w:rPr>
          <w:rFonts w:ascii="Times New Roman" w:hAnsi="Times New Roman" w:cs="Times New Roman"/>
        </w:rPr>
        <w:t xml:space="preserve"> high count barcodes real cells</w:t>
      </w:r>
      <w:r w:rsidR="00B37F62">
        <w:rPr>
          <w:rFonts w:ascii="Times New Roman" w:hAnsi="Times New Roman" w:cs="Times New Roman"/>
        </w:rPr>
        <w:t xml:space="preserve"> (they are not tested)</w:t>
      </w:r>
      <w:r w:rsidR="003A501B">
        <w:rPr>
          <w:rFonts w:ascii="Times New Roman" w:hAnsi="Times New Roman" w:cs="Times New Roman"/>
        </w:rPr>
        <w:t>; low count barcodes are considered background. The</w:t>
      </w:r>
      <w:r w:rsidR="003A501B" w:rsidRPr="00CE78BD">
        <w:rPr>
          <w:rFonts w:ascii="Times New Roman" w:hAnsi="Times New Roman" w:cs="Times New Roman"/>
        </w:rPr>
        <w:t xml:space="preserve"> remaining barcodes </w:t>
      </w:r>
      <w:r w:rsidR="003A501B">
        <w:rPr>
          <w:rFonts w:ascii="Times New Roman" w:hAnsi="Times New Roman" w:cs="Times New Roman"/>
        </w:rPr>
        <w:t>are</w:t>
      </w:r>
      <w:r w:rsidR="003A501B" w:rsidRPr="00CE78BD">
        <w:rPr>
          <w:rFonts w:ascii="Times New Roman" w:hAnsi="Times New Roman" w:cs="Times New Roman"/>
        </w:rPr>
        <w:t xml:space="preserve"> tested. By default, the </w:t>
      </w:r>
      <w:r w:rsidR="003A501B">
        <w:rPr>
          <w:rFonts w:ascii="Times New Roman" w:hAnsi="Times New Roman" w:cs="Times New Roman"/>
        </w:rPr>
        <w:t>high count (</w:t>
      </w:r>
      <w:r w:rsidR="003A501B" w:rsidRPr="00CE78BD">
        <w:rPr>
          <w:rFonts w:ascii="Times New Roman" w:hAnsi="Times New Roman" w:cs="Times New Roman"/>
        </w:rPr>
        <w:t>uppe</w:t>
      </w:r>
      <w:r w:rsidR="003A501B">
        <w:rPr>
          <w:rFonts w:ascii="Times New Roman" w:hAnsi="Times New Roman" w:cs="Times New Roman"/>
        </w:rPr>
        <w:t xml:space="preserve">r) </w:t>
      </w:r>
      <w:r w:rsidR="003A501B" w:rsidRPr="00CE78BD">
        <w:rPr>
          <w:rFonts w:ascii="Times New Roman" w:hAnsi="Times New Roman" w:cs="Times New Roman"/>
        </w:rPr>
        <w:t>threshold is defined by the knee point, where the counts vs. rank curve begins to drop rapidly</w:t>
      </w:r>
      <w:r w:rsidR="0031536F">
        <w:rPr>
          <w:rFonts w:ascii="Times New Roman" w:hAnsi="Times New Roman" w:cs="Times New Roman"/>
        </w:rPr>
        <w:t>;</w:t>
      </w:r>
      <w:r w:rsidR="003A501B">
        <w:rPr>
          <w:rFonts w:ascii="Times New Roman" w:hAnsi="Times New Roman" w:cs="Times New Roman"/>
        </w:rPr>
        <w:t xml:space="preserve"> the low count threshold is set to 100. Either, or both, may be changed by a user.</w:t>
      </w:r>
    </w:p>
    <w:p w14:paraId="3F7E71A9" w14:textId="57DADF55" w:rsidR="00EB3146" w:rsidRPr="002F1512" w:rsidRDefault="00CA3B6F" w:rsidP="00355F3D">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02B69620" wp14:editId="402F0977">
            <wp:extent cx="5943600" cy="4981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Fig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981575"/>
                    </a:xfrm>
                    <a:prstGeom prst="rect">
                      <a:avLst/>
                    </a:prstGeom>
                  </pic:spPr>
                </pic:pic>
              </a:graphicData>
            </a:graphic>
          </wp:inline>
        </w:drawing>
      </w:r>
    </w:p>
    <w:p w14:paraId="2D4F6ADD" w14:textId="67FED862" w:rsidR="00F12087" w:rsidRDefault="00977267" w:rsidP="00355F3D">
      <w:pPr>
        <w:spacing w:line="480" w:lineRule="auto"/>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CE78BD">
        <w:rPr>
          <w:rFonts w:ascii="Times New Roman" w:hAnsi="Times New Roman" w:cs="Times New Roman"/>
          <w:b/>
        </w:rPr>
        <w:t>3</w:t>
      </w:r>
      <w:r w:rsidR="00F12087" w:rsidRPr="002F1512">
        <w:rPr>
          <w:rFonts w:ascii="Times New Roman" w:hAnsi="Times New Roman" w:cs="Times New Roman"/>
          <w:b/>
        </w:rPr>
        <w:t xml:space="preserve">: </w:t>
      </w:r>
      <w:r w:rsidR="00F12087" w:rsidRPr="002F1512">
        <w:rPr>
          <w:rFonts w:ascii="Times New Roman" w:hAnsi="Times New Roman" w:cs="Times New Roman"/>
        </w:rPr>
        <w:t xml:space="preserve">The </w:t>
      </w:r>
      <w:r w:rsidR="00B24B0F">
        <w:rPr>
          <w:rFonts w:ascii="Times New Roman" w:hAnsi="Times New Roman" w:cs="Times New Roman"/>
        </w:rPr>
        <w:t xml:space="preserve">average </w:t>
      </w:r>
      <w:r w:rsidR="00F12087" w:rsidRPr="002F1512">
        <w:rPr>
          <w:rFonts w:ascii="Times New Roman" w:hAnsi="Times New Roman" w:cs="Times New Roman"/>
        </w:rPr>
        <w:t xml:space="preserve">power and </w:t>
      </w:r>
      <w:r w:rsidR="00B24B0F">
        <w:rPr>
          <w:rFonts w:ascii="Times New Roman" w:hAnsi="Times New Roman" w:cs="Times New Roman"/>
        </w:rPr>
        <w:t xml:space="preserve">average </w:t>
      </w:r>
      <w:r w:rsidR="00F12087" w:rsidRPr="002F1512">
        <w:rPr>
          <w:rFonts w:ascii="Times New Roman" w:hAnsi="Times New Roman" w:cs="Times New Roman"/>
        </w:rPr>
        <w:t>false discovery rate</w:t>
      </w:r>
      <w:r w:rsidR="00F50255">
        <w:rPr>
          <w:rFonts w:ascii="Times New Roman" w:hAnsi="Times New Roman" w:cs="Times New Roman"/>
        </w:rPr>
        <w:t xml:space="preserve"> (FDR)</w:t>
      </w:r>
      <w:r w:rsidR="00F12087" w:rsidRPr="002F1512">
        <w:rPr>
          <w:rFonts w:ascii="Times New Roman" w:hAnsi="Times New Roman" w:cs="Times New Roman"/>
        </w:rPr>
        <w:t xml:space="preserve"> of CB2 and</w:t>
      </w:r>
      <w:r w:rsidR="00B34E99" w:rsidRPr="002F1512">
        <w:rPr>
          <w:rFonts w:ascii="Times New Roman" w:hAnsi="Times New Roman" w:cs="Times New Roman"/>
        </w:rPr>
        <w:t xml:space="preserve"> ED</w:t>
      </w:r>
      <w:r w:rsidR="00F12087" w:rsidRPr="002F1512">
        <w:rPr>
          <w:rFonts w:ascii="Times New Roman" w:hAnsi="Times New Roman" w:cs="Times New Roman"/>
        </w:rPr>
        <w:t xml:space="preserve"> for SIM IA data</w:t>
      </w:r>
      <w:r w:rsidR="00B24B0F">
        <w:rPr>
          <w:rFonts w:ascii="Times New Roman" w:hAnsi="Times New Roman" w:cs="Times New Roman"/>
        </w:rPr>
        <w:t xml:space="preserve"> (average taken over 5 simulated datasets)</w:t>
      </w:r>
      <w:r w:rsidR="00F12087" w:rsidRPr="002F1512">
        <w:rPr>
          <w:rFonts w:ascii="Times New Roman" w:hAnsi="Times New Roman" w:cs="Times New Roman"/>
        </w:rPr>
        <w:t>.</w:t>
      </w:r>
      <w:r w:rsidR="00B34E99" w:rsidRPr="002F1512">
        <w:rPr>
          <w:rFonts w:ascii="Times New Roman" w:hAnsi="Times New Roman" w:cs="Times New Roman"/>
        </w:rPr>
        <w:t xml:space="preserve"> </w:t>
      </w:r>
      <w:r w:rsidR="00CE78BD" w:rsidRPr="00CE78BD">
        <w:rPr>
          <w:rFonts w:ascii="Times New Roman" w:hAnsi="Times New Roman" w:cs="Times New Roman"/>
        </w:rPr>
        <w:t xml:space="preserve">Since </w:t>
      </w:r>
      <w:r w:rsidR="00CE78BD">
        <w:rPr>
          <w:rFonts w:ascii="Times New Roman" w:hAnsi="Times New Roman" w:cs="Times New Roman"/>
        </w:rPr>
        <w:t>both CB2 and ED automatically identify high count barcodes as real cells (</w:t>
      </w:r>
      <w:r w:rsidR="00CE78BD" w:rsidRPr="00CE78BD">
        <w:rPr>
          <w:rFonts w:ascii="Times New Roman" w:hAnsi="Times New Roman" w:cs="Times New Roman"/>
        </w:rPr>
        <w:t>they are not subject to statistical test</w:t>
      </w:r>
      <w:r w:rsidR="00CE78BD">
        <w:rPr>
          <w:rFonts w:ascii="Times New Roman" w:hAnsi="Times New Roman" w:cs="Times New Roman"/>
        </w:rPr>
        <w:t xml:space="preserve">; </w:t>
      </w:r>
      <w:r>
        <w:rPr>
          <w:rFonts w:ascii="Times New Roman" w:hAnsi="Times New Roman" w:cs="Times New Roman"/>
          <w:b/>
          <w:bCs/>
        </w:rPr>
        <w:t>Fig.</w:t>
      </w:r>
      <w:r w:rsidR="00224686">
        <w:rPr>
          <w:rFonts w:ascii="Times New Roman" w:hAnsi="Times New Roman" w:cs="Times New Roman"/>
          <w:b/>
          <w:bCs/>
        </w:rPr>
        <w:t xml:space="preserve"> S</w:t>
      </w:r>
      <w:r w:rsidR="00CE78BD">
        <w:rPr>
          <w:rFonts w:ascii="Times New Roman" w:hAnsi="Times New Roman" w:cs="Times New Roman"/>
          <w:b/>
          <w:bCs/>
        </w:rPr>
        <w:t>2</w:t>
      </w:r>
      <w:r w:rsidR="00CE78BD" w:rsidRPr="00CE78BD">
        <w:rPr>
          <w:rFonts w:ascii="Times New Roman" w:hAnsi="Times New Roman" w:cs="Times New Roman"/>
        </w:rPr>
        <w:t>), we report results for all barcodes as well as those tested by CB2</w:t>
      </w:r>
      <w:r w:rsidR="00CE78BD">
        <w:rPr>
          <w:rFonts w:ascii="Times New Roman" w:hAnsi="Times New Roman" w:cs="Times New Roman"/>
        </w:rPr>
        <w:t xml:space="preserve"> and ED</w:t>
      </w:r>
      <w:r w:rsidR="00CE78BD" w:rsidRPr="00CE78BD">
        <w:rPr>
          <w:rFonts w:ascii="Times New Roman" w:hAnsi="Times New Roman" w:cs="Times New Roman"/>
        </w:rPr>
        <w:t xml:space="preserve">.  </w:t>
      </w:r>
      <w:r w:rsidR="00CE78BD">
        <w:rPr>
          <w:rFonts w:ascii="Times New Roman" w:hAnsi="Times New Roman" w:cs="Times New Roman"/>
        </w:rPr>
        <w:t>The t</w:t>
      </w:r>
      <w:r w:rsidR="00B34E99" w:rsidRPr="002F1512">
        <w:rPr>
          <w:rFonts w:ascii="Times New Roman" w:hAnsi="Times New Roman" w:cs="Times New Roman"/>
        </w:rPr>
        <w:t>op panel</w:t>
      </w:r>
      <w:r w:rsidR="00CE78BD">
        <w:rPr>
          <w:rFonts w:ascii="Times New Roman" w:hAnsi="Times New Roman" w:cs="Times New Roman"/>
        </w:rPr>
        <w:t xml:space="preserve"> shows </w:t>
      </w:r>
      <w:r w:rsidR="00B24B0F">
        <w:rPr>
          <w:rFonts w:ascii="Times New Roman" w:hAnsi="Times New Roman" w:cs="Times New Roman"/>
        </w:rPr>
        <w:t xml:space="preserve">the average </w:t>
      </w:r>
      <w:r w:rsidR="00CE78BD">
        <w:rPr>
          <w:rFonts w:ascii="Times New Roman" w:hAnsi="Times New Roman" w:cs="Times New Roman"/>
        </w:rPr>
        <w:t xml:space="preserve">power for tested barcodes; the middle panel for tested as well as high count barcodes. </w:t>
      </w:r>
      <w:r w:rsidR="000E67C5" w:rsidRPr="000E67C5">
        <w:rPr>
          <w:rFonts w:ascii="Times New Roman" w:hAnsi="Times New Roman" w:cs="Times New Roman"/>
        </w:rPr>
        <w:t xml:space="preserve"> </w:t>
      </w:r>
      <w:r w:rsidR="000E67C5" w:rsidRPr="002F1512">
        <w:rPr>
          <w:rFonts w:ascii="Times New Roman" w:hAnsi="Times New Roman" w:cs="Times New Roman"/>
        </w:rPr>
        <w:t>T</w:t>
      </w:r>
      <w:r w:rsidR="00CE78BD">
        <w:rPr>
          <w:rFonts w:ascii="Times New Roman" w:hAnsi="Times New Roman" w:cs="Times New Roman"/>
        </w:rPr>
        <w:t>he</w:t>
      </w:r>
      <w:r w:rsidR="000E67C5" w:rsidRPr="002F1512">
        <w:rPr>
          <w:rFonts w:ascii="Times New Roman" w:hAnsi="Times New Roman" w:cs="Times New Roman"/>
        </w:rPr>
        <w:t xml:space="preserve"> </w:t>
      </w:r>
      <w:r w:rsidR="00CE78BD">
        <w:rPr>
          <w:rFonts w:ascii="Times New Roman" w:hAnsi="Times New Roman" w:cs="Times New Roman"/>
        </w:rPr>
        <w:t>bottom</w:t>
      </w:r>
      <w:r w:rsidR="000E67C5" w:rsidRPr="002F1512">
        <w:rPr>
          <w:rFonts w:ascii="Times New Roman" w:hAnsi="Times New Roman" w:cs="Times New Roman"/>
        </w:rPr>
        <w:t xml:space="preserve"> </w:t>
      </w:r>
      <w:r w:rsidR="00CE78BD">
        <w:rPr>
          <w:rFonts w:ascii="Times New Roman" w:hAnsi="Times New Roman" w:cs="Times New Roman"/>
        </w:rPr>
        <w:t>panel shows</w:t>
      </w:r>
      <w:r w:rsidR="000E67C5" w:rsidRPr="002F1512">
        <w:rPr>
          <w:rFonts w:ascii="Times New Roman" w:hAnsi="Times New Roman" w:cs="Times New Roman"/>
        </w:rPr>
        <w:t xml:space="preserve"> the </w:t>
      </w:r>
      <w:r w:rsidR="00B24B0F">
        <w:rPr>
          <w:rFonts w:ascii="Times New Roman" w:hAnsi="Times New Roman" w:cs="Times New Roman"/>
        </w:rPr>
        <w:t xml:space="preserve">average </w:t>
      </w:r>
      <w:r w:rsidR="000E67C5" w:rsidRPr="002F1512">
        <w:rPr>
          <w:rFonts w:ascii="Times New Roman" w:hAnsi="Times New Roman" w:cs="Times New Roman"/>
        </w:rPr>
        <w:t>FDR.</w:t>
      </w:r>
      <w:r w:rsidR="005A125C">
        <w:rPr>
          <w:rFonts w:ascii="Times New Roman" w:hAnsi="Times New Roman" w:cs="Times New Roman"/>
        </w:rPr>
        <w:t xml:space="preserve"> For the PanT4K dataset, all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1</m:t>
            </m:r>
          </m:sub>
        </m:sSub>
      </m:oMath>
      <w:r w:rsidR="005A125C">
        <w:rPr>
          <w:rFonts w:ascii="Times New Roman" w:hAnsi="Times New Roman" w:cs="Times New Roman"/>
        </w:rPr>
        <w:t xml:space="preserve"> cells are above the upper threshold and so no barcodes were tested (as a result, power</w:t>
      </w:r>
      <w:r w:rsidR="0031536F">
        <w:rPr>
          <w:rFonts w:ascii="Times New Roman" w:hAnsi="Times New Roman" w:cs="Times New Roman"/>
        </w:rPr>
        <w:t xml:space="preserve"> for tested barcodes</w:t>
      </w:r>
      <w:r w:rsidR="005A125C">
        <w:rPr>
          <w:rFonts w:ascii="Times New Roman" w:hAnsi="Times New Roman" w:cs="Times New Roman"/>
        </w:rPr>
        <w:t xml:space="preserve"> is not </w:t>
      </w:r>
      <w:r w:rsidR="0031536F">
        <w:rPr>
          <w:rFonts w:ascii="Times New Roman" w:hAnsi="Times New Roman" w:cs="Times New Roman"/>
        </w:rPr>
        <w:t>defined</w:t>
      </w:r>
      <w:r w:rsidR="005A125C">
        <w:rPr>
          <w:rFonts w:ascii="Times New Roman" w:hAnsi="Times New Roman" w:cs="Times New Roman"/>
        </w:rPr>
        <w:t>).</w:t>
      </w:r>
    </w:p>
    <w:p w14:paraId="6C592C08" w14:textId="58EC007F" w:rsidR="00CE5FD9" w:rsidRDefault="00CE5FD9" w:rsidP="00355F3D">
      <w:pPr>
        <w:spacing w:line="480" w:lineRule="auto"/>
        <w:rPr>
          <w:rFonts w:ascii="Times New Roman" w:hAnsi="Times New Roman" w:cs="Times New Roman"/>
        </w:rPr>
      </w:pPr>
    </w:p>
    <w:p w14:paraId="6795D2FD" w14:textId="0BEBF24A" w:rsidR="00CE5FD9" w:rsidRPr="002F1512" w:rsidRDefault="00943B3D" w:rsidP="00355F3D">
      <w:pPr>
        <w:spacing w:line="480" w:lineRule="auto"/>
        <w:jc w:val="center"/>
        <w:rPr>
          <w:rFonts w:ascii="Times New Roman" w:hAnsi="Times New Roman" w:cs="Times New Roman"/>
        </w:rPr>
      </w:pPr>
      <w:r w:rsidRPr="00943B3D">
        <w:rPr>
          <w:rFonts w:ascii="Times New Roman" w:hAnsi="Times New Roman" w:cs="Times New Roman"/>
          <w:noProof/>
        </w:rPr>
        <w:lastRenderedPageBreak/>
        <w:drawing>
          <wp:inline distT="0" distB="0" distL="0" distR="0" wp14:anchorId="75BAC00B" wp14:editId="71198F35">
            <wp:extent cx="4153722" cy="39264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944"/>
                    <a:stretch/>
                  </pic:blipFill>
                  <pic:spPr bwMode="auto">
                    <a:xfrm>
                      <a:off x="0" y="0"/>
                      <a:ext cx="4174239" cy="3945871"/>
                    </a:xfrm>
                    <a:prstGeom prst="rect">
                      <a:avLst/>
                    </a:prstGeom>
                    <a:ln>
                      <a:noFill/>
                    </a:ln>
                    <a:extLst>
                      <a:ext uri="{53640926-AAD7-44D8-BBD7-CCE9431645EC}">
                        <a14:shadowObscured xmlns:a14="http://schemas.microsoft.com/office/drawing/2010/main"/>
                      </a:ext>
                    </a:extLst>
                  </pic:spPr>
                </pic:pic>
              </a:graphicData>
            </a:graphic>
          </wp:inline>
        </w:drawing>
      </w:r>
    </w:p>
    <w:p w14:paraId="5B2DC805" w14:textId="00826C87" w:rsidR="00355F3D" w:rsidRPr="002F1512" w:rsidRDefault="00977267" w:rsidP="00CA3B6F">
      <w:pPr>
        <w:spacing w:line="480" w:lineRule="exact"/>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CE78BD">
        <w:rPr>
          <w:rFonts w:ascii="Times New Roman" w:hAnsi="Times New Roman" w:cs="Times New Roman"/>
          <w:b/>
        </w:rPr>
        <w:t>4</w:t>
      </w:r>
      <w:r w:rsidR="00CE5FD9" w:rsidRPr="002F1512">
        <w:rPr>
          <w:rFonts w:ascii="Times New Roman" w:hAnsi="Times New Roman" w:cs="Times New Roman"/>
          <w:b/>
        </w:rPr>
        <w:t xml:space="preserve">: </w:t>
      </w:r>
      <w:r w:rsidR="00CE5FD9" w:rsidRPr="002F1512">
        <w:rPr>
          <w:rFonts w:ascii="Times New Roman" w:hAnsi="Times New Roman" w:cs="Times New Roman"/>
        </w:rPr>
        <w:t xml:space="preserve"> To</w:t>
      </w:r>
      <w:r w:rsidR="00B65720">
        <w:rPr>
          <w:rFonts w:ascii="Times New Roman" w:hAnsi="Times New Roman" w:cs="Times New Roman"/>
        </w:rPr>
        <w:t xml:space="preserve"> measure the similarity between each simulated dataset and the case study data from which it is derived, </w:t>
      </w:r>
      <w:r w:rsidR="00285A32">
        <w:rPr>
          <w:rFonts w:ascii="Times New Roman" w:hAnsi="Times New Roman" w:cs="Times New Roman"/>
        </w:rPr>
        <w:t xml:space="preserve">for each dataset </w:t>
      </w:r>
      <w:r w:rsidR="00B65720">
        <w:rPr>
          <w:rFonts w:ascii="Times New Roman" w:hAnsi="Times New Roman" w:cs="Times New Roman"/>
        </w:rPr>
        <w:t xml:space="preserve">we </w:t>
      </w:r>
      <w:r w:rsidR="00285A32">
        <w:rPr>
          <w:rFonts w:ascii="Times New Roman" w:hAnsi="Times New Roman" w:cs="Times New Roman"/>
        </w:rPr>
        <w:t>evaluate the extent to which the</w:t>
      </w:r>
      <w:r w:rsidR="00E4199D">
        <w:rPr>
          <w:rFonts w:ascii="Times New Roman" w:hAnsi="Times New Roman" w:cs="Times New Roman"/>
        </w:rPr>
        <w:t xml:space="preserve"> distribution</w:t>
      </w:r>
      <w:r w:rsidR="00285A32">
        <w:rPr>
          <w:rFonts w:ascii="Times New Roman" w:hAnsi="Times New Roman" w:cs="Times New Roman"/>
        </w:rPr>
        <w:t xml:space="preserve"> </w:t>
      </w:r>
      <w:r w:rsidR="00E4199D">
        <w:rPr>
          <w:rFonts w:ascii="Times New Roman" w:hAnsi="Times New Roman" w:cs="Times New Roman"/>
        </w:rPr>
        <w:t xml:space="preserve">of </w:t>
      </w:r>
      <w:r w:rsidR="00285A32">
        <w:rPr>
          <w:rFonts w:ascii="Times New Roman" w:hAnsi="Times New Roman" w:cs="Times New Roman"/>
        </w:rPr>
        <w:t>real cells</w:t>
      </w:r>
      <w:r w:rsidR="00E4199D">
        <w:rPr>
          <w:rFonts w:ascii="Times New Roman" w:hAnsi="Times New Roman" w:cs="Times New Roman"/>
        </w:rPr>
        <w:t xml:space="preserve"> </w:t>
      </w:r>
      <w:r w:rsidR="00285A32">
        <w:rPr>
          <w:rFonts w:ascii="Times New Roman" w:hAnsi="Times New Roman" w:cs="Times New Roman"/>
        </w:rPr>
        <w:t xml:space="preserve">differs from the background distribution. </w:t>
      </w:r>
      <w:r w:rsidR="00BB3B85">
        <w:rPr>
          <w:rFonts w:ascii="Times New Roman" w:hAnsi="Times New Roman" w:cs="Times New Roman"/>
        </w:rPr>
        <w:t xml:space="preserve">Specifically, for each case study dataset, we </w:t>
      </w:r>
      <w:r w:rsidR="00B37F62">
        <w:rPr>
          <w:rFonts w:ascii="Times New Roman" w:hAnsi="Times New Roman" w:cs="Times New Roman"/>
        </w:rPr>
        <w:t xml:space="preserve">calculate </w:t>
      </w:r>
      <w:r w:rsidR="00BB3B85">
        <w:rPr>
          <w:rFonts w:ascii="Times New Roman" w:hAnsi="Times New Roman" w:cs="Times New Roman"/>
        </w:rPr>
        <w:t xml:space="preserve">the </w:t>
      </w:r>
      <w:proofErr w:type="spellStart"/>
      <w:r w:rsidR="00285A32">
        <w:rPr>
          <w:rFonts w:ascii="Times New Roman" w:hAnsi="Times New Roman" w:cs="Times New Roman"/>
        </w:rPr>
        <w:t>Kullback-Leibler</w:t>
      </w:r>
      <w:proofErr w:type="spellEnd"/>
      <w:r w:rsidR="00285A32">
        <w:rPr>
          <w:rFonts w:ascii="Times New Roman" w:hAnsi="Times New Roman" w:cs="Times New Roman"/>
        </w:rPr>
        <w:t xml:space="preserve"> (KL) divergence to </w:t>
      </w:r>
      <w:r w:rsidR="00BB3B85">
        <w:rPr>
          <w:rFonts w:ascii="Times New Roman" w:hAnsi="Times New Roman" w:cs="Times New Roman"/>
        </w:rPr>
        <w:t xml:space="preserve">measure </w:t>
      </w:r>
      <w:r w:rsidR="00B37F62">
        <w:rPr>
          <w:rFonts w:ascii="Times New Roman" w:hAnsi="Times New Roman" w:cs="Times New Roman"/>
        </w:rPr>
        <w:t xml:space="preserve">the difference between the expression distribution of the high-count </w:t>
      </w:r>
      <w:r w:rsidR="00AF0963">
        <w:rPr>
          <w:rFonts w:ascii="Times New Roman" w:hAnsi="Times New Roman" w:cs="Times New Roman"/>
        </w:rPr>
        <w:t>barcode</w:t>
      </w:r>
      <w:r w:rsidR="00B37F62">
        <w:rPr>
          <w:rFonts w:ascii="Times New Roman" w:hAnsi="Times New Roman" w:cs="Times New Roman"/>
        </w:rPr>
        <w:t xml:space="preserve">s and the background distribution. For the simulated data, we calculate the KL divergence between the </w:t>
      </w:r>
      <m:oMath>
        <m:sSub>
          <m:sSubPr>
            <m:ctrlPr>
              <w:rPr>
                <w:rFonts w:ascii="Cambria Math" w:hAnsi="Cambria Math" w:cs="Times New Roman"/>
                <w:bCs/>
                <w:i/>
              </w:rPr>
            </m:ctrlPr>
          </m:sSubPr>
          <m:e>
            <m:r>
              <w:rPr>
                <w:rFonts w:ascii="Cambria Math" w:hAnsi="Cambria Math" w:cs="Times New Roman"/>
              </w:rPr>
              <m:t>G</m:t>
            </m:r>
          </m:e>
          <m:sub>
            <m:r>
              <w:rPr>
                <w:rFonts w:ascii="Cambria Math" w:hAnsi="Cambria Math" w:cs="Times New Roman"/>
              </w:rPr>
              <m:t>1</m:t>
            </m:r>
          </m:sub>
        </m:sSub>
      </m:oMath>
      <w:r w:rsidR="00B37F62" w:rsidRPr="002F1512">
        <w:rPr>
          <w:rFonts w:ascii="Times New Roman" w:hAnsi="Times New Roman" w:cs="Times New Roman"/>
        </w:rPr>
        <w:t xml:space="preserve"> simulated cells and the background distribution</w:t>
      </w:r>
      <w:r w:rsidR="00B37F62">
        <w:rPr>
          <w:rFonts w:ascii="Times New Roman" w:hAnsi="Times New Roman" w:cs="Times New Roman"/>
        </w:rPr>
        <w:t xml:space="preserve">.  This </w:t>
      </w:r>
      <w:r w:rsidR="00AF0963">
        <w:rPr>
          <w:rFonts w:ascii="Times New Roman" w:hAnsi="Times New Roman" w:cs="Times New Roman"/>
        </w:rPr>
        <w:t>i</w:t>
      </w:r>
      <w:r w:rsidR="00B37F62">
        <w:rPr>
          <w:rFonts w:ascii="Times New Roman" w:hAnsi="Times New Roman" w:cs="Times New Roman"/>
        </w:rPr>
        <w:t>s</w:t>
      </w:r>
      <w:r w:rsidR="00CE5FD9" w:rsidRPr="002F1512">
        <w:rPr>
          <w:rFonts w:ascii="Times New Roman" w:hAnsi="Times New Roman" w:cs="Times New Roman"/>
        </w:rPr>
        <w:t xml:space="preserve"> repeated to get a KL divergence for </w:t>
      </w:r>
      <m:oMath>
        <m:sSub>
          <m:sSubPr>
            <m:ctrlPr>
              <w:rPr>
                <w:rFonts w:ascii="Cambria Math" w:hAnsi="Cambria Math" w:cs="Times New Roman"/>
                <w:bCs/>
                <w:i/>
              </w:rPr>
            </m:ctrlPr>
          </m:sSubPr>
          <m:e>
            <m:r>
              <w:rPr>
                <w:rFonts w:ascii="Cambria Math" w:hAnsi="Cambria Math" w:cs="Times New Roman"/>
              </w:rPr>
              <m:t>G</m:t>
            </m:r>
          </m:e>
          <m:sub>
            <m:r>
              <w:rPr>
                <w:rFonts w:ascii="Cambria Math" w:hAnsi="Cambria Math" w:cs="Times New Roman"/>
              </w:rPr>
              <m:t>1.5</m:t>
            </m:r>
          </m:sub>
        </m:sSub>
      </m:oMath>
      <w:r w:rsidR="00CE5FD9" w:rsidRPr="002F1512">
        <w:rPr>
          <w:rFonts w:ascii="Times New Roman" w:hAnsi="Times New Roman" w:cs="Times New Roman"/>
        </w:rPr>
        <w:t xml:space="preserve"> simulated cells vs. background and </w:t>
      </w:r>
      <m:oMath>
        <m:sSub>
          <m:sSubPr>
            <m:ctrlPr>
              <w:rPr>
                <w:rFonts w:ascii="Cambria Math" w:hAnsi="Cambria Math" w:cs="Times New Roman"/>
                <w:bCs/>
                <w:i/>
              </w:rPr>
            </m:ctrlPr>
          </m:sSubPr>
          <m:e>
            <m:r>
              <w:rPr>
                <w:rFonts w:ascii="Cambria Math" w:hAnsi="Cambria Math" w:cs="Times New Roman"/>
              </w:rPr>
              <m:t>G</m:t>
            </m:r>
          </m:e>
          <m:sub>
            <m:r>
              <w:rPr>
                <w:rFonts w:ascii="Cambria Math" w:hAnsi="Cambria Math" w:cs="Times New Roman"/>
              </w:rPr>
              <m:t>2</m:t>
            </m:r>
          </m:sub>
        </m:sSub>
      </m:oMath>
      <w:r w:rsidR="00CE5FD9" w:rsidRPr="002F1512">
        <w:rPr>
          <w:rFonts w:ascii="Times New Roman" w:hAnsi="Times New Roman" w:cs="Times New Roman"/>
        </w:rPr>
        <w:t xml:space="preserve"> simulated cells vs. background. </w:t>
      </w:r>
      <w:r w:rsidR="00EB6597">
        <w:rPr>
          <w:rFonts w:ascii="Times New Roman" w:hAnsi="Times New Roman" w:cs="Times New Roman"/>
        </w:rPr>
        <w:t xml:space="preserve"> </w:t>
      </w:r>
      <w:r w:rsidR="00EB6597" w:rsidRPr="00EB6597">
        <w:rPr>
          <w:rFonts w:ascii="Times New Roman" w:hAnsi="Times New Roman" w:cs="Times New Roman"/>
        </w:rPr>
        <w:t xml:space="preserve">The average KL divergence (averaged over the three groups) </w:t>
      </w:r>
      <w:r w:rsidR="00EB6597">
        <w:rPr>
          <w:rFonts w:ascii="Times New Roman" w:hAnsi="Times New Roman" w:cs="Times New Roman"/>
        </w:rPr>
        <w:t xml:space="preserve">for each simulation (SIM IA, SIM IB) is plotted against the KL divergence for each case study. </w:t>
      </w:r>
      <w:r w:rsidR="00421EBA">
        <w:rPr>
          <w:rFonts w:ascii="Times New Roman" w:hAnsi="Times New Roman" w:cs="Times New Roman"/>
        </w:rPr>
        <w:t xml:space="preserve">The KL divergence in the </w:t>
      </w:r>
      <w:r w:rsidR="00B65720">
        <w:rPr>
          <w:rFonts w:ascii="Times New Roman" w:hAnsi="Times New Roman" w:cs="Times New Roman"/>
        </w:rPr>
        <w:t>SIM</w:t>
      </w:r>
      <w:r w:rsidR="007702D3">
        <w:rPr>
          <w:rFonts w:ascii="Times New Roman" w:hAnsi="Times New Roman" w:cs="Times New Roman"/>
        </w:rPr>
        <w:t xml:space="preserve"> </w:t>
      </w:r>
      <w:r w:rsidR="00B65720">
        <w:rPr>
          <w:rFonts w:ascii="Times New Roman" w:hAnsi="Times New Roman" w:cs="Times New Roman"/>
        </w:rPr>
        <w:t xml:space="preserve">IA data is more similar to the case study data </w:t>
      </w:r>
      <w:r w:rsidR="00421EBA">
        <w:rPr>
          <w:rFonts w:ascii="Times New Roman" w:hAnsi="Times New Roman" w:cs="Times New Roman"/>
        </w:rPr>
        <w:t>for each dataset considered. The increased KL divergence observed in the SIM</w:t>
      </w:r>
      <w:r w:rsidR="007702D3">
        <w:rPr>
          <w:rFonts w:ascii="Times New Roman" w:hAnsi="Times New Roman" w:cs="Times New Roman"/>
        </w:rPr>
        <w:t xml:space="preserve"> </w:t>
      </w:r>
      <w:r w:rsidR="00421EBA">
        <w:rPr>
          <w:rFonts w:ascii="Times New Roman" w:hAnsi="Times New Roman" w:cs="Times New Roman"/>
        </w:rPr>
        <w:t>IB data indicates that the SIM</w:t>
      </w:r>
      <w:r w:rsidR="007702D3">
        <w:rPr>
          <w:rFonts w:ascii="Times New Roman" w:hAnsi="Times New Roman" w:cs="Times New Roman"/>
        </w:rPr>
        <w:t xml:space="preserve"> </w:t>
      </w:r>
      <w:r w:rsidR="00421EBA">
        <w:rPr>
          <w:rFonts w:ascii="Times New Roman" w:hAnsi="Times New Roman" w:cs="Times New Roman"/>
        </w:rPr>
        <w:t>IB simulated barcodes differ from the background more than observed in the case study or SIM</w:t>
      </w:r>
      <w:r w:rsidR="007702D3">
        <w:rPr>
          <w:rFonts w:ascii="Times New Roman" w:hAnsi="Times New Roman" w:cs="Times New Roman"/>
        </w:rPr>
        <w:t xml:space="preserve"> </w:t>
      </w:r>
      <w:r w:rsidR="00421EBA">
        <w:rPr>
          <w:rFonts w:ascii="Times New Roman" w:hAnsi="Times New Roman" w:cs="Times New Roman"/>
        </w:rPr>
        <w:t xml:space="preserve">IA data, which makes differences easier to identify when applying CB2 or ED. </w:t>
      </w:r>
    </w:p>
    <w:p w14:paraId="5FC70638" w14:textId="3D7D0AE9" w:rsidR="00EF228F" w:rsidRPr="00CA3B6F" w:rsidRDefault="00CA3B6F" w:rsidP="00355F3D">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204C6B79" wp14:editId="077887A7">
            <wp:extent cx="5943600" cy="49517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Fig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951730"/>
                    </a:xfrm>
                    <a:prstGeom prst="rect">
                      <a:avLst/>
                    </a:prstGeom>
                  </pic:spPr>
                </pic:pic>
              </a:graphicData>
            </a:graphic>
          </wp:inline>
        </w:drawing>
      </w:r>
    </w:p>
    <w:p w14:paraId="3AC8078A" w14:textId="2309188A" w:rsidR="00AF4747" w:rsidRDefault="00977267" w:rsidP="005E2418">
      <w:pPr>
        <w:spacing w:line="480" w:lineRule="exact"/>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CE78BD">
        <w:rPr>
          <w:rFonts w:ascii="Times New Roman" w:hAnsi="Times New Roman" w:cs="Times New Roman"/>
          <w:b/>
        </w:rPr>
        <w:t>5</w:t>
      </w:r>
      <w:r w:rsidR="00133035" w:rsidRPr="00133035">
        <w:rPr>
          <w:rFonts w:ascii="Times New Roman" w:hAnsi="Times New Roman" w:cs="Times New Roman"/>
          <w:b/>
        </w:rPr>
        <w:t xml:space="preserve">: </w:t>
      </w:r>
      <w:r w:rsidR="00133035" w:rsidRPr="00133035">
        <w:rPr>
          <w:rFonts w:ascii="Times New Roman" w:hAnsi="Times New Roman" w:cs="Times New Roman"/>
        </w:rPr>
        <w:t xml:space="preserve">The </w:t>
      </w:r>
      <w:r w:rsidR="00B24B0F">
        <w:rPr>
          <w:rFonts w:ascii="Times New Roman" w:hAnsi="Times New Roman" w:cs="Times New Roman"/>
        </w:rPr>
        <w:t xml:space="preserve">average </w:t>
      </w:r>
      <w:r w:rsidR="00133035" w:rsidRPr="00133035">
        <w:rPr>
          <w:rFonts w:ascii="Times New Roman" w:hAnsi="Times New Roman" w:cs="Times New Roman"/>
        </w:rPr>
        <w:t xml:space="preserve">power and </w:t>
      </w:r>
      <w:r w:rsidR="00B24B0F">
        <w:rPr>
          <w:rFonts w:ascii="Times New Roman" w:hAnsi="Times New Roman" w:cs="Times New Roman"/>
        </w:rPr>
        <w:t xml:space="preserve">average </w:t>
      </w:r>
      <w:r w:rsidR="00F50255">
        <w:rPr>
          <w:rFonts w:ascii="Times New Roman" w:hAnsi="Times New Roman" w:cs="Times New Roman"/>
        </w:rPr>
        <w:t>FDR</w:t>
      </w:r>
      <w:r w:rsidR="00133035" w:rsidRPr="00133035">
        <w:rPr>
          <w:rFonts w:ascii="Times New Roman" w:hAnsi="Times New Roman" w:cs="Times New Roman"/>
        </w:rPr>
        <w:t xml:space="preserve"> of CB2 and ED for SIM I</w:t>
      </w:r>
      <w:r w:rsidR="00133035">
        <w:rPr>
          <w:rFonts w:ascii="Times New Roman" w:hAnsi="Times New Roman" w:cs="Times New Roman"/>
        </w:rPr>
        <w:t>B</w:t>
      </w:r>
      <w:r w:rsidR="00133035" w:rsidRPr="00133035">
        <w:rPr>
          <w:rFonts w:ascii="Times New Roman" w:hAnsi="Times New Roman" w:cs="Times New Roman"/>
        </w:rPr>
        <w:t xml:space="preserve"> data</w:t>
      </w:r>
      <w:r w:rsidR="00B24B0F">
        <w:rPr>
          <w:rFonts w:ascii="Times New Roman" w:hAnsi="Times New Roman" w:cs="Times New Roman"/>
        </w:rPr>
        <w:t xml:space="preserve"> (average taken over 5 simulated datasets)</w:t>
      </w:r>
      <w:r w:rsidR="00133035" w:rsidRPr="00133035">
        <w:rPr>
          <w:rFonts w:ascii="Times New Roman" w:hAnsi="Times New Roman" w:cs="Times New Roman"/>
        </w:rPr>
        <w:t xml:space="preserve">. SIM IB, also considered by </w:t>
      </w:r>
      <w:proofErr w:type="spellStart"/>
      <w:r w:rsidR="00133035" w:rsidRPr="00133035">
        <w:rPr>
          <w:rFonts w:ascii="Times New Roman" w:hAnsi="Times New Roman" w:cs="Times New Roman"/>
        </w:rPr>
        <w:t>Lun</w:t>
      </w:r>
      <w:proofErr w:type="spellEnd"/>
      <w:r w:rsidR="00133035" w:rsidRPr="00133035">
        <w:rPr>
          <w:rFonts w:ascii="Times New Roman" w:hAnsi="Times New Roman" w:cs="Times New Roman"/>
        </w:rPr>
        <w:t xml:space="preserve"> </w:t>
      </w:r>
      <w:r w:rsidR="00133035" w:rsidRPr="00133035">
        <w:rPr>
          <w:rFonts w:ascii="Times New Roman" w:hAnsi="Times New Roman" w:cs="Times New Roman"/>
          <w:i/>
        </w:rPr>
        <w:t>et al</w:t>
      </w:r>
      <w:r w:rsidR="00133035" w:rsidRPr="00133035">
        <w:rPr>
          <w:rFonts w:ascii="Times New Roman" w:hAnsi="Times New Roman" w:cs="Times New Roman"/>
        </w:rPr>
        <w:t>., 2019</w:t>
      </w:r>
      <w:r w:rsidR="00133035" w:rsidRPr="00133035">
        <w:rPr>
          <w:rFonts w:ascii="Times New Roman" w:hAnsi="Times New Roman" w:cs="Times New Roman"/>
        </w:rPr>
        <w:fldChar w:fldCharType="begin" w:fldLock="1"/>
      </w:r>
      <w:r w:rsidR="00FD34E0">
        <w:rPr>
          <w:rFonts w:ascii="Times New Roman" w:hAnsi="Times New Roman" w:cs="Times New Roman"/>
        </w:rPr>
        <w:instrText>ADDIN CSL_CITATION {"citationItems":[{"id":"ITEM-1","itemData":{"DOI":"10.1186/s13059-019-1662-y","ISSN":"1474-760X","abstract":"Droplet-based single-cell RNA sequencing protocols have dramatically increased the throughput of single-cell transcriptomics studies. A key computational challenge when processing these data is to distinguish libraries for real cells from empty droplets. Here, we describe a new statistical method for calling cells from droplet-based data, based on detecting significant deviations from the expression profile of the ambient solution. Using simulations, we demonstrate that EmptyDrops has greater power than existing approaches while controlling the false discovery rate among detected cells. Our method also retains distinct cell types that would have been discarded by existing methods in several real data sets.","author":[{"dropping-particle":"","family":"Lun","given":"Aaron T. L.","non-dropping-particle":"","parse-names":false,"suffix":""},{"dropping-particle":"","family":"Riesenfeld","given":"Samantha","non-dropping-particle":"","parse-names":false,"suffix":""},{"dropping-particle":"","family":"Andrews","given":"Tallulah","non-dropping-particle":"","parse-names":false,"suffix":""},{"dropping-particle":"","family":"Dao","given":"The Phuong","non-dropping-particle":"","parse-names":false,"suffix":""},{"dropping-particle":"","family":"Gomes","given":"Tomas","non-dropping-particle":"","parse-names":false,"suffix":""},{"dropping-particle":"","family":"Marioni","given":"John C.","non-dropping-particle":"","parse-names":false,"suffix":""}],"container-title":"Genome Biology","id":"ITEM-1","issue":"1","issued":{"date-parts":[["2019","12","22"]]},"page":"63","publisher":"BioMed Central","title":"EmptyDrops: distinguishing cells from empty droplets in droplet-based single-cell RNA sequencing data","type":"article-journal","volume":"20"},"uris":["http://www.mendeley.com/documents/?uuid=a96ed3a1-17ad-3f4a-bc4c-de380fd3102e"]}],"mendeley":{"formattedCitation":"[2]","plainTextFormattedCitation":"[2]","previouslyFormattedCitation":"[2]"},"properties":{"noteIndex":0},"schema":"https://github.com/citation-style-language/schema/raw/master/csl-citation.json"}</w:instrText>
      </w:r>
      <w:r w:rsidR="00133035" w:rsidRPr="00133035">
        <w:rPr>
          <w:rFonts w:ascii="Times New Roman" w:hAnsi="Times New Roman" w:cs="Times New Roman"/>
        </w:rPr>
        <w:fldChar w:fldCharType="separate"/>
      </w:r>
      <w:r w:rsidR="0027488E" w:rsidRPr="0027488E">
        <w:rPr>
          <w:rFonts w:ascii="Times New Roman" w:hAnsi="Times New Roman" w:cs="Times New Roman"/>
          <w:noProof/>
        </w:rPr>
        <w:t>[2]</w:t>
      </w:r>
      <w:r w:rsidR="00133035" w:rsidRPr="00133035">
        <w:rPr>
          <w:rFonts w:ascii="Times New Roman" w:hAnsi="Times New Roman" w:cs="Times New Roman"/>
        </w:rPr>
        <w:fldChar w:fldCharType="end"/>
      </w:r>
      <w:r w:rsidR="00133035" w:rsidRPr="00133035">
        <w:rPr>
          <w:rFonts w:ascii="Times New Roman" w:hAnsi="Times New Roman" w:cs="Times New Roman"/>
        </w:rPr>
        <w:t>,  is similar to SIM IA, but in SIM IB 10% of the genes in the real cells are shuffled making the real cells more different from the background and therefore easier to identify (</w:t>
      </w:r>
      <w:r>
        <w:rPr>
          <w:rFonts w:ascii="Times New Roman" w:hAnsi="Times New Roman" w:cs="Times New Roman"/>
          <w:b/>
          <w:bCs/>
        </w:rPr>
        <w:t>Fig.</w:t>
      </w:r>
      <w:r w:rsidR="00224686">
        <w:rPr>
          <w:rFonts w:ascii="Times New Roman" w:hAnsi="Times New Roman" w:cs="Times New Roman"/>
          <w:b/>
          <w:bCs/>
        </w:rPr>
        <w:t xml:space="preserve"> S</w:t>
      </w:r>
      <w:r w:rsidR="00133035" w:rsidRPr="00133035">
        <w:rPr>
          <w:rFonts w:ascii="Times New Roman" w:hAnsi="Times New Roman" w:cs="Times New Roman"/>
          <w:b/>
          <w:bCs/>
        </w:rPr>
        <w:t>4</w:t>
      </w:r>
      <w:r w:rsidR="00133035" w:rsidRPr="00133035">
        <w:rPr>
          <w:rFonts w:ascii="Times New Roman" w:hAnsi="Times New Roman" w:cs="Times New Roman"/>
        </w:rPr>
        <w:t>).</w:t>
      </w:r>
      <w:r w:rsidR="00133035">
        <w:rPr>
          <w:rFonts w:ascii="Times New Roman" w:hAnsi="Times New Roman" w:cs="Times New Roman"/>
        </w:rPr>
        <w:t xml:space="preserve"> </w:t>
      </w:r>
      <w:r w:rsidR="00EF228F" w:rsidRPr="00EF228F">
        <w:rPr>
          <w:rFonts w:ascii="Times New Roman" w:hAnsi="Times New Roman" w:cs="Times New Roman"/>
        </w:rPr>
        <w:t xml:space="preserve">Since both CB2 and ED automatically identify high count barcodes as real cells (they are not subject to statistical test; </w:t>
      </w:r>
      <w:r>
        <w:rPr>
          <w:rFonts w:ascii="Times New Roman" w:hAnsi="Times New Roman" w:cs="Times New Roman"/>
          <w:b/>
          <w:bCs/>
        </w:rPr>
        <w:t>Fig.</w:t>
      </w:r>
      <w:r w:rsidR="00224686">
        <w:rPr>
          <w:rFonts w:ascii="Times New Roman" w:hAnsi="Times New Roman" w:cs="Times New Roman"/>
          <w:b/>
          <w:bCs/>
        </w:rPr>
        <w:t xml:space="preserve"> S</w:t>
      </w:r>
      <w:r w:rsidR="00EF228F" w:rsidRPr="00EF228F">
        <w:rPr>
          <w:rFonts w:ascii="Times New Roman" w:hAnsi="Times New Roman" w:cs="Times New Roman"/>
          <w:b/>
          <w:bCs/>
        </w:rPr>
        <w:t>2</w:t>
      </w:r>
      <w:r w:rsidR="00EF228F" w:rsidRPr="00EF228F">
        <w:rPr>
          <w:rFonts w:ascii="Times New Roman" w:hAnsi="Times New Roman" w:cs="Times New Roman"/>
        </w:rPr>
        <w:t xml:space="preserve">), we report results for all barcodes as well as those tested by CB2 and ED.  The top panel shows the average power for tested barcodes; the middle panel for tested as well as high count barcodes.  The bottom panel shows the average FDR. </w:t>
      </w:r>
      <w:r w:rsidR="003A4873">
        <w:rPr>
          <w:rFonts w:ascii="Times New Roman" w:hAnsi="Times New Roman" w:cs="Times New Roman"/>
        </w:rPr>
        <w:t xml:space="preserve">For the PanT4K dataset, all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1</m:t>
            </m:r>
          </m:sub>
        </m:sSub>
      </m:oMath>
      <w:r w:rsidR="003A4873">
        <w:rPr>
          <w:rFonts w:ascii="Times New Roman" w:hAnsi="Times New Roman" w:cs="Times New Roman"/>
        </w:rPr>
        <w:t xml:space="preserve"> cells are above the upper threshold and so no barcodes were tested (as a result, power for tested barcodes is not defined).</w:t>
      </w:r>
    </w:p>
    <w:p w14:paraId="44981CAC" w14:textId="4A1C308B" w:rsidR="00D341C9" w:rsidRDefault="001477F6" w:rsidP="0061410B">
      <w:pPr>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200EEAC6" wp14:editId="7357A5BF">
            <wp:extent cx="5943600" cy="38360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Fig6-Alz-C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836035"/>
                    </a:xfrm>
                    <a:prstGeom prst="rect">
                      <a:avLst/>
                    </a:prstGeom>
                  </pic:spPr>
                </pic:pic>
              </a:graphicData>
            </a:graphic>
          </wp:inline>
        </w:drawing>
      </w:r>
    </w:p>
    <w:p w14:paraId="323B5057" w14:textId="2D839EE5" w:rsidR="00355F3D" w:rsidRDefault="00977267" w:rsidP="00B003B1">
      <w:pPr>
        <w:spacing w:line="360" w:lineRule="exact"/>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CE78BD">
        <w:rPr>
          <w:rFonts w:ascii="Times New Roman" w:hAnsi="Times New Roman" w:cs="Times New Roman"/>
          <w:b/>
        </w:rPr>
        <w:t>6</w:t>
      </w:r>
      <w:r w:rsidR="00681FBE">
        <w:rPr>
          <w:rFonts w:ascii="Times New Roman" w:hAnsi="Times New Roman" w:cs="Times New Roman"/>
        </w:rPr>
        <w:t>: Additional analysis of Alz</w:t>
      </w:r>
      <w:r w:rsidR="002630CD">
        <w:rPr>
          <w:rFonts w:ascii="Times New Roman" w:hAnsi="Times New Roman" w:cs="Times New Roman"/>
        </w:rPr>
        <w:t>heimer</w:t>
      </w:r>
      <w:r w:rsidR="00681FBE">
        <w:rPr>
          <w:rFonts w:ascii="Times New Roman" w:hAnsi="Times New Roman" w:cs="Times New Roman"/>
        </w:rPr>
        <w:t xml:space="preserve"> dataset.</w:t>
      </w:r>
      <w:r w:rsidR="00CC1A25">
        <w:rPr>
          <w:rFonts w:ascii="Times New Roman" w:hAnsi="Times New Roman" w:cs="Times New Roman"/>
        </w:rPr>
        <w:t xml:space="preserve"> </w:t>
      </w:r>
      <w:proofErr w:type="spellStart"/>
      <w:r w:rsidR="00CC1A25">
        <w:rPr>
          <w:rFonts w:ascii="Times New Roman" w:hAnsi="Times New Roman" w:cs="Times New Roman"/>
        </w:rPr>
        <w:t>Mathys</w:t>
      </w:r>
      <w:proofErr w:type="spellEnd"/>
      <w:r w:rsidR="00CC1A25">
        <w:rPr>
          <w:rFonts w:ascii="Times New Roman" w:hAnsi="Times New Roman" w:cs="Times New Roman"/>
        </w:rPr>
        <w:t xml:space="preserve"> </w:t>
      </w:r>
      <w:r w:rsidR="00CC1A25" w:rsidRPr="00681FBE">
        <w:rPr>
          <w:rFonts w:ascii="Times New Roman" w:hAnsi="Times New Roman" w:cs="Times New Roman"/>
          <w:i/>
        </w:rPr>
        <w:t>et al</w:t>
      </w:r>
      <w:r w:rsidR="00CC1A25">
        <w:rPr>
          <w:rFonts w:ascii="Times New Roman" w:hAnsi="Times New Roman" w:cs="Times New Roman"/>
        </w:rPr>
        <w:t>. 2019</w:t>
      </w:r>
      <w:r w:rsidR="00CC1A25">
        <w:rPr>
          <w:rFonts w:ascii="Times New Roman" w:hAnsi="Times New Roman" w:cs="Times New Roman"/>
        </w:rPr>
        <w:fldChar w:fldCharType="begin" w:fldLock="1"/>
      </w:r>
      <w:r w:rsidR="00FD34E0">
        <w:rPr>
          <w:rFonts w:ascii="Times New Roman" w:hAnsi="Times New Roman" w:cs="Times New Roman"/>
        </w:rPr>
        <w:instrText>ADDIN CSL_CITATION {"citationItems":[{"id":"ITEM-1","itemData":{"DOI":"10.1038/s41586-019-1195-2","ISSN":"0028-0836","abstract":"Alzheimer’s disease is a pervasive neurodegenerative disorder, the molecular complexity of which remains poorly understood. Here, we analysed 80,660 single-nucleus transcriptomes from the prefrontal cortex of 48 individuals with varying degrees of Alzheimer’s disease pathology. Across six major brain cell types, we identified transcriptionally distinct subpopulations, including those associated with pathology and characterized by regulators of myelination, inflammation, and neuron survival. The strongest disease-associated changes appeared early in pathological progression and were highly cell-type specific, whereas genes upregulated at late stages were common across cell types and primarily involved in the global stress response. Notably, we found that female cells were overrepresented in disease-associated subpopulations, and that transcriptional responses were substantially different between sexes in several cell types, including oligodendrocytes. Overall, myelination-related processes were recurrently perturbed in multiple cell types, suggesting that myelination has a key role in Alzheimer’s disease pathophysiology. Our single-cell transcriptomic resource provides a blueprint for interrogating the molecular and cellular basis of Alzheimer’s disease. Single-cell transcriptomics from 48 individuals with varying degrees of Alzheimer’s disease pathology demonstrates that gene-expression changes in Alzheimer’s disease are both cell-type specific and shared, and that transcriptional responses show sexual dimorphism.","author":[{"dropping-particle":"","family":"Mathys","given":"Hansruedi","non-dropping-particle":"","parse-names":false,"suffix":""},{"dropping-particle":"","family":"Davila-Velderrain","given":"Jose","non-dropping-particle":"","parse-names":false,"suffix":""},{"dropping-particle":"","family":"Peng","given":"Zhuyu","non-dropping-particle":"","parse-names":false,"suffix":""},{"dropping-particle":"","family":"Gao","given":"Fan","non-dropping-particle":"","parse-names":false,"suffix":""},{"dropping-particle":"","family":"Mohammadi","given":"Shahin","non-dropping-particle":"","parse-names":false,"suffix":""},{"dropping-particle":"","family":"Young","given":"Jennie Z.","non-dropping-particle":"","parse-names":false,"suffix":""},{"dropping-particle":"","family":"Menon","given":"Madhvi","non-dropping-particle":"","parse-names":false,"suffix":""},{"dropping-particle":"","family":"He","given":"Liang","non-dropping-particle":"","parse-names":false,"suffix":""},{"dropping-particle":"","family":"Abdurrob","given":"Fatema","non-dropping-particle":"","parse-names":false,"suffix":""},{"dropping-particle":"","family":"Jiang","given":"Xueqiao","non-dropping-particle":"","parse-names":false,"suffix":""},{"dropping-particle":"","family":"Martorell","given":"Anthony J.","non-dropping-particle":"","parse-names":false,"suffix":""},{"dropping-particle":"","family":"Ransohoff","given":"Richard M.","non-dropping-particle":"","parse-names":false,"suffix":""},{"dropping-particle":"","family":"Hafler","given":"Brian P.","non-dropping-particle":"","parse-names":false,"suffix":""},{"dropping-particle":"","family":"Bennett","given":"David A.","non-dropping-particle":"","parse-names":false,"suffix":""},{"dropping-particle":"","family":"Kellis","given":"Manolis","non-dropping-particle":"","parse-names":false,"suffix":""},{"dropping-particle":"","family":"Tsai","given":"Li-Huei","non-dropping-particle":"","parse-names":false,"suffix":""}],"container-title":"Nature","id":"ITEM-1","issue":"7761","issued":{"date-parts":[["2019","6","1"]]},"page":"332-337","publisher":"Nature Publishing Group","title":"Single-cell transcriptomic analysis of Alzheimer’s disease","type":"article-journal","volume":"570"},"uris":["http://www.mendeley.com/documents/?uuid=055653f6-b014-3fb4-b856-2614a1587d6a"]}],"mendeley":{"formattedCitation":"[3]","plainTextFormattedCitation":"[3]","previouslyFormattedCitation":"[3]"},"properties":{"noteIndex":0},"schema":"https://github.com/citation-style-language/schema/raw/master/csl-citation.json"}</w:instrText>
      </w:r>
      <w:r w:rsidR="00CC1A25">
        <w:rPr>
          <w:rFonts w:ascii="Times New Roman" w:hAnsi="Times New Roman" w:cs="Times New Roman"/>
        </w:rPr>
        <w:fldChar w:fldCharType="separate"/>
      </w:r>
      <w:r w:rsidR="0027488E" w:rsidRPr="0027488E">
        <w:rPr>
          <w:rFonts w:ascii="Times New Roman" w:hAnsi="Times New Roman" w:cs="Times New Roman"/>
          <w:noProof/>
        </w:rPr>
        <w:t>[3]</w:t>
      </w:r>
      <w:r w:rsidR="00CC1A25">
        <w:rPr>
          <w:rFonts w:ascii="Times New Roman" w:hAnsi="Times New Roman" w:cs="Times New Roman"/>
        </w:rPr>
        <w:fldChar w:fldCharType="end"/>
      </w:r>
      <w:r w:rsidR="00CC1A25">
        <w:rPr>
          <w:rFonts w:ascii="Times New Roman" w:hAnsi="Times New Roman" w:cs="Times New Roman"/>
        </w:rPr>
        <w:t xml:space="preserve"> considered marker genes to identify </w:t>
      </w:r>
      <w:r w:rsidR="00203FFE">
        <w:rPr>
          <w:rFonts w:ascii="Times New Roman" w:hAnsi="Times New Roman" w:cs="Times New Roman"/>
        </w:rPr>
        <w:t>neurons (SYT1, SNAP25, GRIN1), excitatory neurons (SLC17A7, CAMK2A, NRGN), inhibitory neurons (GAD1, GAD2</w:t>
      </w:r>
      <w:r w:rsidR="00E8154E">
        <w:rPr>
          <w:rFonts w:ascii="Times New Roman" w:hAnsi="Times New Roman" w:cs="Times New Roman"/>
        </w:rPr>
        <w:t>)</w:t>
      </w:r>
      <w:r w:rsidR="00D32115">
        <w:rPr>
          <w:rFonts w:ascii="Times New Roman" w:hAnsi="Times New Roman" w:cs="Times New Roman"/>
        </w:rPr>
        <w:t xml:space="preserve"> and </w:t>
      </w:r>
      <w:r w:rsidR="00FA331F">
        <w:rPr>
          <w:rFonts w:ascii="Times New Roman" w:hAnsi="Times New Roman" w:cs="Times New Roman"/>
        </w:rPr>
        <w:t>o</w:t>
      </w:r>
      <w:r w:rsidR="00D32115">
        <w:rPr>
          <w:rFonts w:ascii="Times New Roman" w:hAnsi="Times New Roman" w:cs="Times New Roman"/>
        </w:rPr>
        <w:t>ligodendrocytes (MBP)</w:t>
      </w:r>
      <w:r w:rsidR="00FA331F">
        <w:rPr>
          <w:rFonts w:ascii="Times New Roman" w:hAnsi="Times New Roman" w:cs="Times New Roman"/>
        </w:rPr>
        <w:t>.</w:t>
      </w:r>
      <w:r w:rsidR="00D32115">
        <w:rPr>
          <w:rFonts w:ascii="Times New Roman" w:hAnsi="Times New Roman" w:cs="Times New Roman"/>
        </w:rPr>
        <w:t xml:space="preserve"> (a) The same t-SNE plot as in </w:t>
      </w:r>
      <w:r>
        <w:rPr>
          <w:rFonts w:ascii="Times New Roman" w:hAnsi="Times New Roman" w:cs="Times New Roman"/>
          <w:b/>
        </w:rPr>
        <w:t>Fig.</w:t>
      </w:r>
      <w:r w:rsidR="00D32115" w:rsidRPr="00D32115">
        <w:rPr>
          <w:rFonts w:ascii="Times New Roman" w:hAnsi="Times New Roman" w:cs="Times New Roman"/>
          <w:b/>
        </w:rPr>
        <w:t xml:space="preserve"> 2</w:t>
      </w:r>
      <w:r w:rsidR="00D32115">
        <w:rPr>
          <w:rFonts w:ascii="Times New Roman" w:hAnsi="Times New Roman" w:cs="Times New Roman"/>
        </w:rPr>
        <w:t>.</w:t>
      </w:r>
      <w:r w:rsidR="00CC1A25">
        <w:rPr>
          <w:rFonts w:ascii="Times New Roman" w:hAnsi="Times New Roman" w:cs="Times New Roman"/>
        </w:rPr>
        <w:t xml:space="preserve"> </w:t>
      </w:r>
      <w:r w:rsidR="00FA331F">
        <w:rPr>
          <w:rFonts w:ascii="Times New Roman" w:hAnsi="Times New Roman" w:cs="Times New Roman"/>
        </w:rPr>
        <w:t xml:space="preserve">Panels </w:t>
      </w:r>
      <w:r w:rsidR="00CC1A25">
        <w:rPr>
          <w:rFonts w:ascii="Times New Roman" w:hAnsi="Times New Roman" w:cs="Times New Roman"/>
        </w:rPr>
        <w:t>(</w:t>
      </w:r>
      <w:r w:rsidR="00D32115">
        <w:rPr>
          <w:rFonts w:ascii="Times New Roman" w:hAnsi="Times New Roman" w:cs="Times New Roman"/>
        </w:rPr>
        <w:t>b</w:t>
      </w:r>
      <w:r w:rsidR="00CC1A25">
        <w:rPr>
          <w:rFonts w:ascii="Times New Roman" w:hAnsi="Times New Roman" w:cs="Times New Roman"/>
        </w:rPr>
        <w:t>)</w:t>
      </w:r>
      <w:r w:rsidR="006518B3">
        <w:rPr>
          <w:rFonts w:ascii="Times New Roman" w:hAnsi="Times New Roman" w:cs="Times New Roman"/>
        </w:rPr>
        <w:t>-(</w:t>
      </w:r>
      <w:r w:rsidR="009F7764">
        <w:rPr>
          <w:rFonts w:ascii="Times New Roman" w:hAnsi="Times New Roman" w:cs="Times New Roman"/>
        </w:rPr>
        <w:t>e</w:t>
      </w:r>
      <w:r w:rsidR="006518B3">
        <w:rPr>
          <w:rFonts w:ascii="Times New Roman" w:hAnsi="Times New Roman" w:cs="Times New Roman"/>
        </w:rPr>
        <w:t>)</w:t>
      </w:r>
      <w:r w:rsidR="00FA331F">
        <w:rPr>
          <w:rFonts w:ascii="Times New Roman" w:hAnsi="Times New Roman" w:cs="Times New Roman"/>
        </w:rPr>
        <w:t xml:space="preserve"> show that</w:t>
      </w:r>
      <w:r w:rsidR="00CC1A25">
        <w:rPr>
          <w:rFonts w:ascii="Times New Roman" w:hAnsi="Times New Roman" w:cs="Times New Roman"/>
        </w:rPr>
        <w:t xml:space="preserve"> t-SNE plot</w:t>
      </w:r>
      <w:r w:rsidR="00FA331F">
        <w:rPr>
          <w:rFonts w:ascii="Times New Roman" w:hAnsi="Times New Roman" w:cs="Times New Roman"/>
        </w:rPr>
        <w:t xml:space="preserve"> </w:t>
      </w:r>
      <w:r w:rsidR="00CC1A25">
        <w:rPr>
          <w:rFonts w:ascii="Times New Roman" w:hAnsi="Times New Roman" w:cs="Times New Roman"/>
        </w:rPr>
        <w:t>colored by ma</w:t>
      </w:r>
      <w:r w:rsidR="006518B3">
        <w:rPr>
          <w:rFonts w:ascii="Times New Roman" w:hAnsi="Times New Roman" w:cs="Times New Roman"/>
        </w:rPr>
        <w:t>r</w:t>
      </w:r>
      <w:r w:rsidR="00CC1A25">
        <w:rPr>
          <w:rFonts w:ascii="Times New Roman" w:hAnsi="Times New Roman" w:cs="Times New Roman"/>
        </w:rPr>
        <w:t>ker gene</w:t>
      </w:r>
      <w:r w:rsidR="00FA331F">
        <w:rPr>
          <w:rFonts w:ascii="Times New Roman" w:hAnsi="Times New Roman" w:cs="Times New Roman"/>
        </w:rPr>
        <w:t xml:space="preserve"> expression in all cells </w:t>
      </w:r>
      <w:r w:rsidR="00CC1A25">
        <w:rPr>
          <w:rFonts w:ascii="Times New Roman" w:hAnsi="Times New Roman" w:cs="Times New Roman"/>
        </w:rPr>
        <w:t xml:space="preserve">(upper) </w:t>
      </w:r>
      <w:r w:rsidR="00FA331F">
        <w:rPr>
          <w:rFonts w:ascii="Times New Roman" w:hAnsi="Times New Roman" w:cs="Times New Roman"/>
        </w:rPr>
        <w:t>as well as</w:t>
      </w:r>
      <w:r w:rsidR="00CC1A25">
        <w:rPr>
          <w:rFonts w:ascii="Times New Roman" w:hAnsi="Times New Roman" w:cs="Times New Roman"/>
        </w:rPr>
        <w:t xml:space="preserve"> those identified uniquely by CB2 </w:t>
      </w:r>
      <w:r w:rsidR="00FA331F">
        <w:rPr>
          <w:rFonts w:ascii="Times New Roman" w:hAnsi="Times New Roman" w:cs="Times New Roman"/>
        </w:rPr>
        <w:t>(lower</w:t>
      </w:r>
      <w:r w:rsidR="00CC1A25">
        <w:rPr>
          <w:rFonts w:ascii="Times New Roman" w:hAnsi="Times New Roman" w:cs="Times New Roman"/>
        </w:rPr>
        <w:t>).</w:t>
      </w:r>
      <w:r w:rsidR="00A657CF">
        <w:rPr>
          <w:rFonts w:ascii="Times New Roman" w:hAnsi="Times New Roman" w:cs="Times New Roman"/>
        </w:rPr>
        <w:t xml:space="preserve"> </w:t>
      </w:r>
      <w:r w:rsidR="00D32115">
        <w:rPr>
          <w:rFonts w:ascii="Times New Roman" w:hAnsi="Times New Roman" w:cs="Times New Roman"/>
        </w:rPr>
        <w:t xml:space="preserve">Distribution plots of the </w:t>
      </w:r>
      <w:r w:rsidR="009F7764">
        <w:rPr>
          <w:rFonts w:ascii="Times New Roman" w:hAnsi="Times New Roman" w:cs="Times New Roman"/>
        </w:rPr>
        <w:t xml:space="preserve">10 marker genes within </w:t>
      </w:r>
      <w:r w:rsidR="00CF31C6">
        <w:rPr>
          <w:rFonts w:ascii="Times New Roman" w:hAnsi="Times New Roman" w:cs="Times New Roman"/>
        </w:rPr>
        <w:t xml:space="preserve">the </w:t>
      </w:r>
      <w:r w:rsidR="009F7764">
        <w:rPr>
          <w:rFonts w:ascii="Times New Roman" w:hAnsi="Times New Roman" w:cs="Times New Roman"/>
        </w:rPr>
        <w:t xml:space="preserve">specified subpopulations are shown in </w:t>
      </w:r>
      <w:r w:rsidR="00CF31C6">
        <w:rPr>
          <w:rFonts w:ascii="Times New Roman" w:hAnsi="Times New Roman" w:cs="Times New Roman"/>
        </w:rPr>
        <w:t>the b</w:t>
      </w:r>
      <w:r w:rsidR="009F7764">
        <w:rPr>
          <w:rFonts w:ascii="Times New Roman" w:hAnsi="Times New Roman" w:cs="Times New Roman"/>
        </w:rPr>
        <w:t>ottom panel</w:t>
      </w:r>
      <w:r w:rsidR="00CF31C6">
        <w:rPr>
          <w:rFonts w:ascii="Times New Roman" w:hAnsi="Times New Roman" w:cs="Times New Roman"/>
        </w:rPr>
        <w:t xml:space="preserve">s for the common cells (pink) and those uniquely identified by CB2 (yellow). Expression levels of these markers calculated across all cells are shown in </w:t>
      </w:r>
      <w:r w:rsidR="00390283">
        <w:rPr>
          <w:rFonts w:ascii="Times New Roman" w:hAnsi="Times New Roman" w:cs="Times New Roman"/>
        </w:rPr>
        <w:t>blue</w:t>
      </w:r>
      <w:r w:rsidR="00CF31C6">
        <w:rPr>
          <w:rFonts w:ascii="Times New Roman" w:hAnsi="Times New Roman" w:cs="Times New Roman"/>
        </w:rPr>
        <w:t xml:space="preserve"> as a reference. </w:t>
      </w:r>
      <w:r w:rsidR="00AB6144">
        <w:rPr>
          <w:rFonts w:ascii="Times New Roman" w:hAnsi="Times New Roman" w:cs="Times New Roman"/>
        </w:rPr>
        <w:t xml:space="preserve">Cells uniquely identified by CB2 have marker gene expression patterns </w:t>
      </w:r>
      <w:r w:rsidR="00266EFF">
        <w:rPr>
          <w:rFonts w:ascii="Times New Roman" w:hAnsi="Times New Roman" w:cs="Times New Roman"/>
        </w:rPr>
        <w:t xml:space="preserve">similar to those observed in the </w:t>
      </w:r>
      <w:r w:rsidR="00AB6144">
        <w:rPr>
          <w:rFonts w:ascii="Times New Roman" w:hAnsi="Times New Roman" w:cs="Times New Roman"/>
        </w:rPr>
        <w:t>cells</w:t>
      </w:r>
      <w:r w:rsidR="00266EFF">
        <w:rPr>
          <w:rFonts w:ascii="Times New Roman" w:hAnsi="Times New Roman" w:cs="Times New Roman"/>
        </w:rPr>
        <w:t xml:space="preserve"> identified in common between CB2 and ED</w:t>
      </w:r>
      <w:r w:rsidR="00E92BED">
        <w:rPr>
          <w:rFonts w:ascii="Times New Roman" w:hAnsi="Times New Roman" w:cs="Times New Roman"/>
        </w:rPr>
        <w:t xml:space="preserve">, </w:t>
      </w:r>
      <w:r w:rsidR="00266EFF">
        <w:rPr>
          <w:rFonts w:ascii="Times New Roman" w:hAnsi="Times New Roman" w:cs="Times New Roman"/>
        </w:rPr>
        <w:t>providing further support</w:t>
      </w:r>
      <w:r w:rsidR="00E92BED">
        <w:rPr>
          <w:rFonts w:ascii="Times New Roman" w:hAnsi="Times New Roman" w:cs="Times New Roman"/>
        </w:rPr>
        <w:t xml:space="preserve"> </w:t>
      </w:r>
      <w:r w:rsidR="00266EFF">
        <w:rPr>
          <w:rFonts w:ascii="Times New Roman" w:hAnsi="Times New Roman" w:cs="Times New Roman"/>
        </w:rPr>
        <w:t xml:space="preserve">that </w:t>
      </w:r>
      <w:r w:rsidR="00E92BED">
        <w:rPr>
          <w:rFonts w:ascii="Times New Roman" w:hAnsi="Times New Roman" w:cs="Times New Roman"/>
        </w:rPr>
        <w:t>they are real cells.</w:t>
      </w:r>
      <w:r w:rsidR="00136C22">
        <w:rPr>
          <w:rFonts w:ascii="Times New Roman" w:hAnsi="Times New Roman" w:cs="Times New Roman"/>
        </w:rPr>
        <w:t xml:space="preserve"> </w:t>
      </w:r>
      <w:r w:rsidR="00004B01">
        <w:rPr>
          <w:rFonts w:ascii="Times New Roman" w:hAnsi="Times New Roman" w:cs="Times New Roman"/>
        </w:rPr>
        <w:t>As shown in panel (e), t</w:t>
      </w:r>
      <w:r w:rsidR="00FA331F" w:rsidRPr="007A2538">
        <w:rPr>
          <w:rFonts w:ascii="Times New Roman" w:hAnsi="Times New Roman" w:cs="Times New Roman"/>
        </w:rPr>
        <w:t>he novel subpopulation</w:t>
      </w:r>
      <w:r w:rsidR="005E1345">
        <w:rPr>
          <w:rFonts w:ascii="Times New Roman" w:hAnsi="Times New Roman" w:cs="Times New Roman"/>
        </w:rPr>
        <w:t xml:space="preserve"> identified by CB2</w:t>
      </w:r>
      <w:r w:rsidR="00FA331F" w:rsidRPr="007A2538">
        <w:rPr>
          <w:rFonts w:ascii="Times New Roman" w:hAnsi="Times New Roman" w:cs="Times New Roman"/>
        </w:rPr>
        <w:t xml:space="preserve"> </w:t>
      </w:r>
      <w:r w:rsidR="00266EFF">
        <w:rPr>
          <w:rFonts w:ascii="Times New Roman" w:hAnsi="Times New Roman" w:cs="Times New Roman"/>
        </w:rPr>
        <w:t xml:space="preserve">is the only subpopulation showing high </w:t>
      </w:r>
      <w:r w:rsidR="00FA331F" w:rsidRPr="007A2538">
        <w:rPr>
          <w:rFonts w:ascii="Times New Roman" w:hAnsi="Times New Roman" w:cs="Times New Roman"/>
        </w:rPr>
        <w:t>expression of both oligodendrocyte and astrocyte marker genes, suggesting that this group may be mixed phenotype glial cells</w:t>
      </w:r>
      <w:r w:rsidR="001658B2">
        <w:rPr>
          <w:rFonts w:ascii="Times New Roman" w:hAnsi="Times New Roman" w:cs="Times New Roman"/>
        </w:rPr>
        <w:fldChar w:fldCharType="begin" w:fldLock="1"/>
      </w:r>
      <w:r w:rsidR="00FD34E0">
        <w:rPr>
          <w:rFonts w:ascii="Times New Roman" w:hAnsi="Times New Roman" w:cs="Times New Roman"/>
        </w:rPr>
        <w:instrText>ADDIN CSL_CITATION {"citationItems":[{"id":"ITEM-1","itemData":{"DOI":"10.1002/(SICI)1097-4547(20000501)60:3&lt;412::AID-JNR16&gt;3.0.CO;2-E","ISSN":"0360-4012","PMID":"10797544","abstract":"The data herein demonstrate that in addition to the well-characterized myelin marker-positive, glial fibrillary acidic protein (GFAP)-negative, membrane sheet-bearing oligodendrocytes, another type of myelin marker-positive, process-bearing glia exists in normal and pathologic conditions. This second type of myelin marker-positive glia expresses GFAP, and therefore these cells have been referred to as mixed phenotype glia. Although mixed phenotype glia have been documented previously, their identity and function have remained a mystery. The goal of this immunocytochemical study was to further characterize these cells. Using the MBPlacZ transgenic mouse in which beta-galactosidase is under the control of the myelin basic protein (MBP) gene promoter, GFAP-positive/beta-galactosidase-positive and myelin/oligodendrocyte-specific protein (MOSP)-positive/beta-galactosidase-positive cells were detected in subcortical white matter and in perivascular locations within cerebral white and gray matter. In cultures prepared from highly enriched myelin marker-positive immature glia, mixed phenotype glia were detected that were GFAP-positive and either MOSP-, MBP-, O1-, and O4-positive. The expression of multiple myelin markers by mixed phenotype glia may suggest that these cells are of oligodendrocyte origin. Increased numbers of MOSP-positive/GFAP-positive mixed phenotype glia were detected in sections from adult hypomyelinated brain from shiverer, quaking, and PKU mice compared to myelinated control adult mouse brain. Similarly, cultures from control brain exposed to elevated pH for 2-3 weeks showed dramatically increased numbers of mixed phenotype glia (80%) compared to control (&lt;10%). Increased numbers of mixed phenotype glia also were detected in shiverer cultures (40%). Since increases in the number of mixed phenotype glia occur in shiverer, quaking, and PKU mouse brain, these data suggest that mixed phenotype glia contribute to gliosis in pathologic white matter.","author":[{"dropping-particle":"","family":"Dyer","given":"Charissa A.","non-dropping-particle":"","parse-names":false,"suffix":""},{"dropping-particle":"","family":"Kendler","given":"Ady","non-dropping-particle":"","parse-names":false,"suffix":""},{"dropping-particle":"","family":"Jean-Guillaume","given":"Danielle","non-dropping-particle":"","parse-names":false,"suffix":""},{"dropping-particle":"","family":"Awatramani","given":"Raj","non-dropping-particle":"","parse-names":false,"suffix":""},{"dropping-particle":"","family":"Lee","given":"Albert","non-dropping-particle":"","parse-names":false,"suffix":""},{"dropping-particle":"","family":"Mason","given":"Lisa M.","non-dropping-particle":"","parse-names":false,"suffix":""},{"dropping-particle":"","family":"Kamholz","given":"John","non-dropping-particle":"","parse-names":false,"suffix":""}],"container-title":"Journal of Neuroscience Research","id":"ITEM-1","issue":"3","issued":{"date-parts":[["2000","5","1"]]},"page":"412-426","title":"GFAP-positive and myelin marker-positive glia in normal and pathologic environments","type":"article-journal","volume":"60"},"uris":["http://www.mendeley.com/documents/?uuid=f22a07d2-8468-31b2-85e2-e92953e27de4"]}],"mendeley":{"formattedCitation":"[4]","plainTextFormattedCitation":"[4]","previouslyFormattedCitation":"[4]"},"properties":{"noteIndex":0},"schema":"https://github.com/citation-style-language/schema/raw/master/csl-citation.json"}</w:instrText>
      </w:r>
      <w:r w:rsidR="001658B2">
        <w:rPr>
          <w:rFonts w:ascii="Times New Roman" w:hAnsi="Times New Roman" w:cs="Times New Roman"/>
        </w:rPr>
        <w:fldChar w:fldCharType="separate"/>
      </w:r>
      <w:r w:rsidR="0027488E" w:rsidRPr="0027488E">
        <w:rPr>
          <w:rFonts w:ascii="Times New Roman" w:hAnsi="Times New Roman" w:cs="Times New Roman"/>
          <w:noProof/>
        </w:rPr>
        <w:t>[4]</w:t>
      </w:r>
      <w:r w:rsidR="001658B2">
        <w:rPr>
          <w:rFonts w:ascii="Times New Roman" w:hAnsi="Times New Roman" w:cs="Times New Roman"/>
        </w:rPr>
        <w:fldChar w:fldCharType="end"/>
      </w:r>
      <w:r w:rsidR="002901E4">
        <w:rPr>
          <w:rFonts w:ascii="Times New Roman" w:hAnsi="Times New Roman" w:cs="Times New Roman"/>
        </w:rPr>
        <w:t xml:space="preserve"> (GFAP+ </w:t>
      </w:r>
      <w:r w:rsidR="00405583">
        <w:rPr>
          <w:rFonts w:ascii="Times New Roman" w:hAnsi="Times New Roman" w:cs="Times New Roman"/>
        </w:rPr>
        <w:t>o</w:t>
      </w:r>
      <w:r w:rsidR="002901E4">
        <w:rPr>
          <w:rFonts w:ascii="Times New Roman" w:hAnsi="Times New Roman" w:cs="Times New Roman"/>
        </w:rPr>
        <w:t>ligodendrocytes)</w:t>
      </w:r>
      <w:r w:rsidR="00FA331F">
        <w:rPr>
          <w:rFonts w:ascii="Times New Roman" w:hAnsi="Times New Roman" w:cs="Times New Roman"/>
        </w:rPr>
        <w:t xml:space="preserve">.  </w:t>
      </w:r>
      <w:r w:rsidR="00004B01">
        <w:rPr>
          <w:rFonts w:ascii="Times New Roman" w:hAnsi="Times New Roman" w:cs="Times New Roman"/>
        </w:rPr>
        <w:t xml:space="preserve">Panel (f) shows </w:t>
      </w:r>
      <w:r w:rsidR="00004B01">
        <w:rPr>
          <w:rFonts w:ascii="Times New Roman" w:hAnsi="Times New Roman" w:cs="Times New Roman"/>
          <w:color w:val="000000"/>
          <w:szCs w:val="23"/>
        </w:rPr>
        <w:t>d</w:t>
      </w:r>
      <w:r w:rsidR="00004B01" w:rsidRPr="00C50941">
        <w:rPr>
          <w:rFonts w:ascii="Times New Roman" w:hAnsi="Times New Roman" w:cs="Times New Roman"/>
          <w:color w:val="000000"/>
          <w:szCs w:val="23"/>
        </w:rPr>
        <w:t xml:space="preserve">istribution plots </w:t>
      </w:r>
      <w:r w:rsidR="00004B01" w:rsidRPr="00C50941">
        <w:rPr>
          <w:rFonts w:ascii="Times New Roman" w:hAnsi="Times New Roman" w:cs="Times New Roman"/>
        </w:rPr>
        <w:t>of the 100 genes having highest average expression in Subpop</w:t>
      </w:r>
      <w:r w:rsidR="00004B01">
        <w:rPr>
          <w:rFonts w:ascii="Times New Roman" w:hAnsi="Times New Roman" w:cs="Times New Roman"/>
        </w:rPr>
        <w:t>5</w:t>
      </w:r>
      <w:r w:rsidR="00004B01" w:rsidRPr="00C50941">
        <w:rPr>
          <w:rFonts w:ascii="Times New Roman" w:hAnsi="Times New Roman" w:cs="Times New Roman"/>
        </w:rPr>
        <w:t xml:space="preserve"> for cells identified by both CB2 and ED (upper) and identified uniquely by CB2 (middle)</w:t>
      </w:r>
      <w:r w:rsidR="00004B01">
        <w:rPr>
          <w:rFonts w:ascii="Times New Roman" w:hAnsi="Times New Roman" w:cs="Times New Roman"/>
        </w:rPr>
        <w:t xml:space="preserve">. </w:t>
      </w:r>
      <w:r w:rsidR="00004B01" w:rsidRPr="00C50941">
        <w:rPr>
          <w:rFonts w:ascii="Times New Roman" w:hAnsi="Times New Roman" w:cs="Times New Roman"/>
        </w:rPr>
        <w:t>The estimated background distribution is also shown (lower).  Cells uniquely identified by CB2 in Subpop</w:t>
      </w:r>
      <w:r w:rsidR="00004B01">
        <w:rPr>
          <w:rFonts w:ascii="Times New Roman" w:hAnsi="Times New Roman" w:cs="Times New Roman"/>
        </w:rPr>
        <w:t>5</w:t>
      </w:r>
      <w:r w:rsidR="00004B01" w:rsidRPr="00C50941">
        <w:rPr>
          <w:rFonts w:ascii="Times New Roman" w:hAnsi="Times New Roman" w:cs="Times New Roman"/>
        </w:rPr>
        <w:t xml:space="preserve"> have a distribution similar to other Subpop</w:t>
      </w:r>
      <w:r w:rsidR="00004B01">
        <w:rPr>
          <w:rFonts w:ascii="Times New Roman" w:hAnsi="Times New Roman" w:cs="Times New Roman"/>
        </w:rPr>
        <w:t>5</w:t>
      </w:r>
      <w:r w:rsidR="00004B01" w:rsidRPr="00C50941">
        <w:rPr>
          <w:rFonts w:ascii="Times New Roman" w:hAnsi="Times New Roman" w:cs="Times New Roman"/>
        </w:rPr>
        <w:t xml:space="preserve"> cells and differ from the background.</w:t>
      </w:r>
    </w:p>
    <w:p w14:paraId="56C1419A" w14:textId="77777777" w:rsidR="00004B01" w:rsidRPr="00355F3D" w:rsidRDefault="00004B01" w:rsidP="009407D1">
      <w:pPr>
        <w:spacing w:line="420" w:lineRule="exact"/>
        <w:rPr>
          <w:rFonts w:ascii="Times New Roman" w:hAnsi="Times New Roman" w:cs="Times New Roman"/>
        </w:rPr>
      </w:pPr>
    </w:p>
    <w:p w14:paraId="49BAF64A" w14:textId="59ED46A1" w:rsidR="005C5A0A" w:rsidRDefault="007D1DE2" w:rsidP="00355F3D">
      <w:pPr>
        <w:pStyle w:val="NormalWeb"/>
        <w:spacing w:line="480" w:lineRule="auto"/>
      </w:pPr>
      <w:r w:rsidRPr="007D1DE2">
        <w:rPr>
          <w:noProof/>
        </w:rPr>
        <w:lastRenderedPageBreak/>
        <w:drawing>
          <wp:inline distT="0" distB="0" distL="0" distR="0" wp14:anchorId="1C1EEF59" wp14:editId="37232272">
            <wp:extent cx="5943600" cy="32321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232150"/>
                    </a:xfrm>
                    <a:prstGeom prst="rect">
                      <a:avLst/>
                    </a:prstGeom>
                  </pic:spPr>
                </pic:pic>
              </a:graphicData>
            </a:graphic>
          </wp:inline>
        </w:drawing>
      </w:r>
    </w:p>
    <w:p w14:paraId="66E903CA" w14:textId="68BF39F8" w:rsidR="004C0501" w:rsidRPr="00453D09" w:rsidRDefault="00977267" w:rsidP="00453D09">
      <w:pPr>
        <w:spacing w:line="360" w:lineRule="auto"/>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4C0501" w:rsidRPr="004C0501">
        <w:rPr>
          <w:rFonts w:ascii="Times New Roman" w:hAnsi="Times New Roman" w:cs="Times New Roman"/>
          <w:b/>
        </w:rPr>
        <w:t>7</w:t>
      </w:r>
      <w:r w:rsidR="004C0501">
        <w:rPr>
          <w:rFonts w:ascii="Times New Roman" w:hAnsi="Times New Roman" w:cs="Times New Roman"/>
        </w:rPr>
        <w:t xml:space="preserve">: </w:t>
      </w:r>
      <w:r w:rsidR="00530386" w:rsidRPr="00453D09">
        <w:rPr>
          <w:rFonts w:ascii="Times New Roman" w:hAnsi="Times New Roman" w:cs="Times New Roman"/>
        </w:rPr>
        <w:t xml:space="preserve">Differential Expression </w:t>
      </w:r>
      <w:r w:rsidR="004C0501" w:rsidRPr="00453D09">
        <w:rPr>
          <w:rFonts w:ascii="Times New Roman" w:hAnsi="Times New Roman" w:cs="Times New Roman"/>
        </w:rPr>
        <w:t xml:space="preserve">analysis between </w:t>
      </w:r>
      <w:r w:rsidR="00CB1E36" w:rsidRPr="00453D09">
        <w:rPr>
          <w:rFonts w:ascii="Times New Roman" w:hAnsi="Times New Roman" w:cs="Times New Roman"/>
        </w:rPr>
        <w:t xml:space="preserve">Alzheimer’s disease (AD) cases and controls was conducted </w:t>
      </w:r>
      <w:r w:rsidR="000815BC" w:rsidRPr="00453D09">
        <w:rPr>
          <w:rFonts w:ascii="Times New Roman" w:hAnsi="Times New Roman" w:cs="Times New Roman"/>
        </w:rPr>
        <w:t>using</w:t>
      </w:r>
      <w:r w:rsidR="00530386" w:rsidRPr="00453D09">
        <w:rPr>
          <w:rFonts w:ascii="Times New Roman" w:hAnsi="Times New Roman" w:cs="Times New Roman"/>
        </w:rPr>
        <w:t xml:space="preserve"> </w:t>
      </w:r>
      <w:r w:rsidR="004D2CD5" w:rsidRPr="00453D09">
        <w:rPr>
          <w:rFonts w:ascii="Times New Roman" w:hAnsi="Times New Roman" w:cs="Times New Roman"/>
        </w:rPr>
        <w:t xml:space="preserve">cells identified by </w:t>
      </w:r>
      <w:r w:rsidR="004C0501" w:rsidRPr="00453D09">
        <w:rPr>
          <w:rFonts w:ascii="Times New Roman" w:hAnsi="Times New Roman" w:cs="Times New Roman"/>
        </w:rPr>
        <w:t>CB2</w:t>
      </w:r>
      <w:r w:rsidR="00530386" w:rsidRPr="00453D09">
        <w:rPr>
          <w:rFonts w:ascii="Times New Roman" w:hAnsi="Times New Roman" w:cs="Times New Roman"/>
        </w:rPr>
        <w:t xml:space="preserve"> </w:t>
      </w:r>
      <w:r w:rsidR="004D2CD5" w:rsidRPr="00453D09">
        <w:rPr>
          <w:rFonts w:ascii="Times New Roman" w:hAnsi="Times New Roman" w:cs="Times New Roman"/>
        </w:rPr>
        <w:t xml:space="preserve">(salmon) and ED (turquoise). </w:t>
      </w:r>
      <w:r w:rsidR="00CB1E36" w:rsidRPr="00453D09">
        <w:rPr>
          <w:rFonts w:ascii="Times New Roman" w:hAnsi="Times New Roman" w:cs="Times New Roman"/>
        </w:rPr>
        <w:t xml:space="preserve">Shown </w:t>
      </w:r>
      <w:r w:rsidR="003A4873" w:rsidRPr="00453D09">
        <w:rPr>
          <w:rFonts w:ascii="Times New Roman" w:hAnsi="Times New Roman" w:cs="Times New Roman"/>
        </w:rPr>
        <w:t xml:space="preserve">in the upper panels </w:t>
      </w:r>
      <w:r w:rsidR="00CB1E36" w:rsidRPr="00453D09">
        <w:rPr>
          <w:rFonts w:ascii="Times New Roman" w:hAnsi="Times New Roman" w:cs="Times New Roman"/>
        </w:rPr>
        <w:t xml:space="preserve">are the -log10 p-values for 9 genes known to be differentially expressed between </w:t>
      </w:r>
      <w:r w:rsidR="001E6C72" w:rsidRPr="00453D09">
        <w:rPr>
          <w:rFonts w:ascii="Times New Roman" w:hAnsi="Times New Roman" w:cs="Times New Roman"/>
        </w:rPr>
        <w:t xml:space="preserve">AD-pathology and </w:t>
      </w:r>
      <w:r w:rsidR="00CB1E36" w:rsidRPr="00453D09">
        <w:rPr>
          <w:rFonts w:ascii="Times New Roman" w:hAnsi="Times New Roman" w:cs="Times New Roman"/>
        </w:rPr>
        <w:t>c</w:t>
      </w:r>
      <w:r w:rsidR="001E6C72" w:rsidRPr="00453D09">
        <w:rPr>
          <w:rFonts w:ascii="Times New Roman" w:hAnsi="Times New Roman" w:cs="Times New Roman"/>
        </w:rPr>
        <w:t xml:space="preserve">ontrol cells in </w:t>
      </w:r>
      <w:r w:rsidR="00CB1E36" w:rsidRPr="00453D09">
        <w:rPr>
          <w:rFonts w:ascii="Times New Roman" w:hAnsi="Times New Roman" w:cs="Times New Roman"/>
        </w:rPr>
        <w:t>e</w:t>
      </w:r>
      <w:r w:rsidR="001E6C72" w:rsidRPr="00453D09">
        <w:rPr>
          <w:rFonts w:ascii="Times New Roman" w:hAnsi="Times New Roman" w:cs="Times New Roman"/>
        </w:rPr>
        <w:t xml:space="preserve">xcitatory </w:t>
      </w:r>
      <w:r w:rsidR="00CB1E36" w:rsidRPr="00453D09">
        <w:rPr>
          <w:rFonts w:ascii="Times New Roman" w:hAnsi="Times New Roman" w:cs="Times New Roman"/>
        </w:rPr>
        <w:t>ne</w:t>
      </w:r>
      <w:r w:rsidR="001E6C72" w:rsidRPr="00453D09">
        <w:rPr>
          <w:rFonts w:ascii="Times New Roman" w:hAnsi="Times New Roman" w:cs="Times New Roman"/>
        </w:rPr>
        <w:t>uron</w:t>
      </w:r>
      <w:r w:rsidR="00CB1E36" w:rsidRPr="00453D09">
        <w:rPr>
          <w:rFonts w:ascii="Times New Roman" w:hAnsi="Times New Roman" w:cs="Times New Roman"/>
        </w:rPr>
        <w:t>s (left</w:t>
      </w:r>
      <w:r w:rsidR="001E6C72" w:rsidRPr="00453D09">
        <w:rPr>
          <w:rFonts w:ascii="Times New Roman" w:hAnsi="Times New Roman" w:cs="Times New Roman"/>
        </w:rPr>
        <w:t>: GOLT1B, ATF6B, DDRGK1, TUBB2A, BEX2, ATPIF1, RASGEF1B, NGFRAP1, LINGO1</w:t>
      </w:r>
      <w:r w:rsidR="00CB1E36" w:rsidRPr="00453D09">
        <w:rPr>
          <w:rFonts w:ascii="Times New Roman" w:hAnsi="Times New Roman" w:cs="Times New Roman"/>
        </w:rPr>
        <w:t xml:space="preserve">) and 9 genes known to be differentially expressed in inhibitory neurons (right: </w:t>
      </w:r>
      <w:r w:rsidR="001E6C72" w:rsidRPr="00453D09">
        <w:rPr>
          <w:rFonts w:ascii="Times New Roman" w:hAnsi="Times New Roman" w:cs="Times New Roman"/>
        </w:rPr>
        <w:t>TCEAL4, SPCS1, FBXO2, COX4I1, ATPIF1, SOD1, NGFRAP1, TMSB4X, NDUFA4</w:t>
      </w:r>
      <w:r w:rsidR="00CB1E36" w:rsidRPr="00453D09">
        <w:rPr>
          <w:rFonts w:ascii="Times New Roman" w:hAnsi="Times New Roman" w:cs="Times New Roman"/>
        </w:rPr>
        <w:t>)</w:t>
      </w:r>
      <w:r w:rsidR="001E6C72" w:rsidRPr="00453D09">
        <w:rPr>
          <w:rFonts w:ascii="Times New Roman" w:hAnsi="Times New Roman" w:cs="Times New Roman"/>
        </w:rPr>
        <w:fldChar w:fldCharType="begin" w:fldLock="1"/>
      </w:r>
      <w:r w:rsidR="00FD34E0">
        <w:rPr>
          <w:rFonts w:ascii="Times New Roman" w:hAnsi="Times New Roman" w:cs="Times New Roman"/>
        </w:rPr>
        <w:instrText>ADDIN CSL_CITATION {"citationItems":[{"id":"ITEM-1","itemData":{"DOI":"10.1038/s41586-019-1195-2","ISSN":"0028-0836","abstract":"Alzheimer’s disease is a pervasive neurodegenerative disorder, the molecular complexity of which remains poorly understood. Here, we analysed 80,660 single-nucleus transcriptomes from the prefrontal cortex of 48 individuals with varying degrees of Alzheimer’s disease pathology. Across six major brain cell types, we identified transcriptionally distinct subpopulations, including those associated with pathology and characterized by regulators of myelination, inflammation, and neuron survival. The strongest disease-associated changes appeared early in pathological progression and were highly cell-type specific, whereas genes upregulated at late stages were common across cell types and primarily involved in the global stress response. Notably, we found that female cells were overrepresented in disease-associated subpopulations, and that transcriptional responses were substantially different between sexes in several cell types, including oligodendrocytes. Overall, myelination-related processes were recurrently perturbed in multiple cell types, suggesting that myelination has a key role in Alzheimer’s disease pathophysiology. Our single-cell transcriptomic resource provides a blueprint for interrogating the molecular and cellular basis of Alzheimer’s disease. Single-cell transcriptomics from 48 individuals with varying degrees of Alzheimer’s disease pathology demonstrates that gene-expression changes in Alzheimer’s disease are both cell-type specific and shared, and that transcriptional responses show sexual dimorphism.","author":[{"dropping-particle":"","family":"Mathys","given":"Hansruedi","non-dropping-particle":"","parse-names":false,"suffix":""},{"dropping-particle":"","family":"Davila-Velderrain","given":"Jose","non-dropping-particle":"","parse-names":false,"suffix":""},{"dropping-particle":"","family":"Peng","given":"Zhuyu","non-dropping-particle":"","parse-names":false,"suffix":""},{"dropping-particle":"","family":"Gao","given":"Fan","non-dropping-particle":"","parse-names":false,"suffix":""},{"dropping-particle":"","family":"Mohammadi","given":"Shahin","non-dropping-particle":"","parse-names":false,"suffix":""},{"dropping-particle":"","family":"Young","given":"Jennie Z.","non-dropping-particle":"","parse-names":false,"suffix":""},{"dropping-particle":"","family":"Menon","given":"Madhvi","non-dropping-particle":"","parse-names":false,"suffix":""},{"dropping-particle":"","family":"He","given":"Liang","non-dropping-particle":"","parse-names":false,"suffix":""},{"dropping-particle":"","family":"Abdurrob","given":"Fatema","non-dropping-particle":"","parse-names":false,"suffix":""},{"dropping-particle":"","family":"Jiang","given":"Xueqiao","non-dropping-particle":"","parse-names":false,"suffix":""},{"dropping-particle":"","family":"Martorell","given":"Anthony J.","non-dropping-particle":"","parse-names":false,"suffix":""},{"dropping-particle":"","family":"Ransohoff","given":"Richard M.","non-dropping-particle":"","parse-names":false,"suffix":""},{"dropping-particle":"","family":"Hafler","given":"Brian P.","non-dropping-particle":"","parse-names":false,"suffix":""},{"dropping-particle":"","family":"Bennett","given":"David A.","non-dropping-particle":"","parse-names":false,"suffix":""},{"dropping-particle":"","family":"Kellis","given":"Manolis","non-dropping-particle":"","parse-names":false,"suffix":""},{"dropping-particle":"","family":"Tsai","given":"Li-Huei","non-dropping-particle":"","parse-names":false,"suffix":""}],"container-title":"Nature","id":"ITEM-1","issue":"7761","issued":{"date-parts":[["2019","6","1"]]},"page":"332-337","publisher":"Nature Publishing Group","title":"Single-cell transcriptomic analysis of Alzheimer’s disease","type":"article-journal","volume":"570"},"uris":["http://www.mendeley.com/documents/?uuid=055653f6-b014-3fb4-b856-2614a1587d6a"]}],"mendeley":{"formattedCitation":"[3]","plainTextFormattedCitation":"[3]","previouslyFormattedCitation":"[3]"},"properties":{"noteIndex":0},"schema":"https://github.com/citation-style-language/schema/raw/master/csl-citation.json"}</w:instrText>
      </w:r>
      <w:r w:rsidR="001E6C72" w:rsidRPr="00453D09">
        <w:rPr>
          <w:rFonts w:ascii="Times New Roman" w:hAnsi="Times New Roman" w:cs="Times New Roman"/>
        </w:rPr>
        <w:fldChar w:fldCharType="separate"/>
      </w:r>
      <w:r w:rsidR="0027488E" w:rsidRPr="00453D09">
        <w:rPr>
          <w:rFonts w:ascii="Times New Roman" w:hAnsi="Times New Roman" w:cs="Times New Roman"/>
          <w:noProof/>
        </w:rPr>
        <w:t>[3]</w:t>
      </w:r>
      <w:r w:rsidR="001E6C72" w:rsidRPr="00453D09">
        <w:rPr>
          <w:rFonts w:ascii="Times New Roman" w:hAnsi="Times New Roman" w:cs="Times New Roman"/>
        </w:rPr>
        <w:fldChar w:fldCharType="end"/>
      </w:r>
      <w:r w:rsidR="001E6C72" w:rsidRPr="00453D09">
        <w:rPr>
          <w:rFonts w:ascii="Times New Roman" w:hAnsi="Times New Roman" w:cs="Times New Roman"/>
        </w:rPr>
        <w:t xml:space="preserve">. </w:t>
      </w:r>
      <w:r w:rsidR="00530386" w:rsidRPr="00453D09">
        <w:rPr>
          <w:rFonts w:ascii="Times New Roman" w:hAnsi="Times New Roman" w:cs="Times New Roman"/>
        </w:rPr>
        <w:t>Log</w:t>
      </w:r>
      <w:r w:rsidR="00CB1E36" w:rsidRPr="00453D09">
        <w:rPr>
          <w:rFonts w:ascii="Times New Roman" w:hAnsi="Times New Roman" w:cs="Times New Roman"/>
        </w:rPr>
        <w:t>2</w:t>
      </w:r>
      <w:r w:rsidR="00530386" w:rsidRPr="00453D09">
        <w:rPr>
          <w:rFonts w:ascii="Times New Roman" w:hAnsi="Times New Roman" w:cs="Times New Roman"/>
        </w:rPr>
        <w:t xml:space="preserve"> </w:t>
      </w:r>
      <w:r w:rsidR="000815BC" w:rsidRPr="00453D09">
        <w:rPr>
          <w:rFonts w:ascii="Times New Roman" w:hAnsi="Times New Roman" w:cs="Times New Roman"/>
        </w:rPr>
        <w:t>f</w:t>
      </w:r>
      <w:r w:rsidR="00530386" w:rsidRPr="00453D09">
        <w:rPr>
          <w:rFonts w:ascii="Times New Roman" w:hAnsi="Times New Roman" w:cs="Times New Roman"/>
        </w:rPr>
        <w:t xml:space="preserve">old </w:t>
      </w:r>
      <w:r w:rsidR="000815BC" w:rsidRPr="00453D09">
        <w:rPr>
          <w:rFonts w:ascii="Times New Roman" w:hAnsi="Times New Roman" w:cs="Times New Roman"/>
        </w:rPr>
        <w:t>c</w:t>
      </w:r>
      <w:r w:rsidR="00530386" w:rsidRPr="00453D09">
        <w:rPr>
          <w:rFonts w:ascii="Times New Roman" w:hAnsi="Times New Roman" w:cs="Times New Roman"/>
        </w:rPr>
        <w:t>hange</w:t>
      </w:r>
      <w:r w:rsidR="00CB1E36" w:rsidRPr="00453D09">
        <w:rPr>
          <w:rFonts w:ascii="Times New Roman" w:hAnsi="Times New Roman" w:cs="Times New Roman"/>
        </w:rPr>
        <w:t>s</w:t>
      </w:r>
      <w:r w:rsidR="00530386" w:rsidRPr="00453D09">
        <w:rPr>
          <w:rFonts w:ascii="Times New Roman" w:hAnsi="Times New Roman" w:cs="Times New Roman"/>
        </w:rPr>
        <w:t xml:space="preserve"> of the mean expression in AD-pathology </w:t>
      </w:r>
      <w:r w:rsidR="00CB1E36" w:rsidRPr="00453D09">
        <w:rPr>
          <w:rFonts w:ascii="Times New Roman" w:hAnsi="Times New Roman" w:cs="Times New Roman"/>
        </w:rPr>
        <w:t>vs. control c</w:t>
      </w:r>
      <w:r w:rsidR="00530386" w:rsidRPr="00453D09">
        <w:rPr>
          <w:rFonts w:ascii="Times New Roman" w:hAnsi="Times New Roman" w:cs="Times New Roman"/>
        </w:rPr>
        <w:t xml:space="preserve">ells </w:t>
      </w:r>
      <w:r w:rsidR="00CB1E36" w:rsidRPr="00453D09">
        <w:rPr>
          <w:rFonts w:ascii="Times New Roman" w:hAnsi="Times New Roman" w:cs="Times New Roman"/>
        </w:rPr>
        <w:t xml:space="preserve">are also shown </w:t>
      </w:r>
      <w:r w:rsidR="007B6C8E" w:rsidRPr="00453D09">
        <w:rPr>
          <w:rFonts w:ascii="Times New Roman" w:hAnsi="Times New Roman" w:cs="Times New Roman"/>
        </w:rPr>
        <w:t>(</w:t>
      </w:r>
      <w:r w:rsidR="003A4873" w:rsidRPr="00453D09">
        <w:rPr>
          <w:rFonts w:ascii="Times New Roman" w:hAnsi="Times New Roman" w:cs="Times New Roman"/>
        </w:rPr>
        <w:t>lower</w:t>
      </w:r>
      <w:r w:rsidR="007B6C8E" w:rsidRPr="00453D09">
        <w:rPr>
          <w:rFonts w:ascii="Times New Roman" w:hAnsi="Times New Roman" w:cs="Times New Roman"/>
        </w:rPr>
        <w:t xml:space="preserve"> panels)</w:t>
      </w:r>
      <w:r w:rsidR="00CB1E36" w:rsidRPr="00453D09">
        <w:rPr>
          <w:rFonts w:ascii="Times New Roman" w:hAnsi="Times New Roman" w:cs="Times New Roman"/>
        </w:rPr>
        <w:t xml:space="preserve"> for </w:t>
      </w:r>
      <w:r w:rsidR="001E6C72" w:rsidRPr="00453D09">
        <w:rPr>
          <w:rFonts w:ascii="Times New Roman" w:hAnsi="Times New Roman" w:cs="Times New Roman"/>
        </w:rPr>
        <w:t xml:space="preserve">each gene in each cell type. </w:t>
      </w:r>
      <w:r w:rsidR="00453D09">
        <w:rPr>
          <w:rFonts w:ascii="Times New Roman" w:hAnsi="Times New Roman" w:cs="Times New Roman"/>
        </w:rPr>
        <w:t xml:space="preserve">Given that some of the unique CB2 identifications are </w:t>
      </w:r>
      <w:r w:rsidR="00453D09" w:rsidRPr="00453D09">
        <w:rPr>
          <w:rFonts w:ascii="Times New Roman" w:hAnsi="Times New Roman" w:cs="Times New Roman"/>
        </w:rPr>
        <w:t>expressing stronger cell-type-specific marker genes</w:t>
      </w:r>
      <w:r w:rsidR="00453D09">
        <w:rPr>
          <w:rFonts w:ascii="Times New Roman" w:hAnsi="Times New Roman" w:cs="Times New Roman"/>
        </w:rPr>
        <w:t xml:space="preserve"> (</w:t>
      </w:r>
      <w:r>
        <w:rPr>
          <w:rFonts w:ascii="Times New Roman" w:hAnsi="Times New Roman" w:cs="Times New Roman"/>
          <w:b/>
          <w:bCs/>
        </w:rPr>
        <w:t>Fig.</w:t>
      </w:r>
      <w:r w:rsidR="00453D09" w:rsidRPr="00453D09">
        <w:rPr>
          <w:rFonts w:ascii="Times New Roman" w:hAnsi="Times New Roman" w:cs="Times New Roman"/>
          <w:b/>
          <w:bCs/>
        </w:rPr>
        <w:t xml:space="preserve"> </w:t>
      </w:r>
      <w:r w:rsidR="00224686">
        <w:rPr>
          <w:rFonts w:ascii="Times New Roman" w:hAnsi="Times New Roman" w:cs="Times New Roman"/>
          <w:b/>
          <w:bCs/>
        </w:rPr>
        <w:t>S</w:t>
      </w:r>
      <w:r w:rsidR="00453D09" w:rsidRPr="00453D09">
        <w:rPr>
          <w:rFonts w:ascii="Times New Roman" w:hAnsi="Times New Roman" w:cs="Times New Roman"/>
          <w:b/>
          <w:bCs/>
        </w:rPr>
        <w:t>6(b)-(e)</w:t>
      </w:r>
      <w:r w:rsidR="00453D09">
        <w:rPr>
          <w:rFonts w:ascii="Times New Roman" w:hAnsi="Times New Roman" w:cs="Times New Roman"/>
        </w:rPr>
        <w:t>)</w:t>
      </w:r>
      <w:r w:rsidR="00453D09" w:rsidRPr="00453D09">
        <w:rPr>
          <w:rFonts w:ascii="Times New Roman" w:hAnsi="Times New Roman" w:cs="Times New Roman"/>
        </w:rPr>
        <w:t xml:space="preserve">, </w:t>
      </w:r>
      <w:r w:rsidR="00453D09">
        <w:rPr>
          <w:rFonts w:ascii="Times New Roman" w:hAnsi="Times New Roman" w:cs="Times New Roman"/>
        </w:rPr>
        <w:t xml:space="preserve">fold changes in the CB2 identified cells are more extreme. </w:t>
      </w:r>
      <w:r w:rsidR="001E6C72" w:rsidRPr="00453D09">
        <w:rPr>
          <w:rFonts w:ascii="Times New Roman" w:hAnsi="Times New Roman" w:cs="Times New Roman"/>
        </w:rPr>
        <w:t xml:space="preserve">CB2 improves downstream DE analysis by showing </w:t>
      </w:r>
      <w:r w:rsidR="00CB1E36" w:rsidRPr="00453D09">
        <w:rPr>
          <w:rFonts w:ascii="Times New Roman" w:hAnsi="Times New Roman" w:cs="Times New Roman"/>
        </w:rPr>
        <w:t xml:space="preserve">more significant p-values and stronger fold changes. </w:t>
      </w:r>
      <w:r w:rsidR="00453D09" w:rsidRPr="00453D09">
        <w:rPr>
          <w:rFonts w:ascii="Times New Roman" w:hAnsi="Times New Roman" w:cs="Times New Roman"/>
        </w:rPr>
        <w:t xml:space="preserve"> </w:t>
      </w:r>
    </w:p>
    <w:p w14:paraId="6F62C72A" w14:textId="29A53457" w:rsidR="004C0501" w:rsidRDefault="004C0501" w:rsidP="00355F3D">
      <w:pPr>
        <w:spacing w:line="480" w:lineRule="auto"/>
        <w:rPr>
          <w:rFonts w:ascii="Times New Roman" w:hAnsi="Times New Roman" w:cs="Times New Roman"/>
        </w:rPr>
      </w:pPr>
    </w:p>
    <w:p w14:paraId="3677C43A" w14:textId="77777777" w:rsidR="004C0501" w:rsidRDefault="004C0501" w:rsidP="00355F3D">
      <w:pPr>
        <w:spacing w:line="480" w:lineRule="auto"/>
        <w:rPr>
          <w:rFonts w:ascii="Times New Roman" w:hAnsi="Times New Roman" w:cs="Times New Roman"/>
        </w:rPr>
      </w:pPr>
    </w:p>
    <w:p w14:paraId="39C8D670" w14:textId="4DC0F472" w:rsidR="001477F6" w:rsidRDefault="001477F6" w:rsidP="001477F6">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7E1FDC9E" wp14:editId="1C42B311">
            <wp:extent cx="5382589" cy="4717349"/>
            <wp:effectExtent l="0" t="0" r="889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upFig8 PBMC8K.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82589" cy="4717349"/>
                    </a:xfrm>
                    <a:prstGeom prst="rect">
                      <a:avLst/>
                    </a:prstGeom>
                  </pic:spPr>
                </pic:pic>
              </a:graphicData>
            </a:graphic>
          </wp:inline>
        </w:drawing>
      </w:r>
    </w:p>
    <w:p w14:paraId="0F23069A" w14:textId="60533D74" w:rsidR="001477F6" w:rsidRDefault="00977267" w:rsidP="001477F6">
      <w:pPr>
        <w:spacing w:line="400" w:lineRule="exact"/>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1477F6">
        <w:rPr>
          <w:rFonts w:ascii="Times New Roman" w:hAnsi="Times New Roman" w:cs="Times New Roman"/>
          <w:b/>
        </w:rPr>
        <w:t>8</w:t>
      </w:r>
      <w:r w:rsidR="001477F6" w:rsidRPr="002F1512">
        <w:rPr>
          <w:rFonts w:ascii="Times New Roman" w:hAnsi="Times New Roman" w:cs="Times New Roman"/>
        </w:rPr>
        <w:t>: Analysis of PBMC8K dataset</w:t>
      </w:r>
      <w:r w:rsidR="001477F6">
        <w:rPr>
          <w:rFonts w:ascii="Times New Roman" w:hAnsi="Times New Roman" w:cs="Times New Roman"/>
        </w:rPr>
        <w:t xml:space="preserve">. </w:t>
      </w:r>
      <w:r w:rsidR="001477F6" w:rsidRPr="00C50941">
        <w:rPr>
          <w:rFonts w:ascii="Times New Roman" w:hAnsi="Times New Roman" w:cs="Times New Roman"/>
          <w:color w:val="000000"/>
          <w:szCs w:val="23"/>
        </w:rPr>
        <w:t xml:space="preserve">(a) t-SNE plot of cells identified by CB2 and ED. High-count barcodes </w:t>
      </w:r>
      <w:r w:rsidR="001477F6">
        <w:rPr>
          <w:rFonts w:ascii="Times New Roman" w:hAnsi="Times New Roman" w:cs="Times New Roman"/>
          <w:color w:val="000000"/>
          <w:szCs w:val="23"/>
        </w:rPr>
        <w:t xml:space="preserve">exceeding an upper threshold are </w:t>
      </w:r>
      <w:r w:rsidR="001477F6" w:rsidRPr="00C50941">
        <w:rPr>
          <w:rFonts w:ascii="Times New Roman" w:hAnsi="Times New Roman" w:cs="Times New Roman"/>
          <w:color w:val="000000"/>
          <w:szCs w:val="23"/>
        </w:rPr>
        <w:t xml:space="preserve">identified as real cells by both methods </w:t>
      </w:r>
      <w:r w:rsidR="001477F6">
        <w:rPr>
          <w:rFonts w:ascii="Times New Roman" w:hAnsi="Times New Roman" w:cs="Times New Roman"/>
          <w:color w:val="000000"/>
          <w:szCs w:val="23"/>
        </w:rPr>
        <w:t>without a statistical test (dark pink)</w:t>
      </w:r>
      <w:r w:rsidR="001477F6" w:rsidRPr="00C50941">
        <w:rPr>
          <w:rFonts w:ascii="Times New Roman" w:hAnsi="Times New Roman" w:cs="Times New Roman"/>
          <w:color w:val="000000"/>
          <w:szCs w:val="23"/>
        </w:rPr>
        <w:t xml:space="preserve">; barcodes identified as cells by both methods following statistical test are shown in </w:t>
      </w:r>
      <w:r w:rsidR="001477F6">
        <w:rPr>
          <w:rFonts w:ascii="Times New Roman" w:hAnsi="Times New Roman" w:cs="Times New Roman"/>
          <w:color w:val="000000"/>
          <w:szCs w:val="23"/>
        </w:rPr>
        <w:t>pink</w:t>
      </w:r>
      <w:r w:rsidR="001477F6" w:rsidRPr="00C50941">
        <w:rPr>
          <w:rFonts w:ascii="Times New Roman" w:hAnsi="Times New Roman" w:cs="Times New Roman"/>
          <w:color w:val="000000"/>
          <w:szCs w:val="23"/>
        </w:rPr>
        <w:t>. Cells identified uniquely by CB2 (</w:t>
      </w:r>
      <w:r w:rsidR="001477F6">
        <w:rPr>
          <w:rFonts w:ascii="Times New Roman" w:hAnsi="Times New Roman" w:cs="Times New Roman"/>
          <w:color w:val="000000"/>
          <w:szCs w:val="23"/>
        </w:rPr>
        <w:t>yellow</w:t>
      </w:r>
      <w:r w:rsidR="001477F6" w:rsidRPr="00C50941">
        <w:rPr>
          <w:rFonts w:ascii="Times New Roman" w:hAnsi="Times New Roman" w:cs="Times New Roman"/>
          <w:color w:val="000000"/>
          <w:szCs w:val="23"/>
        </w:rPr>
        <w:t>) and ED (bl</w:t>
      </w:r>
      <w:r w:rsidR="001477F6">
        <w:rPr>
          <w:rFonts w:ascii="Times New Roman" w:hAnsi="Times New Roman" w:cs="Times New Roman"/>
          <w:color w:val="000000"/>
          <w:szCs w:val="23"/>
        </w:rPr>
        <w:t>ack</w:t>
      </w:r>
      <w:r w:rsidR="001477F6" w:rsidRPr="00C50941">
        <w:rPr>
          <w:rFonts w:ascii="Times New Roman" w:hAnsi="Times New Roman" w:cs="Times New Roman"/>
          <w:color w:val="000000"/>
          <w:szCs w:val="23"/>
        </w:rPr>
        <w:t xml:space="preserve">) are also shown. </w:t>
      </w:r>
      <w:r w:rsidR="001477F6">
        <w:rPr>
          <w:rFonts w:ascii="Times" w:hAnsi="Times" w:cs="Helvetica"/>
          <w:color w:val="000000"/>
          <w:szCs w:val="23"/>
        </w:rPr>
        <w:t xml:space="preserve"> (b) </w:t>
      </w:r>
      <w:r w:rsidR="001477F6" w:rsidRPr="00C50941">
        <w:rPr>
          <w:rFonts w:ascii="Times New Roman" w:hAnsi="Times New Roman" w:cs="Times New Roman"/>
          <w:color w:val="000000"/>
          <w:szCs w:val="23"/>
        </w:rPr>
        <w:t xml:space="preserve">Distribution plots </w:t>
      </w:r>
      <w:r w:rsidR="001477F6" w:rsidRPr="00C50941">
        <w:rPr>
          <w:rFonts w:ascii="Times New Roman" w:hAnsi="Times New Roman" w:cs="Times New Roman"/>
        </w:rPr>
        <w:t>of the 100 genes having highest average expression in Subpop</w:t>
      </w:r>
      <w:r w:rsidR="00AD43FE">
        <w:rPr>
          <w:rFonts w:ascii="Times New Roman" w:hAnsi="Times New Roman" w:cs="Times New Roman"/>
        </w:rPr>
        <w:t>1</w:t>
      </w:r>
      <w:r w:rsidR="001477F6" w:rsidRPr="00C50941">
        <w:rPr>
          <w:rFonts w:ascii="Times New Roman" w:hAnsi="Times New Roman" w:cs="Times New Roman"/>
        </w:rPr>
        <w:t xml:space="preserve"> are shown for cells identified by both CB2 and ED (upper) and identified uniquely by CB2 (middle). The estimated background distribution is also shown (lower).  Cells uniquely identified by CB2 in Subpop</w:t>
      </w:r>
      <w:r w:rsidR="00AD43FE">
        <w:rPr>
          <w:rFonts w:ascii="Times New Roman" w:hAnsi="Times New Roman" w:cs="Times New Roman"/>
        </w:rPr>
        <w:t>1</w:t>
      </w:r>
      <w:r w:rsidR="001477F6" w:rsidRPr="00C50941">
        <w:rPr>
          <w:rFonts w:ascii="Times New Roman" w:hAnsi="Times New Roman" w:cs="Times New Roman"/>
        </w:rPr>
        <w:t xml:space="preserve"> have a distribution similar to other Subpop</w:t>
      </w:r>
      <w:r w:rsidR="00AD43FE">
        <w:rPr>
          <w:rFonts w:ascii="Times New Roman" w:hAnsi="Times New Roman" w:cs="Times New Roman"/>
        </w:rPr>
        <w:t>1</w:t>
      </w:r>
      <w:r w:rsidR="001477F6" w:rsidRPr="00C50941">
        <w:rPr>
          <w:rFonts w:ascii="Times New Roman" w:hAnsi="Times New Roman" w:cs="Times New Roman"/>
        </w:rPr>
        <w:t xml:space="preserve"> cells and differ from the background. </w:t>
      </w:r>
      <w:r w:rsidR="001477F6">
        <w:rPr>
          <w:rFonts w:ascii="Times New Roman" w:hAnsi="Times New Roman" w:cs="Times New Roman"/>
        </w:rPr>
        <w:t xml:space="preserve"> (c) </w:t>
      </w:r>
      <w:r w:rsidR="001477F6" w:rsidRPr="00C50941">
        <w:rPr>
          <w:rFonts w:ascii="Times New Roman" w:hAnsi="Times New Roman" w:cs="Times New Roman"/>
        </w:rPr>
        <w:t xml:space="preserve">Heatmap of log transformed raw UMI counts for the same 100 genes for barcodes identified by CB2 and ED (left) and barcodes uniquely identified by CB2 (right). (d) t-SNE plots of cells colored by </w:t>
      </w:r>
      <w:r w:rsidR="001477F6">
        <w:rPr>
          <w:rFonts w:ascii="Times New Roman" w:hAnsi="Times New Roman" w:cs="Times New Roman"/>
        </w:rPr>
        <w:t xml:space="preserve">known marker genes for B-cells (CD79A, CD19), CD14+ Monocytes (CD14), and </w:t>
      </w:r>
      <w:r w:rsidR="001477F6" w:rsidRPr="00CE5E5E">
        <w:rPr>
          <w:rFonts w:ascii="Courier New" w:hAnsi="Courier New" w:cs="Courier New"/>
        </w:rPr>
        <w:t>﻿</w:t>
      </w:r>
      <w:r w:rsidR="001477F6" w:rsidRPr="00CE5E5E">
        <w:rPr>
          <w:rFonts w:ascii="Times New Roman" w:hAnsi="Times New Roman" w:cs="Times New Roman"/>
        </w:rPr>
        <w:t>Megakaryocytes</w:t>
      </w:r>
      <w:r w:rsidR="001477F6">
        <w:rPr>
          <w:rFonts w:ascii="Times New Roman" w:hAnsi="Times New Roman" w:cs="Times New Roman"/>
        </w:rPr>
        <w:t xml:space="preserve"> (PF4)</w:t>
      </w:r>
      <w:r w:rsidR="001477F6">
        <w:rPr>
          <w:rFonts w:ascii="Times New Roman" w:hAnsi="Times New Roman" w:cs="Times New Roman"/>
        </w:rPr>
        <w:fldChar w:fldCharType="begin" w:fldLock="1"/>
      </w:r>
      <w:r w:rsidR="001477F6">
        <w:rPr>
          <w:rFonts w:ascii="Times New Roman" w:hAnsi="Times New Roman" w:cs="Times New Roman"/>
        </w:rPr>
        <w:instrText>ADDIN CSL_CITATION {"citationItems":[{"id":"ITEM-1","itemData":{"DOI":"10.1038/ncomms14049","ISSN":"2041-1723","abstract":"Single-cell gene expression analysis is challenging. This work describes a new droplet-based single cell RNA-seq platform capable of processing tens of thousands of cells across 8 independent samples in minutes, and demonstrates cellular subtypes and host–donor chimerism in transplant patients.","author":[{"dropping-particle":"","family":"Zheng","given":"Grace X. Y.","non-dropping-particle":"","parse-names":false,"suffix":""},{"dropping-particle":"","family":"Terry","given":"Jessica M.","non-dropping-particle":"","parse-names":false,"suffix":""},{"dropping-particle":"","family":"Belgrader","given":"Phillip","non-dropping-particle":"","parse-names":false,"suffix":""},{"dropping-particle":"","family":"Ryvkin","given":"Paul","non-dropping-particle":"","parse-names":false,"suffix":""},{"dropping-particle":"","family":"Bent","given":"Zachary W.","non-dropping-particle":"","parse-names":false,"suffix":""},{"dropping-particle":"","family":"Wilson","given":"Ryan","non-dropping-particle":"","parse-names":false,"suffix":""},{"dropping-particle":"","family":"Ziraldo","given":"Solongo B.","non-dropping-particle":"","parse-names":false,"suffix":""},{"dropping-particle":"","family":"Wheeler","given":"Tobias D.","non-dropping-particle":"","parse-names":false,"suffix":""},{"dropping-particle":"","family":"McDermott","given":"Geoff P.","non-dropping-particle":"","parse-names":false,"suffix":""},{"dropping-particle":"","family":"Zhu","given":"Junjie","non-dropping-particle":"","parse-names":false,"suffix":""},{"dropping-particle":"","family":"Gregory","given":"Mark T.","non-dropping-particle":"","parse-names":false,"suffix":""},{"dropping-particle":"","family":"Shuga","given":"Joe","non-dropping-particle":"","parse-names":false,"suffix":""},{"dropping-particle":"","family":"Montesclaros","given":"Luz","non-dropping-particle":"","parse-names":false,"suffix":""},{"dropping-particle":"","family":"Underwood","given":"Jason G.","non-dropping-particle":"","parse-names":false,"suffix":""},{"dropping-particle":"","family":"Masquelier","given":"Donald A.","non-dropping-particle":"","parse-names":false,"suffix":""},{"dropping-particle":"","family":"Nishimura","given":"Stefanie Y.","non-dropping-particle":"","parse-names":false,"suffix":""},{"dropping-particle":"","family":"Schnall-Levin","given":"Michael","non-dropping-particle":"","parse-names":false,"suffix":""},{"dropping-particle":"","family":"Wyatt","given":"Paul W.","non-dropping-particle":"","parse-names":false,"suffix":""},{"dropping-particle":"","family":"Hindson","given":"Christopher M.","non-dropping-particle":"","parse-names":false,"suffix":""},{"dropping-particle":"","family":"Bharadwaj","given":"Rajiv","non-dropping-particle":"","parse-names":false,"suffix":""},{"dropping-particle":"","family":"Wong","given":"Alexander","non-dropping-particle":"","parse-names":false,"suffix":""},{"dropping-particle":"","family":"Ness","given":"Kevin D.","non-dropping-particle":"","parse-names":false,"suffix":""},{"dropping-particle":"","family":"Beppu","given":"Lan W.","non-dropping-particle":"","parse-names":false,"suffix":""},{"dropping-particle":"","family":"Deeg","given":"H. Joachim","non-dropping-particle":"","parse-names":false,"suffix":""},{"dropping-particle":"","family":"McFarland","given":"Christopher","non-dropping-particle":"","parse-names":false,"suffix":""},{"dropping-particle":"","family":"Loeb","given":"Keith R.","non-dropping-particle":"","parse-names":false,"suffix":""},{"dropping-particle":"","family":"Valente","given":"William J.","non-dropping-particle":"","parse-names":false,"suffix":""},{"dropping-particle":"","family":"Ericson","given":"Nolan G.","non-dropping-particle":"","parse-names":false,"suffix":""},{"dropping-particle":"","family":"Stevens","given":"Emily A.","non-dropping-particle":"","parse-names":false,"suffix":""},{"dropping-particle":"","family":"Radich","given":"Jerald P.","non-dropping-particle":"","parse-names":false,"suffix":""},{"dropping-particle":"","family":"Mikkelsen","given":"Tarjei S.","non-dropping-particle":"","parse-names":false,"suffix":""},{"dropping-particle":"","family":"Hindson","given":"Benjamin J.","non-dropping-particle":"","parse-names":false,"suffix":""},{"dropping-particle":"","family":"Bielas","given":"Jason H.","non-dropping-particle":"","parse-names":false,"suffix":""}],"container-title":"Nature Communications","id":"ITEM-1","issued":{"date-parts":[["2017","1","16"]]},"page":"14049","publisher":"Nature Publishing Group","title":"Massively parallel digital transcriptional profiling of single cells","type":"article-journal","volume":"8"},"uris":["http://www.mendeley.com/documents/?uuid=e1f49fe7-d5f5-33f6-bf38-a73ed155d7d6"]}],"mendeley":{"formattedCitation":"[1]","plainTextFormattedCitation":"[1]","previouslyFormattedCitation":"[1]"},"properties":{"noteIndex":0},"schema":"https://github.com/citation-style-language/schema/raw/master/csl-citation.json"}</w:instrText>
      </w:r>
      <w:r w:rsidR="001477F6">
        <w:rPr>
          <w:rFonts w:ascii="Times New Roman" w:hAnsi="Times New Roman" w:cs="Times New Roman"/>
        </w:rPr>
        <w:fldChar w:fldCharType="separate"/>
      </w:r>
      <w:r w:rsidR="001477F6" w:rsidRPr="0027488E">
        <w:rPr>
          <w:rFonts w:ascii="Times New Roman" w:hAnsi="Times New Roman" w:cs="Times New Roman"/>
          <w:noProof/>
        </w:rPr>
        <w:t>[1]</w:t>
      </w:r>
      <w:r w:rsidR="001477F6">
        <w:rPr>
          <w:rFonts w:ascii="Times New Roman" w:hAnsi="Times New Roman" w:cs="Times New Roman"/>
        </w:rPr>
        <w:fldChar w:fldCharType="end"/>
      </w:r>
      <w:r w:rsidR="001477F6" w:rsidRPr="00C50941">
        <w:rPr>
          <w:rFonts w:ascii="Times New Roman" w:hAnsi="Times New Roman" w:cs="Times New Roman"/>
        </w:rPr>
        <w:t>.</w:t>
      </w:r>
    </w:p>
    <w:p w14:paraId="13DBF56B" w14:textId="77777777" w:rsidR="001477F6" w:rsidRDefault="001477F6">
      <w:pPr>
        <w:rPr>
          <w:rFonts w:ascii="Times New Roman" w:hAnsi="Times New Roman" w:cs="Times New Roman"/>
        </w:rPr>
      </w:pPr>
    </w:p>
    <w:p w14:paraId="31D8B1D2" w14:textId="77777777" w:rsidR="009E6DA3" w:rsidRPr="009407D1" w:rsidRDefault="009E6DA3" w:rsidP="009407D1">
      <w:pPr>
        <w:spacing w:line="400" w:lineRule="exact"/>
        <w:rPr>
          <w:rFonts w:ascii="Times New Roman" w:hAnsi="Times New Roman" w:cs="Times New Roman"/>
          <w:color w:val="000000"/>
          <w:szCs w:val="23"/>
        </w:rPr>
      </w:pPr>
    </w:p>
    <w:p w14:paraId="19901F48" w14:textId="32741528" w:rsidR="009E6DA3" w:rsidRPr="002F1512" w:rsidRDefault="00AB6144" w:rsidP="00355F3D">
      <w:pPr>
        <w:spacing w:line="480" w:lineRule="auto"/>
        <w:rPr>
          <w:rFonts w:ascii="Times New Roman" w:hAnsi="Times New Roman" w:cs="Times New Roman"/>
        </w:rPr>
      </w:pPr>
      <w:r w:rsidRPr="00AB6144">
        <w:rPr>
          <w:rFonts w:ascii="Times New Roman" w:hAnsi="Times New Roman" w:cs="Times New Roman"/>
          <w:noProof/>
        </w:rPr>
        <w:lastRenderedPageBreak/>
        <w:drawing>
          <wp:inline distT="0" distB="0" distL="0" distR="0" wp14:anchorId="359E0446" wp14:editId="1351569A">
            <wp:extent cx="4939823" cy="4250042"/>
            <wp:effectExtent l="0" t="0" r="63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48550" cy="4257550"/>
                    </a:xfrm>
                    <a:prstGeom prst="rect">
                      <a:avLst/>
                    </a:prstGeom>
                  </pic:spPr>
                </pic:pic>
              </a:graphicData>
            </a:graphic>
          </wp:inline>
        </w:drawing>
      </w:r>
    </w:p>
    <w:p w14:paraId="62F12536" w14:textId="0BF76FFA" w:rsidR="007B0D73" w:rsidRPr="002F1512" w:rsidRDefault="00977267" w:rsidP="009407D1">
      <w:pPr>
        <w:spacing w:line="420" w:lineRule="exact"/>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4C0501">
        <w:rPr>
          <w:rFonts w:ascii="Times New Roman" w:hAnsi="Times New Roman" w:cs="Times New Roman"/>
          <w:b/>
        </w:rPr>
        <w:t>9</w:t>
      </w:r>
      <w:r w:rsidR="009E6DA3" w:rsidRPr="002F1512">
        <w:rPr>
          <w:rFonts w:ascii="Times New Roman" w:hAnsi="Times New Roman" w:cs="Times New Roman"/>
        </w:rPr>
        <w:t>: Analysis of mbrain1K</w:t>
      </w:r>
      <w:r w:rsidR="005C1ECC">
        <w:rPr>
          <w:rFonts w:ascii="Times New Roman" w:hAnsi="Times New Roman" w:cs="Times New Roman"/>
        </w:rPr>
        <w:t xml:space="preserve"> dataset</w:t>
      </w:r>
      <w:r w:rsidR="009E6DA3" w:rsidRPr="002F1512">
        <w:rPr>
          <w:rFonts w:ascii="Times New Roman" w:hAnsi="Times New Roman" w:cs="Times New Roman"/>
        </w:rPr>
        <w:t>.</w:t>
      </w:r>
      <w:r w:rsidR="009E6DA3">
        <w:rPr>
          <w:rFonts w:ascii="Times New Roman" w:hAnsi="Times New Roman" w:cs="Times New Roman"/>
        </w:rPr>
        <w:t xml:space="preserve"> </w:t>
      </w:r>
      <w:r w:rsidR="00934686">
        <w:rPr>
          <w:rFonts w:ascii="Times New Roman" w:hAnsi="Times New Roman" w:cs="Times New Roman"/>
        </w:rPr>
        <w:t>(</w:t>
      </w:r>
      <w:r w:rsidR="00934686" w:rsidRPr="00C50941">
        <w:rPr>
          <w:rFonts w:ascii="Times New Roman" w:hAnsi="Times New Roman" w:cs="Times New Roman"/>
          <w:color w:val="000000"/>
          <w:szCs w:val="23"/>
        </w:rPr>
        <w:t xml:space="preserve">a) t-SNE plot of cells identified by CB2 and ED. High-count barcodes </w:t>
      </w:r>
      <w:r w:rsidR="00934686">
        <w:rPr>
          <w:rFonts w:ascii="Times New Roman" w:hAnsi="Times New Roman" w:cs="Times New Roman"/>
          <w:color w:val="000000"/>
          <w:szCs w:val="23"/>
        </w:rPr>
        <w:t xml:space="preserve">exceeding an upper threshold are </w:t>
      </w:r>
      <w:r w:rsidR="00934686" w:rsidRPr="00C50941">
        <w:rPr>
          <w:rFonts w:ascii="Times New Roman" w:hAnsi="Times New Roman" w:cs="Times New Roman"/>
          <w:color w:val="000000"/>
          <w:szCs w:val="23"/>
        </w:rPr>
        <w:t xml:space="preserve">identified as real cells by both methods </w:t>
      </w:r>
      <w:r w:rsidR="00934686">
        <w:rPr>
          <w:rFonts w:ascii="Times New Roman" w:hAnsi="Times New Roman" w:cs="Times New Roman"/>
          <w:color w:val="000000"/>
          <w:szCs w:val="23"/>
        </w:rPr>
        <w:t>without a statistical test (dark pink)</w:t>
      </w:r>
      <w:r w:rsidR="00934686" w:rsidRPr="00C50941">
        <w:rPr>
          <w:rFonts w:ascii="Times New Roman" w:hAnsi="Times New Roman" w:cs="Times New Roman"/>
          <w:color w:val="000000"/>
          <w:szCs w:val="23"/>
        </w:rPr>
        <w:t xml:space="preserve">; barcodes identified as cells by both methods following statistical test are shown in </w:t>
      </w:r>
      <w:r w:rsidR="00934686">
        <w:rPr>
          <w:rFonts w:ascii="Times New Roman" w:hAnsi="Times New Roman" w:cs="Times New Roman"/>
          <w:color w:val="000000"/>
          <w:szCs w:val="23"/>
        </w:rPr>
        <w:t>pink</w:t>
      </w:r>
      <w:r w:rsidR="00934686" w:rsidRPr="00C50941">
        <w:rPr>
          <w:rFonts w:ascii="Times New Roman" w:hAnsi="Times New Roman" w:cs="Times New Roman"/>
          <w:color w:val="000000"/>
          <w:szCs w:val="23"/>
        </w:rPr>
        <w:t>. Cells identified uniquely by CB2 (</w:t>
      </w:r>
      <w:r w:rsidR="00934686">
        <w:rPr>
          <w:rFonts w:ascii="Times New Roman" w:hAnsi="Times New Roman" w:cs="Times New Roman"/>
          <w:color w:val="000000"/>
          <w:szCs w:val="23"/>
        </w:rPr>
        <w:t>yellow</w:t>
      </w:r>
      <w:r w:rsidR="00934686" w:rsidRPr="00C50941">
        <w:rPr>
          <w:rFonts w:ascii="Times New Roman" w:hAnsi="Times New Roman" w:cs="Times New Roman"/>
          <w:color w:val="000000"/>
          <w:szCs w:val="23"/>
        </w:rPr>
        <w:t>) and ED (bl</w:t>
      </w:r>
      <w:r w:rsidR="00934686">
        <w:rPr>
          <w:rFonts w:ascii="Times New Roman" w:hAnsi="Times New Roman" w:cs="Times New Roman"/>
          <w:color w:val="000000"/>
          <w:szCs w:val="23"/>
        </w:rPr>
        <w:t>ack</w:t>
      </w:r>
      <w:r w:rsidR="00934686" w:rsidRPr="00C50941">
        <w:rPr>
          <w:rFonts w:ascii="Times New Roman" w:hAnsi="Times New Roman" w:cs="Times New Roman"/>
          <w:color w:val="000000"/>
          <w:szCs w:val="23"/>
        </w:rPr>
        <w:t xml:space="preserve">) are also shown. </w:t>
      </w:r>
      <w:r w:rsidR="00934686">
        <w:rPr>
          <w:rFonts w:ascii="Times" w:hAnsi="Times" w:cs="Helvetica"/>
          <w:color w:val="000000"/>
          <w:szCs w:val="23"/>
        </w:rPr>
        <w:t xml:space="preserve"> (b) </w:t>
      </w:r>
      <w:r w:rsidR="00934686" w:rsidRPr="00C50941">
        <w:rPr>
          <w:rFonts w:ascii="Times New Roman" w:hAnsi="Times New Roman" w:cs="Times New Roman"/>
          <w:color w:val="000000"/>
          <w:szCs w:val="23"/>
        </w:rPr>
        <w:t xml:space="preserve">Distribution plots </w:t>
      </w:r>
      <w:r w:rsidR="00934686" w:rsidRPr="00C50941">
        <w:rPr>
          <w:rFonts w:ascii="Times New Roman" w:hAnsi="Times New Roman" w:cs="Times New Roman"/>
        </w:rPr>
        <w:t>of the 100 genes having highest average expression in Subpop</w:t>
      </w:r>
      <w:r w:rsidR="00934686">
        <w:rPr>
          <w:rFonts w:ascii="Times New Roman" w:hAnsi="Times New Roman" w:cs="Times New Roman"/>
        </w:rPr>
        <w:t>1</w:t>
      </w:r>
      <w:r w:rsidR="00934686" w:rsidRPr="00C50941">
        <w:rPr>
          <w:rFonts w:ascii="Times New Roman" w:hAnsi="Times New Roman" w:cs="Times New Roman"/>
        </w:rPr>
        <w:t xml:space="preserve"> are shown for cells identified by both CB2 and ED (upper) and identified uniquely by CB2 (middle). The estimated background distribution is also shown (lower).  Cells uniquely identified by CB2 in Subpop</w:t>
      </w:r>
      <w:r w:rsidR="00934686">
        <w:rPr>
          <w:rFonts w:ascii="Times New Roman" w:hAnsi="Times New Roman" w:cs="Times New Roman"/>
        </w:rPr>
        <w:t>1</w:t>
      </w:r>
      <w:r w:rsidR="00934686" w:rsidRPr="00C50941">
        <w:rPr>
          <w:rFonts w:ascii="Times New Roman" w:hAnsi="Times New Roman" w:cs="Times New Roman"/>
        </w:rPr>
        <w:t xml:space="preserve"> have a distribution similar to other Subpop</w:t>
      </w:r>
      <w:r w:rsidR="00934686">
        <w:rPr>
          <w:rFonts w:ascii="Times New Roman" w:hAnsi="Times New Roman" w:cs="Times New Roman"/>
        </w:rPr>
        <w:t>1</w:t>
      </w:r>
      <w:r w:rsidR="00934686" w:rsidRPr="00C50941">
        <w:rPr>
          <w:rFonts w:ascii="Times New Roman" w:hAnsi="Times New Roman" w:cs="Times New Roman"/>
        </w:rPr>
        <w:t xml:space="preserve"> cells and differ from the background. </w:t>
      </w:r>
      <w:r w:rsidR="00934686">
        <w:rPr>
          <w:rFonts w:ascii="Times New Roman" w:hAnsi="Times New Roman" w:cs="Times New Roman"/>
        </w:rPr>
        <w:t xml:space="preserve"> (c) </w:t>
      </w:r>
      <w:r w:rsidR="00934686" w:rsidRPr="00C50941">
        <w:rPr>
          <w:rFonts w:ascii="Times New Roman" w:hAnsi="Times New Roman" w:cs="Times New Roman"/>
        </w:rPr>
        <w:t xml:space="preserve">Heatmap of log transformed raw UMI counts for the same 100 genes for barcodes identified by CB2 and ED (left) and barcodes uniquely identified by CB2 (right). (d) t-SNE plots of cells colored by </w:t>
      </w:r>
      <w:r w:rsidR="00934686">
        <w:rPr>
          <w:rFonts w:ascii="Times New Roman" w:hAnsi="Times New Roman" w:cs="Times New Roman"/>
        </w:rPr>
        <w:t>e</w:t>
      </w:r>
      <w:r w:rsidR="009E6DA3">
        <w:rPr>
          <w:rFonts w:ascii="Times New Roman" w:hAnsi="Times New Roman" w:cs="Times New Roman"/>
        </w:rPr>
        <w:t xml:space="preserve">xpression of hemoglobin-related marker genes (Hba-a1, Hba-a2, </w:t>
      </w:r>
      <w:proofErr w:type="spellStart"/>
      <w:r w:rsidR="009E6DA3">
        <w:rPr>
          <w:rFonts w:ascii="Times New Roman" w:hAnsi="Times New Roman" w:cs="Times New Roman"/>
        </w:rPr>
        <w:t>Hbb</w:t>
      </w:r>
      <w:proofErr w:type="spellEnd"/>
      <w:r w:rsidR="009E6DA3">
        <w:rPr>
          <w:rFonts w:ascii="Times New Roman" w:hAnsi="Times New Roman" w:cs="Times New Roman"/>
        </w:rPr>
        <w:t xml:space="preserve">-bs, </w:t>
      </w:r>
      <w:proofErr w:type="spellStart"/>
      <w:r w:rsidR="009E6DA3">
        <w:rPr>
          <w:rFonts w:ascii="Times New Roman" w:hAnsi="Times New Roman" w:cs="Times New Roman"/>
        </w:rPr>
        <w:t>Hbb-bt</w:t>
      </w:r>
      <w:proofErr w:type="spellEnd"/>
      <w:r w:rsidR="009E6DA3">
        <w:rPr>
          <w:rFonts w:ascii="Times New Roman" w:hAnsi="Times New Roman" w:cs="Times New Roman"/>
        </w:rPr>
        <w:t xml:space="preserve">). (b)-(d) indicate </w:t>
      </w:r>
      <w:r w:rsidR="004E3481">
        <w:rPr>
          <w:rFonts w:ascii="Times New Roman" w:hAnsi="Times New Roman" w:cs="Times New Roman"/>
        </w:rPr>
        <w:t xml:space="preserve">that </w:t>
      </w:r>
      <w:r w:rsidR="009E6DA3">
        <w:rPr>
          <w:rFonts w:ascii="Times New Roman" w:hAnsi="Times New Roman" w:cs="Times New Roman"/>
        </w:rPr>
        <w:t xml:space="preserve">CB2 </w:t>
      </w:r>
      <w:r w:rsidR="004E3481">
        <w:rPr>
          <w:rFonts w:ascii="Times New Roman" w:hAnsi="Times New Roman" w:cs="Times New Roman"/>
        </w:rPr>
        <w:t>reveals a</w:t>
      </w:r>
      <w:r w:rsidR="009E6DA3">
        <w:rPr>
          <w:rFonts w:ascii="Times New Roman" w:hAnsi="Times New Roman" w:cs="Times New Roman"/>
        </w:rPr>
        <w:t xml:space="preserve"> novel subpopulation of cells </w:t>
      </w:r>
      <w:r w:rsidR="004E3481">
        <w:rPr>
          <w:rFonts w:ascii="Times New Roman" w:hAnsi="Times New Roman" w:cs="Times New Roman"/>
        </w:rPr>
        <w:t>with expression patterns consistent with high stress and neurogenerative disorders in both human</w:t>
      </w:r>
      <w:r w:rsidR="002303D2">
        <w:rPr>
          <w:rFonts w:ascii="Times New Roman" w:hAnsi="Times New Roman" w:cs="Times New Roman"/>
        </w:rPr>
        <w:fldChar w:fldCharType="begin" w:fldLock="1"/>
      </w:r>
      <w:r w:rsidR="00FD34E0">
        <w:rPr>
          <w:rFonts w:ascii="Times New Roman" w:hAnsi="Times New Roman" w:cs="Times New Roman"/>
        </w:rPr>
        <w:instrText>ADDIN CSL_CITATION {"citationItems":[{"id":"ITEM-1","itemData":{"DOI":"10.3389/fnins.2018.00008","ISSN":"1662453X","abstract":"Background: Hemoglobin is the major protein found in erythrocytes, where it acts as an oxygen carrier molecule. In recent years, its expression has been reported also in neurons and glial cells, although its role in brain tissue remains still unknown. Altered hemoglobin expression has been associated with various neurodegenerative disorders. Here, we investigated hemoglobin mRNA levels in brains of patients affected by variant, iatrogenic, and sporadic forms of Creutzfeldt-Jakob disease (vCJD, iCJD, sCJD, respectively) and in different genetic forms of prion diseases (gPrD) in comparison to Alzheimer's disease (AD) subjects and age-matched controls. Methods: Total RNA was obtained from the frontal cortex of vCJD (n = 20), iCJD (n = 11), sCJD (n = 23), gPrD (n = 30), and AD (n = 14) patients and age-matched controls (n = 30). RT-qPCR was performed for hemoglobin transcripts HBB and HBA1/2 using four reference genes for normalization. In addition, expression analysis of the specific erythrocyte marker ALAS2 was performed in order to account for blood contamination of the tissue samples. Hba1/2 and Hbb protein expression was then investigated with immunofluorescence and confocal microscope analysis. Results: We observed a significant up-regulation of HBA1/2 in vCJD brains together with a significant down-regulation of HBB in iCJD. In addition, while in sporadic and genetic forms of prion disease hemoglobin transcripts did not shown any alterations, both chains display a strong down-regulation in AD brains. These results were confirmed also at a protein level. Conclusions: These data indicate distinct hemoglobin transcriptional responses depending on the specific alterations occurring in different neurodegenerative diseases. In particular, the initial site of misfolding event (central nervous system vs. peripheral tissue)-together with specific molecular and conformational features of the pathological agent of the disease-seem to dictate the peculiar hemoglobin dysregulation found in prion and non-prion neurodegenerative disorders. In addition, these results suggest that gene expression of HBB and HBA1/2 in brain tissue is differentially affected by distinct prion and prion-like aggregating protein strains. Validation of these results in more accessible tissues could prompt the development of novel diagnostic tests for neurodegenerative disorders.","author":[{"dropping-particle":"","family":"Vanni","given":"Silvia","non-dropping-particle":"","parse-names":false,"suffix":""},{"dropping-particle":"","family":"Zattoni","given":"Marco","non-dropping-particle":"","parse-names":false,"suffix":""},{"dropping-particle":"","family":"Moda","given":"Fabio","non-dropping-particle":"","parse-names":false,"suffix":""},{"dropping-particle":"","family":"Giaccone","given":"Giorgio","non-dropping-particle":"","parse-names":false,"suffix":""},{"dropping-particle":"","family":"Tagliavini","given":"Fabrizio","non-dropping-particle":"","parse-names":false,"suffix":""},{"dropping-particle":"","family":"Haïk","given":"Stéphane","non-dropping-particle":"","parse-names":false,"suffix":""},{"dropping-particle":"","family":"Deslys","given":"Jean Philippe","non-dropping-particle":"","parse-names":false,"suffix":""},{"dropping-particle":"","family":"Zanusso","given":"Gianluigi","non-dropping-particle":"","parse-names":false,"suffix":""},{"dropping-particle":"","family":"Ironside","given":"James W.","non-dropping-particle":"","parse-names":false,"suffix":""},{"dropping-particle":"","family":"Carmona","given":"Margarita","non-dropping-particle":"","parse-names":false,"suffix":""},{"dropping-particle":"","family":"Ferrer","given":"Isidre","non-dropping-particle":"","parse-names":false,"suffix":""},{"dropping-particle":"","family":"Kovacs","given":"Gabor G.","non-dropping-particle":"","parse-names":false,"suffix":""},{"dropping-particle":"","family":"Legname","given":"Giuseppe","non-dropping-particle":"","parse-names":false,"suffix":""}],"container-title":"Frontiers in Neuroscience","id":"ITEM-1","issue":"JAN","issued":{"date-parts":[["2018","1","22"]]},"publisher":"Frontiers Media S.A.","title":"Hemoglobin mRNA changes in the frontal cortex of patients with neurodegenerative diseases","type":"article-journal","volume":"12"},"uris":["http://www.mendeley.com/documents/?uuid=9345908c-3ecf-3ff3-8dab-ea0060bb511f"]}],"mendeley":{"formattedCitation":"[5]","plainTextFormattedCitation":"[5]","previouslyFormattedCitation":"[5]"},"properties":{"noteIndex":0},"schema":"https://github.com/citation-style-language/schema/raw/master/csl-citation.json"}</w:instrText>
      </w:r>
      <w:r w:rsidR="002303D2">
        <w:rPr>
          <w:rFonts w:ascii="Times New Roman" w:hAnsi="Times New Roman" w:cs="Times New Roman"/>
        </w:rPr>
        <w:fldChar w:fldCharType="separate"/>
      </w:r>
      <w:r w:rsidR="0027488E" w:rsidRPr="0027488E">
        <w:rPr>
          <w:rFonts w:ascii="Times New Roman" w:hAnsi="Times New Roman" w:cs="Times New Roman"/>
          <w:noProof/>
        </w:rPr>
        <w:t>[5]</w:t>
      </w:r>
      <w:r w:rsidR="002303D2">
        <w:rPr>
          <w:rFonts w:ascii="Times New Roman" w:hAnsi="Times New Roman" w:cs="Times New Roman"/>
        </w:rPr>
        <w:fldChar w:fldCharType="end"/>
      </w:r>
      <w:r w:rsidR="004E3481">
        <w:rPr>
          <w:rFonts w:ascii="Times New Roman" w:hAnsi="Times New Roman" w:cs="Times New Roman"/>
        </w:rPr>
        <w:t xml:space="preserve"> and mouse</w:t>
      </w:r>
      <w:r w:rsidR="00DA3FDF">
        <w:rPr>
          <w:rFonts w:ascii="Times New Roman" w:hAnsi="Times New Roman" w:cs="Times New Roman"/>
        </w:rPr>
        <w:fldChar w:fldCharType="begin" w:fldLock="1"/>
      </w:r>
      <w:r w:rsidR="00FD34E0">
        <w:rPr>
          <w:rFonts w:ascii="Times New Roman" w:hAnsi="Times New Roman" w:cs="Times New Roman"/>
        </w:rPr>
        <w:instrText>ADDIN CSL_CITATION {"citationItems":[{"id":"ITEM-1","itemData":{"DOI":"10.1186/s12868-014-0130-6","ISSN":"14712202","abstract":"Background: In order to better understand the effects of social stress on the prefrontal cortex, we investigated gene expression in mice subjected to acute and repeated social encounters of different duration using microarrays. Results: The most important finding was identification of hemoglobin genes (Hbb-b1, Hbb-b2, Hba-a1, Hba-a2, Beta-S) as potential markers of chronic social stress in mice. Expression of these genes was progressively increased in animals subjected to 8 and 13 days of repeated stress and was correlated with altered expression of Mgp (Mglap), Fbln1, 1500015O10Rik (Ecrg4), SLC16A10, and Mndal. Chronic stress increased also expression of Timp1 and Ppbp that are involved in reaction to vascular injury. Acute stress did not affect expression of hemoglobin genes but it altered expression of Fam107a (Drr1) and Agxt2l1 (Etnppl) that have been implicated in psychiatric diseases. Conclusions: The observed up-regulation of genes associated with vascular system and brain injury suggests that stressful social encounters may affect brain function through the stress-induced dysfunction of the vascular system.","author":[{"dropping-particle":"","family":"Stankiewicz","given":"Adrian M.","non-dropping-particle":"","parse-names":false,"suffix":""},{"dropping-particle":"","family":"Goscik","given":"Joanna","non-dropping-particle":"","parse-names":false,"suffix":""},{"dropping-particle":"","family":"Swiergiel","given":"Artur H.","non-dropping-particle":"","parse-names":false,"suffix":""},{"dropping-particle":"","family":"Majewska","given":"Alicja","non-dropping-particle":"","parse-names":false,"suffix":""},{"dropping-particle":"","family":"Wieczorek","given":"Marek","non-dropping-particle":"","parse-names":false,"suffix":""},{"dropping-particle":"","family":"Juszczak","given":"Grzegorz R.","non-dropping-particle":"","parse-names":false,"suffix":""},{"dropping-particle":"","family":"Lisowski","given":"Paweł","non-dropping-particle":"","parse-names":false,"suffix":""}],"container-title":"BMC Neuroscience","id":"ITEM-1","issue":"1","issued":{"date-parts":[["2014","12","4"]]},"publisher":"BioMed Central Ltd.","title":"Social stress increases expression of hemoglobin genes in mouse prefrontal cortex","type":"article-journal","volume":"15"},"uris":["http://www.mendeley.com/documents/?uuid=bd961731-de8f-3b81-81da-5b5dee813ce0"]}],"mendeley":{"formattedCitation":"[6]","plainTextFormattedCitation":"[6]","previouslyFormattedCitation":"[6]"},"properties":{"noteIndex":0},"schema":"https://github.com/citation-style-language/schema/raw/master/csl-citation.json"}</w:instrText>
      </w:r>
      <w:r w:rsidR="00DA3FDF">
        <w:rPr>
          <w:rFonts w:ascii="Times New Roman" w:hAnsi="Times New Roman" w:cs="Times New Roman"/>
        </w:rPr>
        <w:fldChar w:fldCharType="separate"/>
      </w:r>
      <w:r w:rsidR="0027488E" w:rsidRPr="0027488E">
        <w:rPr>
          <w:rFonts w:ascii="Times New Roman" w:hAnsi="Times New Roman" w:cs="Times New Roman"/>
          <w:noProof/>
        </w:rPr>
        <w:t>[6]</w:t>
      </w:r>
      <w:r w:rsidR="00DA3FDF">
        <w:rPr>
          <w:rFonts w:ascii="Times New Roman" w:hAnsi="Times New Roman" w:cs="Times New Roman"/>
        </w:rPr>
        <w:fldChar w:fldCharType="end"/>
      </w:r>
      <w:r w:rsidR="004E3481">
        <w:rPr>
          <w:rFonts w:ascii="Times New Roman" w:hAnsi="Times New Roman" w:cs="Times New Roman"/>
        </w:rPr>
        <w:t xml:space="preserve"> brain studies.</w:t>
      </w:r>
    </w:p>
    <w:p w14:paraId="14343411" w14:textId="483C2A47" w:rsidR="007B0D73" w:rsidRDefault="00AB6144" w:rsidP="00355F3D">
      <w:pPr>
        <w:spacing w:line="480" w:lineRule="auto"/>
        <w:rPr>
          <w:rFonts w:ascii="Times New Roman" w:hAnsi="Times New Roman" w:cs="Times New Roman"/>
          <w:b/>
        </w:rPr>
      </w:pPr>
      <w:r w:rsidRPr="00AB6144">
        <w:rPr>
          <w:rFonts w:ascii="Times New Roman" w:hAnsi="Times New Roman" w:cs="Times New Roman"/>
          <w:b/>
          <w:noProof/>
        </w:rPr>
        <w:lastRenderedPageBreak/>
        <w:drawing>
          <wp:inline distT="0" distB="0" distL="0" distR="0" wp14:anchorId="73C31C05" wp14:editId="2F937D56">
            <wp:extent cx="5280344" cy="4543014"/>
            <wp:effectExtent l="0" t="0" r="317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87491" cy="4549163"/>
                    </a:xfrm>
                    <a:prstGeom prst="rect">
                      <a:avLst/>
                    </a:prstGeom>
                  </pic:spPr>
                </pic:pic>
              </a:graphicData>
            </a:graphic>
          </wp:inline>
        </w:drawing>
      </w:r>
    </w:p>
    <w:p w14:paraId="4D1EE1AC" w14:textId="53870A1B" w:rsidR="00355F3D" w:rsidRDefault="00977267" w:rsidP="00A530A6">
      <w:pPr>
        <w:spacing w:line="380" w:lineRule="exact"/>
        <w:rPr>
          <w:rFonts w:ascii="Times New Roman" w:hAnsi="Times New Roman" w:cs="Times New Roman"/>
        </w:rPr>
      </w:pPr>
      <w:r>
        <w:rPr>
          <w:rFonts w:ascii="Times New Roman" w:hAnsi="Times New Roman" w:cs="Times New Roman"/>
          <w:b/>
        </w:rPr>
        <w:t>Fig.</w:t>
      </w:r>
      <w:r w:rsidR="00224686">
        <w:rPr>
          <w:rFonts w:ascii="Times New Roman" w:hAnsi="Times New Roman" w:cs="Times New Roman"/>
          <w:b/>
        </w:rPr>
        <w:t xml:space="preserve"> S</w:t>
      </w:r>
      <w:r w:rsidR="004C0501">
        <w:rPr>
          <w:rFonts w:ascii="Times New Roman" w:hAnsi="Times New Roman" w:cs="Times New Roman"/>
          <w:b/>
        </w:rPr>
        <w:t>10</w:t>
      </w:r>
      <w:r w:rsidR="00B34E99" w:rsidRPr="002F1512">
        <w:rPr>
          <w:rFonts w:ascii="Times New Roman" w:hAnsi="Times New Roman" w:cs="Times New Roman"/>
        </w:rPr>
        <w:t>: Analysis of placenta dataset.</w:t>
      </w:r>
      <w:r w:rsidR="007473B4">
        <w:rPr>
          <w:rFonts w:ascii="Times New Roman" w:hAnsi="Times New Roman" w:cs="Times New Roman"/>
        </w:rPr>
        <w:t xml:space="preserve"> </w:t>
      </w:r>
      <w:r w:rsidR="004E3481">
        <w:rPr>
          <w:rFonts w:ascii="Times New Roman" w:hAnsi="Times New Roman" w:cs="Times New Roman"/>
        </w:rPr>
        <w:t>(</w:t>
      </w:r>
      <w:r w:rsidR="004E3481" w:rsidRPr="00C50941">
        <w:rPr>
          <w:rFonts w:ascii="Times New Roman" w:hAnsi="Times New Roman" w:cs="Times New Roman"/>
          <w:color w:val="000000"/>
          <w:szCs w:val="23"/>
        </w:rPr>
        <w:t xml:space="preserve">a) t-SNE plot of cells identified by CB2 and ED. High-count barcodes </w:t>
      </w:r>
      <w:r w:rsidR="004E3481">
        <w:rPr>
          <w:rFonts w:ascii="Times New Roman" w:hAnsi="Times New Roman" w:cs="Times New Roman"/>
          <w:color w:val="000000"/>
          <w:szCs w:val="23"/>
        </w:rPr>
        <w:t xml:space="preserve">exceeding an upper threshold are </w:t>
      </w:r>
      <w:r w:rsidR="004E3481" w:rsidRPr="00C50941">
        <w:rPr>
          <w:rFonts w:ascii="Times New Roman" w:hAnsi="Times New Roman" w:cs="Times New Roman"/>
          <w:color w:val="000000"/>
          <w:szCs w:val="23"/>
        </w:rPr>
        <w:t xml:space="preserve">identified as real cells by both methods </w:t>
      </w:r>
      <w:r w:rsidR="004E3481">
        <w:rPr>
          <w:rFonts w:ascii="Times New Roman" w:hAnsi="Times New Roman" w:cs="Times New Roman"/>
          <w:color w:val="000000"/>
          <w:szCs w:val="23"/>
        </w:rPr>
        <w:t>without a statistical test (dark pink)</w:t>
      </w:r>
      <w:r w:rsidR="004E3481" w:rsidRPr="00C50941">
        <w:rPr>
          <w:rFonts w:ascii="Times New Roman" w:hAnsi="Times New Roman" w:cs="Times New Roman"/>
          <w:color w:val="000000"/>
          <w:szCs w:val="23"/>
        </w:rPr>
        <w:t xml:space="preserve">; barcodes identified as cells by both methods following statistical test are shown in </w:t>
      </w:r>
      <w:r w:rsidR="004E3481">
        <w:rPr>
          <w:rFonts w:ascii="Times New Roman" w:hAnsi="Times New Roman" w:cs="Times New Roman"/>
          <w:color w:val="000000"/>
          <w:szCs w:val="23"/>
        </w:rPr>
        <w:t>pink</w:t>
      </w:r>
      <w:r w:rsidR="004E3481" w:rsidRPr="00C50941">
        <w:rPr>
          <w:rFonts w:ascii="Times New Roman" w:hAnsi="Times New Roman" w:cs="Times New Roman"/>
          <w:color w:val="000000"/>
          <w:szCs w:val="23"/>
        </w:rPr>
        <w:t>. Cells identified uniquely by CB2 (</w:t>
      </w:r>
      <w:r w:rsidR="004E3481">
        <w:rPr>
          <w:rFonts w:ascii="Times New Roman" w:hAnsi="Times New Roman" w:cs="Times New Roman"/>
          <w:color w:val="000000"/>
          <w:szCs w:val="23"/>
        </w:rPr>
        <w:t>yellow</w:t>
      </w:r>
      <w:r w:rsidR="004E3481" w:rsidRPr="00C50941">
        <w:rPr>
          <w:rFonts w:ascii="Times New Roman" w:hAnsi="Times New Roman" w:cs="Times New Roman"/>
          <w:color w:val="000000"/>
          <w:szCs w:val="23"/>
        </w:rPr>
        <w:t>) and ED (bl</w:t>
      </w:r>
      <w:r w:rsidR="004E3481">
        <w:rPr>
          <w:rFonts w:ascii="Times New Roman" w:hAnsi="Times New Roman" w:cs="Times New Roman"/>
          <w:color w:val="000000"/>
          <w:szCs w:val="23"/>
        </w:rPr>
        <w:t>ack</w:t>
      </w:r>
      <w:r w:rsidR="004E3481" w:rsidRPr="00C50941">
        <w:rPr>
          <w:rFonts w:ascii="Times New Roman" w:hAnsi="Times New Roman" w:cs="Times New Roman"/>
          <w:color w:val="000000"/>
          <w:szCs w:val="23"/>
        </w:rPr>
        <w:t xml:space="preserve">) are also shown. </w:t>
      </w:r>
      <w:r w:rsidR="004E3481">
        <w:rPr>
          <w:rFonts w:ascii="Times" w:hAnsi="Times" w:cs="Helvetica"/>
          <w:color w:val="000000"/>
          <w:szCs w:val="23"/>
        </w:rPr>
        <w:t xml:space="preserve"> (b) </w:t>
      </w:r>
      <w:r w:rsidR="004E3481" w:rsidRPr="00C50941">
        <w:rPr>
          <w:rFonts w:ascii="Times New Roman" w:hAnsi="Times New Roman" w:cs="Times New Roman"/>
          <w:color w:val="000000"/>
          <w:szCs w:val="23"/>
        </w:rPr>
        <w:t xml:space="preserve">Distribution plots </w:t>
      </w:r>
      <w:r w:rsidR="004E3481" w:rsidRPr="00C50941">
        <w:rPr>
          <w:rFonts w:ascii="Times New Roman" w:hAnsi="Times New Roman" w:cs="Times New Roman"/>
        </w:rPr>
        <w:t>of the 100 genes having highest average expression in Subpop</w:t>
      </w:r>
      <w:r w:rsidR="004E3481">
        <w:rPr>
          <w:rFonts w:ascii="Times New Roman" w:hAnsi="Times New Roman" w:cs="Times New Roman"/>
        </w:rPr>
        <w:t>1</w:t>
      </w:r>
      <w:r w:rsidR="004E3481" w:rsidRPr="00C50941">
        <w:rPr>
          <w:rFonts w:ascii="Times New Roman" w:hAnsi="Times New Roman" w:cs="Times New Roman"/>
        </w:rPr>
        <w:t xml:space="preserve"> are shown for cells identified by both CB2 and ED (upper) and identified uniquely by CB2 (middle). The estimated background distribution is also shown (lower).  Cells uniquely identified by CB2 in Subpop</w:t>
      </w:r>
      <w:r w:rsidR="004E3481">
        <w:rPr>
          <w:rFonts w:ascii="Times New Roman" w:hAnsi="Times New Roman" w:cs="Times New Roman"/>
        </w:rPr>
        <w:t>1</w:t>
      </w:r>
      <w:r w:rsidR="004E3481" w:rsidRPr="00C50941">
        <w:rPr>
          <w:rFonts w:ascii="Times New Roman" w:hAnsi="Times New Roman" w:cs="Times New Roman"/>
        </w:rPr>
        <w:t xml:space="preserve"> have a distribution similar to other Subpop</w:t>
      </w:r>
      <w:r w:rsidR="004E3481">
        <w:rPr>
          <w:rFonts w:ascii="Times New Roman" w:hAnsi="Times New Roman" w:cs="Times New Roman"/>
        </w:rPr>
        <w:t>1</w:t>
      </w:r>
      <w:r w:rsidR="004E3481" w:rsidRPr="00C50941">
        <w:rPr>
          <w:rFonts w:ascii="Times New Roman" w:hAnsi="Times New Roman" w:cs="Times New Roman"/>
        </w:rPr>
        <w:t xml:space="preserve"> cells and differ from the background. </w:t>
      </w:r>
      <w:r w:rsidR="004E3481">
        <w:rPr>
          <w:rFonts w:ascii="Times New Roman" w:hAnsi="Times New Roman" w:cs="Times New Roman"/>
        </w:rPr>
        <w:t xml:space="preserve"> (c) </w:t>
      </w:r>
      <w:r w:rsidR="004E3481" w:rsidRPr="00C50941">
        <w:rPr>
          <w:rFonts w:ascii="Times New Roman" w:hAnsi="Times New Roman" w:cs="Times New Roman"/>
        </w:rPr>
        <w:t xml:space="preserve">Heatmap of log transformed raw UMI counts for the same 100 genes for barcodes identified by CB2 and ED (left) and barcodes uniquely identified by CB2 (right). (d) t-SNE plots of cells colored by </w:t>
      </w:r>
      <w:r w:rsidR="004E3481">
        <w:rPr>
          <w:rFonts w:ascii="Times New Roman" w:hAnsi="Times New Roman" w:cs="Times New Roman"/>
        </w:rPr>
        <w:t>expression of a placenta</w:t>
      </w:r>
      <w:r w:rsidR="007473B4">
        <w:rPr>
          <w:rFonts w:ascii="Times New Roman" w:hAnsi="Times New Roman" w:cs="Times New Roman"/>
        </w:rPr>
        <w:t xml:space="preserve">-specific marker gene (KISS1) and marker genes related to </w:t>
      </w:r>
      <w:r w:rsidR="007473B4" w:rsidRPr="007473B4">
        <w:rPr>
          <w:rFonts w:ascii="Times New Roman" w:hAnsi="Times New Roman" w:cs="Times New Roman"/>
        </w:rPr>
        <w:t>placental lactogen</w:t>
      </w:r>
      <w:r w:rsidR="007473B4">
        <w:rPr>
          <w:rFonts w:ascii="Times New Roman" w:hAnsi="Times New Roman" w:cs="Times New Roman"/>
        </w:rPr>
        <w:t xml:space="preserve"> secretion (CSH1, CSH2)</w:t>
      </w:r>
      <w:r w:rsidR="007473B4">
        <w:rPr>
          <w:rFonts w:ascii="Times New Roman" w:hAnsi="Times New Roman" w:cs="Times New Roman"/>
        </w:rPr>
        <w:fldChar w:fldCharType="begin" w:fldLock="1"/>
      </w:r>
      <w:r w:rsidR="00FD34E0">
        <w:rPr>
          <w:rFonts w:ascii="Times New Roman" w:hAnsi="Times New Roman" w:cs="Times New Roman"/>
        </w:rPr>
        <w:instrText>ADDIN CSL_CITATION {"citationItems":[{"id":"ITEM-1","itemData":{"DOI":"10.1210/jc.2010-0023","ISSN":"1945-7197","PMID":"20233782","abstract":"CONTEXT The human growth hormone/chorionic somatomammotropin (hGH/CSH) locus at 17q22-24, consisting of one pituitary-expressed postnatal (GH1) and four placenta-expressed genes (GH2, CSH1, CSH2, and CSHL1), is implicated in regulation of postnatal and intrauterine growth. A positive correlation has been reported between the offspring's birth weight and serum placental GH (coded by GH2) and placental lactogen (coded by CSH1, CSH2) levels in pregnant women. OBJECTIVE The objective of the study was the investigation of the hypothesis that the mRNA expression profile of placental hGH/CSH genes contributes to the determination of birth weight. DESIGN AND SUBJECTS We developed a sensitive, fluorescent-labeled semiquantitative RT-PCR assay coupled with gene-specific restriction analysis, capable of distinguishing alternative splice-products of individual placental hGH/CSH genes and quantification of their relative expression levels. The detailed profile of alternative transcripts of GH2, CSH1, CSH2, and CSHL1 genes in placenta from uncomplicated term pregnancies of the REPROMETA sample collection was addressed in association with the birth weight of newborns, grouped as appropriate for gestational age (AGA; n = 23), small for gestational age (SGA; n = 15), and large for gestational age (LGA; n = 34). RESULTS The majority of pregnancies with SGA newborn showed down-regulation of the entire hGH/CSH cluster in placenta, whereas in the case of LGA, the expression of CSH1-1, CSH2-1, and CSHL1-4 mRNA transcripts in placenta was significantly increased compared with AGA newborns (P &lt; 0.0001, P = 0.009, P = 0.002, respectively). CONCLUSION The expression profile of placental hGH/CSH genes in placenta is altered in pregnancies accompanied by SGA and LGA compared with AGA newborns, and thus, it may directly affect the circulating fetal and maternal placental GH and placental lactogen levels.","author":[{"dropping-particle":"","family":"Männik","given":"Jaana","non-dropping-particle":"","parse-names":false,"suffix":""},{"dropping-particle":"","family":"Vaas","given":"Pille","non-dropping-particle":"","parse-names":false,"suffix":""},{"dropping-particle":"","family":"Rull","given":"Kristiina","non-dropping-particle":"","parse-names":false,"suffix":""},{"dropping-particle":"","family":"Teesalu","given":"Pille","non-dropping-particle":"","parse-names":false,"suffix":""},{"dropping-particle":"","family":"Rebane","given":"Tiina","non-dropping-particle":"","parse-names":false,"suffix":""},{"dropping-particle":"","family":"Laan","given":"Maris","non-dropping-particle":"","parse-names":false,"suffix":""}],"container-title":"The Journal of clinical endocrinology and metabolism","id":"ITEM-1","issue":"5","issued":{"date-parts":[["2010","5"]]},"page":"2433-42","publisher":"The Endocrine Society","title":"Differential expression profile of growth hormone/chorionic somatomammotropin genes in placenta of small- and large-for-gestational-age newborns.","type":"article-journal","volume":"95"},"uris":["http://www.mendeley.com/documents/?uuid=95bf46f2-9948-370f-85f7-ed6abcf87932"]}],"mendeley":{"formattedCitation":"[7]","plainTextFormattedCitation":"[7]","previouslyFormattedCitation":"[7]"},"properties":{"noteIndex":0},"schema":"https://github.com/citation-style-language/schema/raw/master/csl-citation.json"}</w:instrText>
      </w:r>
      <w:r w:rsidR="007473B4">
        <w:rPr>
          <w:rFonts w:ascii="Times New Roman" w:hAnsi="Times New Roman" w:cs="Times New Roman"/>
        </w:rPr>
        <w:fldChar w:fldCharType="separate"/>
      </w:r>
      <w:r w:rsidR="0027488E" w:rsidRPr="0027488E">
        <w:rPr>
          <w:rFonts w:ascii="Times New Roman" w:hAnsi="Times New Roman" w:cs="Times New Roman"/>
          <w:noProof/>
        </w:rPr>
        <w:t>[7]</w:t>
      </w:r>
      <w:r w:rsidR="007473B4">
        <w:rPr>
          <w:rFonts w:ascii="Times New Roman" w:hAnsi="Times New Roman" w:cs="Times New Roman"/>
        </w:rPr>
        <w:fldChar w:fldCharType="end"/>
      </w:r>
      <w:r w:rsidR="007473B4">
        <w:rPr>
          <w:rFonts w:ascii="Times New Roman" w:hAnsi="Times New Roman" w:cs="Times New Roman"/>
        </w:rPr>
        <w:t xml:space="preserve">. </w:t>
      </w:r>
      <w:r w:rsidR="004E3481">
        <w:rPr>
          <w:rFonts w:ascii="Times New Roman" w:hAnsi="Times New Roman" w:cs="Times New Roman"/>
        </w:rPr>
        <w:t>Panels (a) and (d) indicate that CB2 reveals a novel subpopulation (Subpop2) that may be related to</w:t>
      </w:r>
      <w:r w:rsidR="007473B4">
        <w:rPr>
          <w:rFonts w:ascii="Times New Roman" w:hAnsi="Times New Roman" w:cs="Times New Roman"/>
        </w:rPr>
        <w:t xml:space="preserve"> </w:t>
      </w:r>
      <w:r w:rsidR="007473B4" w:rsidRPr="007473B4">
        <w:rPr>
          <w:rFonts w:ascii="Times New Roman" w:hAnsi="Times New Roman" w:cs="Times New Roman"/>
        </w:rPr>
        <w:t>placental lactogen</w:t>
      </w:r>
      <w:r w:rsidR="007473B4">
        <w:rPr>
          <w:rFonts w:ascii="Times New Roman" w:hAnsi="Times New Roman" w:cs="Times New Roman"/>
        </w:rPr>
        <w:t xml:space="preserve"> secretion.</w:t>
      </w:r>
    </w:p>
    <w:p w14:paraId="621E4DCC" w14:textId="77777777" w:rsidR="00224686" w:rsidRPr="00A530A6" w:rsidRDefault="00224686" w:rsidP="00A530A6">
      <w:pPr>
        <w:spacing w:line="380" w:lineRule="exact"/>
        <w:rPr>
          <w:rFonts w:ascii="Times New Roman" w:hAnsi="Times New Roman" w:cs="Times New Roman"/>
        </w:rPr>
      </w:pPr>
    </w:p>
    <w:p w14:paraId="6EB1FD62" w14:textId="46E4A871" w:rsidR="00791593" w:rsidRPr="004E3481" w:rsidRDefault="004E3481" w:rsidP="00355F3D">
      <w:pPr>
        <w:spacing w:line="480" w:lineRule="auto"/>
        <w:rPr>
          <w:rFonts w:ascii="Times New Roman" w:hAnsi="Times New Roman" w:cs="Times New Roman"/>
          <w:b/>
          <w:bCs/>
          <w:sz w:val="28"/>
          <w:szCs w:val="28"/>
        </w:rPr>
      </w:pPr>
      <w:r w:rsidRPr="004E3481">
        <w:rPr>
          <w:rFonts w:ascii="Times New Roman" w:hAnsi="Times New Roman" w:cs="Times New Roman"/>
          <w:b/>
          <w:bCs/>
          <w:sz w:val="28"/>
          <w:szCs w:val="28"/>
        </w:rPr>
        <w:lastRenderedPageBreak/>
        <w:t>References</w:t>
      </w:r>
    </w:p>
    <w:p w14:paraId="14956CFF" w14:textId="77777777" w:rsidR="004E3481" w:rsidRPr="002F1512" w:rsidRDefault="004E3481" w:rsidP="00355F3D">
      <w:pPr>
        <w:spacing w:line="480" w:lineRule="auto"/>
        <w:rPr>
          <w:rFonts w:ascii="Times New Roman" w:hAnsi="Times New Roman" w:cs="Times New Roman"/>
        </w:rPr>
      </w:pPr>
    </w:p>
    <w:p w14:paraId="14C3E178" w14:textId="02E963BA" w:rsidR="00FD34E0" w:rsidRPr="00FD34E0" w:rsidRDefault="00791593" w:rsidP="00FD34E0">
      <w:pPr>
        <w:widowControl w:val="0"/>
        <w:autoSpaceDE w:val="0"/>
        <w:autoSpaceDN w:val="0"/>
        <w:adjustRightInd w:val="0"/>
        <w:spacing w:line="480" w:lineRule="auto"/>
        <w:rPr>
          <w:rFonts w:ascii="Times New Roman" w:hAnsi="Times New Roman" w:cs="Times New Roman"/>
          <w:noProof/>
        </w:rPr>
      </w:pPr>
      <w:r w:rsidRPr="002F1512">
        <w:rPr>
          <w:rFonts w:ascii="Times New Roman" w:hAnsi="Times New Roman" w:cs="Times New Roman"/>
        </w:rPr>
        <w:fldChar w:fldCharType="begin" w:fldLock="1"/>
      </w:r>
      <w:r w:rsidRPr="002F1512">
        <w:rPr>
          <w:rFonts w:ascii="Times New Roman" w:hAnsi="Times New Roman" w:cs="Times New Roman"/>
        </w:rPr>
        <w:instrText xml:space="preserve">ADDIN Mendeley Bibliography CSL_BIBLIOGRAPHY </w:instrText>
      </w:r>
      <w:r w:rsidRPr="002F1512">
        <w:rPr>
          <w:rFonts w:ascii="Times New Roman" w:hAnsi="Times New Roman" w:cs="Times New Roman"/>
        </w:rPr>
        <w:fldChar w:fldCharType="separate"/>
      </w:r>
      <w:r w:rsidR="00FD34E0" w:rsidRPr="00FD34E0">
        <w:rPr>
          <w:rFonts w:ascii="Times New Roman" w:hAnsi="Times New Roman" w:cs="Times New Roman"/>
          <w:noProof/>
        </w:rPr>
        <w:t xml:space="preserve">1. Zheng GXY, Terry JM, Belgrader P, Ryvkin P, Bent ZW, Wilson R, et al. Massively parallel digital transcriptional profiling of single cells. Nat Commun. 2017;8:14049. </w:t>
      </w:r>
    </w:p>
    <w:p w14:paraId="39AD8240" w14:textId="77777777" w:rsidR="00FD34E0" w:rsidRPr="00FD34E0" w:rsidRDefault="00FD34E0" w:rsidP="00FD34E0">
      <w:pPr>
        <w:widowControl w:val="0"/>
        <w:autoSpaceDE w:val="0"/>
        <w:autoSpaceDN w:val="0"/>
        <w:adjustRightInd w:val="0"/>
        <w:spacing w:line="480" w:lineRule="auto"/>
        <w:rPr>
          <w:rFonts w:ascii="Times New Roman" w:hAnsi="Times New Roman" w:cs="Times New Roman"/>
          <w:noProof/>
        </w:rPr>
      </w:pPr>
      <w:r w:rsidRPr="00FD34E0">
        <w:rPr>
          <w:rFonts w:ascii="Times New Roman" w:hAnsi="Times New Roman" w:cs="Times New Roman"/>
          <w:noProof/>
        </w:rPr>
        <w:t xml:space="preserve">2. Lun ATL, Riesenfeld S, Andrews T, Dao TP, Gomes T, Marioni JC. EmptyDrops: distinguishing cells from empty droplets in droplet-based single-cell RNA sequencing data. Genome Biol. 2019;20:63. </w:t>
      </w:r>
    </w:p>
    <w:p w14:paraId="506A99EE" w14:textId="77777777" w:rsidR="00FD34E0" w:rsidRPr="00FD34E0" w:rsidRDefault="00FD34E0" w:rsidP="00FD34E0">
      <w:pPr>
        <w:widowControl w:val="0"/>
        <w:autoSpaceDE w:val="0"/>
        <w:autoSpaceDN w:val="0"/>
        <w:adjustRightInd w:val="0"/>
        <w:spacing w:line="480" w:lineRule="auto"/>
        <w:rPr>
          <w:rFonts w:ascii="Times New Roman" w:hAnsi="Times New Roman" w:cs="Times New Roman"/>
          <w:noProof/>
        </w:rPr>
      </w:pPr>
      <w:r w:rsidRPr="00FD34E0">
        <w:rPr>
          <w:rFonts w:ascii="Times New Roman" w:hAnsi="Times New Roman" w:cs="Times New Roman"/>
          <w:noProof/>
        </w:rPr>
        <w:t xml:space="preserve">3. Mathys H, Davila-Velderrain J, Peng Z, Gao F, Mohammadi S, Young JZ, et al. Single-cell transcriptomic analysis of Alzheimer’s disease. Nature. 2019;570:332–7. </w:t>
      </w:r>
    </w:p>
    <w:p w14:paraId="24A020A5" w14:textId="77777777" w:rsidR="00FD34E0" w:rsidRPr="00FD34E0" w:rsidRDefault="00FD34E0" w:rsidP="00FD34E0">
      <w:pPr>
        <w:widowControl w:val="0"/>
        <w:autoSpaceDE w:val="0"/>
        <w:autoSpaceDN w:val="0"/>
        <w:adjustRightInd w:val="0"/>
        <w:spacing w:line="480" w:lineRule="auto"/>
        <w:rPr>
          <w:rFonts w:ascii="Times New Roman" w:hAnsi="Times New Roman" w:cs="Times New Roman"/>
          <w:noProof/>
        </w:rPr>
      </w:pPr>
      <w:r w:rsidRPr="00FD34E0">
        <w:rPr>
          <w:rFonts w:ascii="Times New Roman" w:hAnsi="Times New Roman" w:cs="Times New Roman"/>
          <w:noProof/>
        </w:rPr>
        <w:t xml:space="preserve">4. Dyer CA, Kendler A, Jean-Guillaume D, Awatramani R, Lee A, Mason LM, et al. GFAP-positive and myelin marker-positive glia in normal and pathologic environments. J Neurosci Res. 2000;60:412–26. </w:t>
      </w:r>
    </w:p>
    <w:p w14:paraId="2E1123F9" w14:textId="77777777" w:rsidR="00FD34E0" w:rsidRPr="00FD34E0" w:rsidRDefault="00FD34E0" w:rsidP="00FD34E0">
      <w:pPr>
        <w:widowControl w:val="0"/>
        <w:autoSpaceDE w:val="0"/>
        <w:autoSpaceDN w:val="0"/>
        <w:adjustRightInd w:val="0"/>
        <w:spacing w:line="480" w:lineRule="auto"/>
        <w:rPr>
          <w:rFonts w:ascii="Times New Roman" w:hAnsi="Times New Roman" w:cs="Times New Roman"/>
          <w:noProof/>
        </w:rPr>
      </w:pPr>
      <w:r w:rsidRPr="00FD34E0">
        <w:rPr>
          <w:rFonts w:ascii="Times New Roman" w:hAnsi="Times New Roman" w:cs="Times New Roman"/>
          <w:noProof/>
        </w:rPr>
        <w:t xml:space="preserve">5. Vanni S, Zattoni M, Moda F, Giaccone G, Tagliavini F, Haïk S, et al. Hemoglobin mRNA changes in the frontal cortex of patients with neurodegenerative diseases. Front Neurosci. 2018;12. </w:t>
      </w:r>
    </w:p>
    <w:p w14:paraId="629DCC9D" w14:textId="77777777" w:rsidR="00FD34E0" w:rsidRPr="00FD34E0" w:rsidRDefault="00FD34E0" w:rsidP="00FD34E0">
      <w:pPr>
        <w:widowControl w:val="0"/>
        <w:autoSpaceDE w:val="0"/>
        <w:autoSpaceDN w:val="0"/>
        <w:adjustRightInd w:val="0"/>
        <w:spacing w:line="480" w:lineRule="auto"/>
        <w:rPr>
          <w:rFonts w:ascii="Times New Roman" w:hAnsi="Times New Roman" w:cs="Times New Roman"/>
          <w:noProof/>
        </w:rPr>
      </w:pPr>
      <w:r w:rsidRPr="00FD34E0">
        <w:rPr>
          <w:rFonts w:ascii="Times New Roman" w:hAnsi="Times New Roman" w:cs="Times New Roman"/>
          <w:noProof/>
        </w:rPr>
        <w:t xml:space="preserve">6. Stankiewicz AM, Goscik J, Swiergiel AH, Majewska A, Wieczorek M, Juszczak GR, et al. Social stress increases expression of hemoglobin genes in mouse prefrontal cortex. BMC Neurosci. 2014;15. </w:t>
      </w:r>
    </w:p>
    <w:p w14:paraId="5ABF95F9" w14:textId="77777777" w:rsidR="00FD34E0" w:rsidRPr="00FD34E0" w:rsidRDefault="00FD34E0" w:rsidP="00FD34E0">
      <w:pPr>
        <w:widowControl w:val="0"/>
        <w:autoSpaceDE w:val="0"/>
        <w:autoSpaceDN w:val="0"/>
        <w:adjustRightInd w:val="0"/>
        <w:spacing w:line="480" w:lineRule="auto"/>
        <w:rPr>
          <w:rFonts w:ascii="Times New Roman" w:hAnsi="Times New Roman" w:cs="Times New Roman"/>
          <w:noProof/>
        </w:rPr>
      </w:pPr>
      <w:r w:rsidRPr="00FD34E0">
        <w:rPr>
          <w:rFonts w:ascii="Times New Roman" w:hAnsi="Times New Roman" w:cs="Times New Roman"/>
          <w:noProof/>
        </w:rPr>
        <w:t xml:space="preserve">7. Männik J, Vaas P, Rull K, Teesalu P, Rebane T, Laan M. Differential expression profile of growth hormone/chorionic somatomammotropin genes in placenta of small- and large-for-gestational-age newborns. J Clin Endocrinol Metab. 2010;95:2433–42. </w:t>
      </w:r>
    </w:p>
    <w:p w14:paraId="207E5978" w14:textId="58272BD4" w:rsidR="00791593" w:rsidRPr="00803AA7" w:rsidRDefault="00791593" w:rsidP="00FD34E0">
      <w:pPr>
        <w:widowControl w:val="0"/>
        <w:autoSpaceDE w:val="0"/>
        <w:autoSpaceDN w:val="0"/>
        <w:adjustRightInd w:val="0"/>
        <w:spacing w:line="480" w:lineRule="auto"/>
        <w:rPr>
          <w:rFonts w:ascii="Times New Roman" w:hAnsi="Times New Roman" w:cs="Times New Roman"/>
        </w:rPr>
      </w:pPr>
      <w:r w:rsidRPr="002F1512">
        <w:rPr>
          <w:rFonts w:ascii="Times New Roman" w:hAnsi="Times New Roman" w:cs="Times New Roman"/>
        </w:rPr>
        <w:fldChar w:fldCharType="end"/>
      </w:r>
    </w:p>
    <w:sectPr w:rsidR="00791593" w:rsidRPr="00803AA7" w:rsidSect="00D70D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E39D5B" w14:textId="77777777" w:rsidR="00C402ED" w:rsidRDefault="00C402ED" w:rsidP="001E64DC">
      <w:r>
        <w:separator/>
      </w:r>
    </w:p>
  </w:endnote>
  <w:endnote w:type="continuationSeparator" w:id="0">
    <w:p w14:paraId="3AE98DD0" w14:textId="77777777" w:rsidR="00C402ED" w:rsidRDefault="00C402ED" w:rsidP="001E6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panose1 w:val="02020400000000000000"/>
    <w:charset w:val="80"/>
    <w:family w:val="roman"/>
    <w:pitch w:val="variable"/>
    <w:sig w:usb0="800002E7" w:usb1="2AC7FCFF" w:usb2="00000012" w:usb3="00000000" w:csb0="0002009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B99A0" w14:textId="77777777" w:rsidR="00C402ED" w:rsidRDefault="00C402ED" w:rsidP="001E64DC">
      <w:r>
        <w:separator/>
      </w:r>
    </w:p>
  </w:footnote>
  <w:footnote w:type="continuationSeparator" w:id="0">
    <w:p w14:paraId="3769E110" w14:textId="77777777" w:rsidR="00C402ED" w:rsidRDefault="00C402ED" w:rsidP="001E64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33E"/>
    <w:rsid w:val="000034A3"/>
    <w:rsid w:val="00004B01"/>
    <w:rsid w:val="00012159"/>
    <w:rsid w:val="0002556A"/>
    <w:rsid w:val="00025666"/>
    <w:rsid w:val="00034009"/>
    <w:rsid w:val="00041B40"/>
    <w:rsid w:val="00043ADB"/>
    <w:rsid w:val="000815BC"/>
    <w:rsid w:val="00094FDC"/>
    <w:rsid w:val="000C243B"/>
    <w:rsid w:val="000C7874"/>
    <w:rsid w:val="000E67C5"/>
    <w:rsid w:val="000F0DE6"/>
    <w:rsid w:val="000F1E79"/>
    <w:rsid w:val="000F3E48"/>
    <w:rsid w:val="000F6250"/>
    <w:rsid w:val="00101524"/>
    <w:rsid w:val="00102699"/>
    <w:rsid w:val="00133035"/>
    <w:rsid w:val="00136C22"/>
    <w:rsid w:val="001477F6"/>
    <w:rsid w:val="00156CCA"/>
    <w:rsid w:val="00164DB5"/>
    <w:rsid w:val="001658B2"/>
    <w:rsid w:val="001707E4"/>
    <w:rsid w:val="0017298A"/>
    <w:rsid w:val="001B3B01"/>
    <w:rsid w:val="001B6192"/>
    <w:rsid w:val="001E399D"/>
    <w:rsid w:val="001E514D"/>
    <w:rsid w:val="001E64DC"/>
    <w:rsid w:val="001E6C72"/>
    <w:rsid w:val="001F70B0"/>
    <w:rsid w:val="00203FFE"/>
    <w:rsid w:val="00206B7E"/>
    <w:rsid w:val="00224686"/>
    <w:rsid w:val="002303D2"/>
    <w:rsid w:val="00237B52"/>
    <w:rsid w:val="002630CD"/>
    <w:rsid w:val="00266EFF"/>
    <w:rsid w:val="0027488E"/>
    <w:rsid w:val="002763CD"/>
    <w:rsid w:val="00285A32"/>
    <w:rsid w:val="002901E4"/>
    <w:rsid w:val="002F1512"/>
    <w:rsid w:val="002F381E"/>
    <w:rsid w:val="002F4F1E"/>
    <w:rsid w:val="0031536F"/>
    <w:rsid w:val="00324090"/>
    <w:rsid w:val="00350C96"/>
    <w:rsid w:val="00354ECC"/>
    <w:rsid w:val="00355F3D"/>
    <w:rsid w:val="00362817"/>
    <w:rsid w:val="0036303A"/>
    <w:rsid w:val="00377A78"/>
    <w:rsid w:val="00390283"/>
    <w:rsid w:val="003A0A76"/>
    <w:rsid w:val="003A4873"/>
    <w:rsid w:val="003A501B"/>
    <w:rsid w:val="003C4FA8"/>
    <w:rsid w:val="003D3FB0"/>
    <w:rsid w:val="00400027"/>
    <w:rsid w:val="00405583"/>
    <w:rsid w:val="00421EBA"/>
    <w:rsid w:val="00433D7E"/>
    <w:rsid w:val="00453D09"/>
    <w:rsid w:val="00460A42"/>
    <w:rsid w:val="00484BDB"/>
    <w:rsid w:val="0048540E"/>
    <w:rsid w:val="00493EA1"/>
    <w:rsid w:val="004B46D5"/>
    <w:rsid w:val="004C0501"/>
    <w:rsid w:val="004C326B"/>
    <w:rsid w:val="004C71FA"/>
    <w:rsid w:val="004D2B4A"/>
    <w:rsid w:val="004D2CD5"/>
    <w:rsid w:val="004E3481"/>
    <w:rsid w:val="004E3F4E"/>
    <w:rsid w:val="004F3665"/>
    <w:rsid w:val="004F53D4"/>
    <w:rsid w:val="005008BF"/>
    <w:rsid w:val="00504A58"/>
    <w:rsid w:val="00530386"/>
    <w:rsid w:val="005572B4"/>
    <w:rsid w:val="00586085"/>
    <w:rsid w:val="00590724"/>
    <w:rsid w:val="00591B96"/>
    <w:rsid w:val="005A0E3F"/>
    <w:rsid w:val="005A125C"/>
    <w:rsid w:val="005C1ECC"/>
    <w:rsid w:val="005C5A0A"/>
    <w:rsid w:val="005D4AC4"/>
    <w:rsid w:val="005E1345"/>
    <w:rsid w:val="005E2418"/>
    <w:rsid w:val="0060713C"/>
    <w:rsid w:val="006127E1"/>
    <w:rsid w:val="0061410B"/>
    <w:rsid w:val="006249FF"/>
    <w:rsid w:val="006518B3"/>
    <w:rsid w:val="00677D59"/>
    <w:rsid w:val="00681973"/>
    <w:rsid w:val="00681FBE"/>
    <w:rsid w:val="00683407"/>
    <w:rsid w:val="006B197F"/>
    <w:rsid w:val="006B1F57"/>
    <w:rsid w:val="006E35F6"/>
    <w:rsid w:val="006F2C3F"/>
    <w:rsid w:val="00726985"/>
    <w:rsid w:val="0074434E"/>
    <w:rsid w:val="007473B4"/>
    <w:rsid w:val="007647B8"/>
    <w:rsid w:val="007702D3"/>
    <w:rsid w:val="007774D1"/>
    <w:rsid w:val="00791593"/>
    <w:rsid w:val="007948AB"/>
    <w:rsid w:val="007A2538"/>
    <w:rsid w:val="007A2663"/>
    <w:rsid w:val="007A4371"/>
    <w:rsid w:val="007B0D73"/>
    <w:rsid w:val="007B6C8E"/>
    <w:rsid w:val="007C2571"/>
    <w:rsid w:val="007C733E"/>
    <w:rsid w:val="007D1DE2"/>
    <w:rsid w:val="00803AA7"/>
    <w:rsid w:val="008155FA"/>
    <w:rsid w:val="00815DD1"/>
    <w:rsid w:val="00816C29"/>
    <w:rsid w:val="00870FBF"/>
    <w:rsid w:val="008A1F10"/>
    <w:rsid w:val="008B4ECB"/>
    <w:rsid w:val="00901FCB"/>
    <w:rsid w:val="009020E3"/>
    <w:rsid w:val="00934686"/>
    <w:rsid w:val="009407D1"/>
    <w:rsid w:val="00943B3D"/>
    <w:rsid w:val="00945B68"/>
    <w:rsid w:val="00952C73"/>
    <w:rsid w:val="009636BB"/>
    <w:rsid w:val="00977267"/>
    <w:rsid w:val="00983341"/>
    <w:rsid w:val="009A5820"/>
    <w:rsid w:val="009B678C"/>
    <w:rsid w:val="009C1054"/>
    <w:rsid w:val="009D3CE5"/>
    <w:rsid w:val="009E155D"/>
    <w:rsid w:val="009E6DA3"/>
    <w:rsid w:val="009F5157"/>
    <w:rsid w:val="009F7764"/>
    <w:rsid w:val="00A2351D"/>
    <w:rsid w:val="00A310C2"/>
    <w:rsid w:val="00A339A3"/>
    <w:rsid w:val="00A36A47"/>
    <w:rsid w:val="00A37C2C"/>
    <w:rsid w:val="00A4072E"/>
    <w:rsid w:val="00A433E0"/>
    <w:rsid w:val="00A519D7"/>
    <w:rsid w:val="00A530A6"/>
    <w:rsid w:val="00A613C0"/>
    <w:rsid w:val="00A64FCD"/>
    <w:rsid w:val="00A657CF"/>
    <w:rsid w:val="00A65E92"/>
    <w:rsid w:val="00A75602"/>
    <w:rsid w:val="00A96E93"/>
    <w:rsid w:val="00AA10BC"/>
    <w:rsid w:val="00AA5A27"/>
    <w:rsid w:val="00AA5B23"/>
    <w:rsid w:val="00AB4844"/>
    <w:rsid w:val="00AB4D85"/>
    <w:rsid w:val="00AB6144"/>
    <w:rsid w:val="00AB6698"/>
    <w:rsid w:val="00AC537C"/>
    <w:rsid w:val="00AD43FE"/>
    <w:rsid w:val="00AF0963"/>
    <w:rsid w:val="00AF4747"/>
    <w:rsid w:val="00AF5B85"/>
    <w:rsid w:val="00AF6DBA"/>
    <w:rsid w:val="00B003B1"/>
    <w:rsid w:val="00B11FA7"/>
    <w:rsid w:val="00B132B1"/>
    <w:rsid w:val="00B24B0F"/>
    <w:rsid w:val="00B24D60"/>
    <w:rsid w:val="00B34E99"/>
    <w:rsid w:val="00B37F62"/>
    <w:rsid w:val="00B55049"/>
    <w:rsid w:val="00B65720"/>
    <w:rsid w:val="00B65DDB"/>
    <w:rsid w:val="00B66FE9"/>
    <w:rsid w:val="00B87827"/>
    <w:rsid w:val="00B95ABE"/>
    <w:rsid w:val="00BA7AE1"/>
    <w:rsid w:val="00BB3B85"/>
    <w:rsid w:val="00BD009E"/>
    <w:rsid w:val="00BD7296"/>
    <w:rsid w:val="00BF21DD"/>
    <w:rsid w:val="00BF5889"/>
    <w:rsid w:val="00C402ED"/>
    <w:rsid w:val="00C45936"/>
    <w:rsid w:val="00C7726F"/>
    <w:rsid w:val="00C77604"/>
    <w:rsid w:val="00C84C4F"/>
    <w:rsid w:val="00C859F9"/>
    <w:rsid w:val="00C87E3D"/>
    <w:rsid w:val="00C95400"/>
    <w:rsid w:val="00CA3B6F"/>
    <w:rsid w:val="00CA46C6"/>
    <w:rsid w:val="00CB1E36"/>
    <w:rsid w:val="00CC10B7"/>
    <w:rsid w:val="00CC1A25"/>
    <w:rsid w:val="00CE51B5"/>
    <w:rsid w:val="00CE5E5E"/>
    <w:rsid w:val="00CE5FD9"/>
    <w:rsid w:val="00CE78BD"/>
    <w:rsid w:val="00CF31C6"/>
    <w:rsid w:val="00D04CC9"/>
    <w:rsid w:val="00D21E6C"/>
    <w:rsid w:val="00D235B8"/>
    <w:rsid w:val="00D32115"/>
    <w:rsid w:val="00D341C9"/>
    <w:rsid w:val="00D37257"/>
    <w:rsid w:val="00D4070B"/>
    <w:rsid w:val="00D4233B"/>
    <w:rsid w:val="00D43855"/>
    <w:rsid w:val="00D70D4D"/>
    <w:rsid w:val="00D950D4"/>
    <w:rsid w:val="00DA0FC0"/>
    <w:rsid w:val="00DA23E5"/>
    <w:rsid w:val="00DA3FDF"/>
    <w:rsid w:val="00DB6374"/>
    <w:rsid w:val="00E04956"/>
    <w:rsid w:val="00E24611"/>
    <w:rsid w:val="00E4199D"/>
    <w:rsid w:val="00E44D0D"/>
    <w:rsid w:val="00E569C5"/>
    <w:rsid w:val="00E63860"/>
    <w:rsid w:val="00E63E9A"/>
    <w:rsid w:val="00E64237"/>
    <w:rsid w:val="00E8154E"/>
    <w:rsid w:val="00E92BED"/>
    <w:rsid w:val="00E95660"/>
    <w:rsid w:val="00EA36F4"/>
    <w:rsid w:val="00EA79B5"/>
    <w:rsid w:val="00EB3146"/>
    <w:rsid w:val="00EB6597"/>
    <w:rsid w:val="00EE1382"/>
    <w:rsid w:val="00EF228F"/>
    <w:rsid w:val="00EF51EA"/>
    <w:rsid w:val="00F12087"/>
    <w:rsid w:val="00F347D9"/>
    <w:rsid w:val="00F50255"/>
    <w:rsid w:val="00F640AB"/>
    <w:rsid w:val="00F73F35"/>
    <w:rsid w:val="00F95258"/>
    <w:rsid w:val="00FA331F"/>
    <w:rsid w:val="00FB4B05"/>
    <w:rsid w:val="00FD34E0"/>
    <w:rsid w:val="00FD5ED3"/>
    <w:rsid w:val="00FD7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9B0A7"/>
  <w15:chartTrackingRefBased/>
  <w15:docId w15:val="{B5B23540-401A-EA48-AD54-77CD8A5F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537C"/>
    <w:rPr>
      <w:rFonts w:ascii="Times New Roman" w:hAnsi="Times New Roman" w:cs="Times New Roman"/>
    </w:rPr>
  </w:style>
  <w:style w:type="character" w:styleId="CommentReference">
    <w:name w:val="annotation reference"/>
    <w:basedOn w:val="DefaultParagraphFont"/>
    <w:uiPriority w:val="99"/>
    <w:semiHidden/>
    <w:unhideWhenUsed/>
    <w:rsid w:val="00AC537C"/>
    <w:rPr>
      <w:sz w:val="16"/>
      <w:szCs w:val="16"/>
    </w:rPr>
  </w:style>
  <w:style w:type="paragraph" w:styleId="CommentText">
    <w:name w:val="annotation text"/>
    <w:basedOn w:val="Normal"/>
    <w:link w:val="CommentTextChar"/>
    <w:uiPriority w:val="99"/>
    <w:semiHidden/>
    <w:unhideWhenUsed/>
    <w:rsid w:val="00AC537C"/>
    <w:rPr>
      <w:rFonts w:eastAsiaTheme="minorEastAsia"/>
      <w:sz w:val="20"/>
      <w:szCs w:val="20"/>
    </w:rPr>
  </w:style>
  <w:style w:type="character" w:customStyle="1" w:styleId="CommentTextChar">
    <w:name w:val="Comment Text Char"/>
    <w:basedOn w:val="DefaultParagraphFont"/>
    <w:link w:val="CommentText"/>
    <w:uiPriority w:val="99"/>
    <w:semiHidden/>
    <w:rsid w:val="00AC537C"/>
    <w:rPr>
      <w:rFonts w:eastAsiaTheme="minorEastAsia"/>
      <w:sz w:val="20"/>
      <w:szCs w:val="20"/>
    </w:rPr>
  </w:style>
  <w:style w:type="paragraph" w:styleId="BalloonText">
    <w:name w:val="Balloon Text"/>
    <w:basedOn w:val="Normal"/>
    <w:link w:val="BalloonTextChar"/>
    <w:uiPriority w:val="99"/>
    <w:semiHidden/>
    <w:unhideWhenUsed/>
    <w:rsid w:val="00AC537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C537C"/>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EA79B5"/>
    <w:rPr>
      <w:rFonts w:eastAsiaTheme="minorHAnsi"/>
      <w:b/>
      <w:bCs/>
    </w:rPr>
  </w:style>
  <w:style w:type="character" w:customStyle="1" w:styleId="CommentSubjectChar">
    <w:name w:val="Comment Subject Char"/>
    <w:basedOn w:val="CommentTextChar"/>
    <w:link w:val="CommentSubject"/>
    <w:uiPriority w:val="99"/>
    <w:semiHidden/>
    <w:rsid w:val="00EA79B5"/>
    <w:rPr>
      <w:rFonts w:eastAsiaTheme="minorEastAsia"/>
      <w:b/>
      <w:bCs/>
      <w:sz w:val="20"/>
      <w:szCs w:val="20"/>
    </w:rPr>
  </w:style>
  <w:style w:type="table" w:styleId="TableGrid">
    <w:name w:val="Table Grid"/>
    <w:basedOn w:val="TableNormal"/>
    <w:uiPriority w:val="39"/>
    <w:rsid w:val="00354E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3EA1"/>
    <w:rPr>
      <w:color w:val="0000FF"/>
      <w:u w:val="single"/>
    </w:rPr>
  </w:style>
  <w:style w:type="character" w:styleId="FollowedHyperlink">
    <w:name w:val="FollowedHyperlink"/>
    <w:basedOn w:val="DefaultParagraphFont"/>
    <w:uiPriority w:val="99"/>
    <w:semiHidden/>
    <w:unhideWhenUsed/>
    <w:rsid w:val="009636BB"/>
    <w:rPr>
      <w:color w:val="954F72" w:themeColor="followedHyperlink"/>
      <w:u w:val="single"/>
    </w:rPr>
  </w:style>
  <w:style w:type="character" w:styleId="UnresolvedMention">
    <w:name w:val="Unresolved Mention"/>
    <w:basedOn w:val="DefaultParagraphFont"/>
    <w:uiPriority w:val="99"/>
    <w:semiHidden/>
    <w:unhideWhenUsed/>
    <w:rsid w:val="00A2351D"/>
    <w:rPr>
      <w:color w:val="605E5C"/>
      <w:shd w:val="clear" w:color="auto" w:fill="E1DFDD"/>
    </w:rPr>
  </w:style>
  <w:style w:type="character" w:styleId="PlaceholderText">
    <w:name w:val="Placeholder Text"/>
    <w:basedOn w:val="DefaultParagraphFont"/>
    <w:uiPriority w:val="99"/>
    <w:semiHidden/>
    <w:rsid w:val="003A0A76"/>
    <w:rPr>
      <w:color w:val="808080"/>
    </w:rPr>
  </w:style>
  <w:style w:type="paragraph" w:styleId="Header">
    <w:name w:val="header"/>
    <w:basedOn w:val="Normal"/>
    <w:link w:val="HeaderChar"/>
    <w:uiPriority w:val="99"/>
    <w:unhideWhenUsed/>
    <w:rsid w:val="001E64D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E64DC"/>
    <w:rPr>
      <w:sz w:val="18"/>
      <w:szCs w:val="18"/>
    </w:rPr>
  </w:style>
  <w:style w:type="paragraph" w:styleId="Footer">
    <w:name w:val="footer"/>
    <w:basedOn w:val="Normal"/>
    <w:link w:val="FooterChar"/>
    <w:uiPriority w:val="99"/>
    <w:unhideWhenUsed/>
    <w:rsid w:val="001E64DC"/>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1E64D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92530">
      <w:bodyDiv w:val="1"/>
      <w:marLeft w:val="0"/>
      <w:marRight w:val="0"/>
      <w:marTop w:val="0"/>
      <w:marBottom w:val="0"/>
      <w:divBdr>
        <w:top w:val="none" w:sz="0" w:space="0" w:color="auto"/>
        <w:left w:val="none" w:sz="0" w:space="0" w:color="auto"/>
        <w:bottom w:val="none" w:sz="0" w:space="0" w:color="auto"/>
        <w:right w:val="none" w:sz="0" w:space="0" w:color="auto"/>
      </w:divBdr>
    </w:div>
    <w:div w:id="190143941">
      <w:bodyDiv w:val="1"/>
      <w:marLeft w:val="0"/>
      <w:marRight w:val="0"/>
      <w:marTop w:val="0"/>
      <w:marBottom w:val="0"/>
      <w:divBdr>
        <w:top w:val="none" w:sz="0" w:space="0" w:color="auto"/>
        <w:left w:val="none" w:sz="0" w:space="0" w:color="auto"/>
        <w:bottom w:val="none" w:sz="0" w:space="0" w:color="auto"/>
        <w:right w:val="none" w:sz="0" w:space="0" w:color="auto"/>
      </w:divBdr>
    </w:div>
    <w:div w:id="454639563">
      <w:bodyDiv w:val="1"/>
      <w:marLeft w:val="0"/>
      <w:marRight w:val="0"/>
      <w:marTop w:val="0"/>
      <w:marBottom w:val="0"/>
      <w:divBdr>
        <w:top w:val="none" w:sz="0" w:space="0" w:color="auto"/>
        <w:left w:val="none" w:sz="0" w:space="0" w:color="auto"/>
        <w:bottom w:val="none" w:sz="0" w:space="0" w:color="auto"/>
        <w:right w:val="none" w:sz="0" w:space="0" w:color="auto"/>
      </w:divBdr>
    </w:div>
    <w:div w:id="469060630">
      <w:bodyDiv w:val="1"/>
      <w:marLeft w:val="0"/>
      <w:marRight w:val="0"/>
      <w:marTop w:val="0"/>
      <w:marBottom w:val="0"/>
      <w:divBdr>
        <w:top w:val="none" w:sz="0" w:space="0" w:color="auto"/>
        <w:left w:val="none" w:sz="0" w:space="0" w:color="auto"/>
        <w:bottom w:val="none" w:sz="0" w:space="0" w:color="auto"/>
        <w:right w:val="none" w:sz="0" w:space="0" w:color="auto"/>
      </w:divBdr>
    </w:div>
    <w:div w:id="598833101">
      <w:bodyDiv w:val="1"/>
      <w:marLeft w:val="0"/>
      <w:marRight w:val="0"/>
      <w:marTop w:val="0"/>
      <w:marBottom w:val="0"/>
      <w:divBdr>
        <w:top w:val="none" w:sz="0" w:space="0" w:color="auto"/>
        <w:left w:val="none" w:sz="0" w:space="0" w:color="auto"/>
        <w:bottom w:val="none" w:sz="0" w:space="0" w:color="auto"/>
        <w:right w:val="none" w:sz="0" w:space="0" w:color="auto"/>
      </w:divBdr>
    </w:div>
    <w:div w:id="629281786">
      <w:bodyDiv w:val="1"/>
      <w:marLeft w:val="0"/>
      <w:marRight w:val="0"/>
      <w:marTop w:val="0"/>
      <w:marBottom w:val="0"/>
      <w:divBdr>
        <w:top w:val="none" w:sz="0" w:space="0" w:color="auto"/>
        <w:left w:val="none" w:sz="0" w:space="0" w:color="auto"/>
        <w:bottom w:val="none" w:sz="0" w:space="0" w:color="auto"/>
        <w:right w:val="none" w:sz="0" w:space="0" w:color="auto"/>
      </w:divBdr>
    </w:div>
    <w:div w:id="825976068">
      <w:bodyDiv w:val="1"/>
      <w:marLeft w:val="0"/>
      <w:marRight w:val="0"/>
      <w:marTop w:val="0"/>
      <w:marBottom w:val="0"/>
      <w:divBdr>
        <w:top w:val="none" w:sz="0" w:space="0" w:color="auto"/>
        <w:left w:val="none" w:sz="0" w:space="0" w:color="auto"/>
        <w:bottom w:val="none" w:sz="0" w:space="0" w:color="auto"/>
        <w:right w:val="none" w:sz="0" w:space="0" w:color="auto"/>
      </w:divBdr>
    </w:div>
    <w:div w:id="997458607">
      <w:bodyDiv w:val="1"/>
      <w:marLeft w:val="0"/>
      <w:marRight w:val="0"/>
      <w:marTop w:val="0"/>
      <w:marBottom w:val="0"/>
      <w:divBdr>
        <w:top w:val="none" w:sz="0" w:space="0" w:color="auto"/>
        <w:left w:val="none" w:sz="0" w:space="0" w:color="auto"/>
        <w:bottom w:val="none" w:sz="0" w:space="0" w:color="auto"/>
        <w:right w:val="none" w:sz="0" w:space="0" w:color="auto"/>
      </w:divBdr>
    </w:div>
    <w:div w:id="1007515431">
      <w:bodyDiv w:val="1"/>
      <w:marLeft w:val="0"/>
      <w:marRight w:val="0"/>
      <w:marTop w:val="0"/>
      <w:marBottom w:val="0"/>
      <w:divBdr>
        <w:top w:val="none" w:sz="0" w:space="0" w:color="auto"/>
        <w:left w:val="none" w:sz="0" w:space="0" w:color="auto"/>
        <w:bottom w:val="none" w:sz="0" w:space="0" w:color="auto"/>
        <w:right w:val="none" w:sz="0" w:space="0" w:color="auto"/>
      </w:divBdr>
    </w:div>
    <w:div w:id="1037435172">
      <w:bodyDiv w:val="1"/>
      <w:marLeft w:val="0"/>
      <w:marRight w:val="0"/>
      <w:marTop w:val="0"/>
      <w:marBottom w:val="0"/>
      <w:divBdr>
        <w:top w:val="none" w:sz="0" w:space="0" w:color="auto"/>
        <w:left w:val="none" w:sz="0" w:space="0" w:color="auto"/>
        <w:bottom w:val="none" w:sz="0" w:space="0" w:color="auto"/>
        <w:right w:val="none" w:sz="0" w:space="0" w:color="auto"/>
      </w:divBdr>
    </w:div>
    <w:div w:id="1435633060">
      <w:bodyDiv w:val="1"/>
      <w:marLeft w:val="0"/>
      <w:marRight w:val="0"/>
      <w:marTop w:val="0"/>
      <w:marBottom w:val="0"/>
      <w:divBdr>
        <w:top w:val="none" w:sz="0" w:space="0" w:color="auto"/>
        <w:left w:val="none" w:sz="0" w:space="0" w:color="auto"/>
        <w:bottom w:val="none" w:sz="0" w:space="0" w:color="auto"/>
        <w:right w:val="none" w:sz="0" w:space="0" w:color="auto"/>
      </w:divBdr>
    </w:div>
    <w:div w:id="1616599865">
      <w:bodyDiv w:val="1"/>
      <w:marLeft w:val="0"/>
      <w:marRight w:val="0"/>
      <w:marTop w:val="0"/>
      <w:marBottom w:val="0"/>
      <w:divBdr>
        <w:top w:val="none" w:sz="0" w:space="0" w:color="auto"/>
        <w:left w:val="none" w:sz="0" w:space="0" w:color="auto"/>
        <w:bottom w:val="none" w:sz="0" w:space="0" w:color="auto"/>
        <w:right w:val="none" w:sz="0" w:space="0" w:color="auto"/>
      </w:divBdr>
    </w:div>
    <w:div w:id="1709604324">
      <w:bodyDiv w:val="1"/>
      <w:marLeft w:val="0"/>
      <w:marRight w:val="0"/>
      <w:marTop w:val="0"/>
      <w:marBottom w:val="0"/>
      <w:divBdr>
        <w:top w:val="none" w:sz="0" w:space="0" w:color="auto"/>
        <w:left w:val="none" w:sz="0" w:space="0" w:color="auto"/>
        <w:bottom w:val="none" w:sz="0" w:space="0" w:color="auto"/>
        <w:right w:val="none" w:sz="0" w:space="0" w:color="auto"/>
      </w:divBdr>
    </w:div>
    <w:div w:id="1850096032">
      <w:bodyDiv w:val="1"/>
      <w:marLeft w:val="0"/>
      <w:marRight w:val="0"/>
      <w:marTop w:val="0"/>
      <w:marBottom w:val="0"/>
      <w:divBdr>
        <w:top w:val="none" w:sz="0" w:space="0" w:color="auto"/>
        <w:left w:val="none" w:sz="0" w:space="0" w:color="auto"/>
        <w:bottom w:val="none" w:sz="0" w:space="0" w:color="auto"/>
        <w:right w:val="none" w:sz="0" w:space="0" w:color="auto"/>
      </w:divBdr>
    </w:div>
    <w:div w:id="196183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AE1554-D7BE-D645-8B40-2897EF46C1A2}">
  <we:reference id="wa104382081" version="1.5.0.0" store="en-US" storeType="OMEX"/>
  <we:alternateReferences>
    <we:reference id="wa104382081" version="1.5.0.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A8D73-0CFB-1F4D-8D1C-46E9FFD2A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6702</Words>
  <Characters>40750</Characters>
  <Application>Microsoft Office Word</Application>
  <DocSecurity>0</DocSecurity>
  <Lines>626</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cp:lastPrinted>2020-05-08T16:45:00Z</cp:lastPrinted>
  <dcterms:created xsi:type="dcterms:W3CDTF">2020-05-05T14:49:00Z</dcterms:created>
  <dcterms:modified xsi:type="dcterms:W3CDTF">2020-05-20T15:56:00Z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http://www.zotero.org/styles/genome-biology</vt:lpwstr>
  </property>
  <property fmtid="{D5CDD505-2E9C-101B-9397-08002B2CF9AE}" pid="11" name="Mendeley Recent Style Name 4_1">
    <vt:lpwstr>Genome Biology</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http://www.zotero.org/styles/nature-methods</vt:lpwstr>
  </property>
  <property fmtid="{D5CDD505-2E9C-101B-9397-08002B2CF9AE}" pid="17" name="Mendeley Recent Style Name 7_1">
    <vt:lpwstr>Nature Methods</vt:lpwstr>
  </property>
  <property fmtid="{D5CDD505-2E9C-101B-9397-08002B2CF9AE}" pid="18" name="Mendeley Recent Style Id 8_1">
    <vt:lpwstr>https://csl.mendeley.com/styles/518956291/springer-vancouver-brackets</vt:lpwstr>
  </property>
  <property fmtid="{D5CDD505-2E9C-101B-9397-08002B2CF9AE}" pid="19" name="Mendeley Recent Style Name 8_1">
    <vt:lpwstr>Springer - Vancouver (brackets) - Zijian Ni</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2811ed1e-88aa-3014-aa1a-d9ffbd5e9ed9</vt:lpwstr>
  </property>
  <property fmtid="{D5CDD505-2E9C-101B-9397-08002B2CF9AE}" pid="24" name="Mendeley Citation Style_1">
    <vt:lpwstr>https://csl.mendeley.com/styles/518956291/springer-vancouver-brackets</vt:lpwstr>
  </property>
</Properties>
</file>