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27107" w:rsidRPr="00F9041E" w:rsidRDefault="00772B53" w:rsidP="00F9041E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0" w:name="_roetd8vs64lr" w:colFirst="0" w:colLast="0"/>
      <w:bookmarkEnd w:id="0"/>
      <w:r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drawing>
          <wp:inline distT="0" distB="0" distL="0" distR="0">
            <wp:extent cx="5943600" cy="2286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_culture_sequencing_concordance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Figure S1: </w:t>
      </w:r>
      <w:r w:rsidR="00627107" w:rsidRPr="00F9041E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  <w:t xml:space="preserve">S. aureus 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test concordance. (a)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Detection of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S. aureus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by culture and sequencing showed strong, but not complete, concordance, due to high rates of false negatives. 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(b)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Sequencing false negatives (i.e.</w:t>
      </w:r>
      <w:r w:rsidR="009A49BC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,</w:t>
      </w:r>
      <w:bookmarkStart w:id="1" w:name="_GoBack"/>
      <w:bookmarkEnd w:id="1"/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samples positive for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S. aureus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by culture, but with zero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S. aureus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relative abundance by sequencing) tended to have overall lower sample read depth compared to sequencing true negatives.</w:t>
      </w:r>
    </w:p>
    <w:p w:rsidR="00627107" w:rsidRPr="00F9041E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627107" w:rsidRPr="00F9041E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627107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772B53" w:rsidRPr="00F9041E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627107" w:rsidRPr="00F9041E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lastRenderedPageBreak/>
        <w:drawing>
          <wp:inline distT="0" distB="0" distL="0" distR="0">
            <wp:extent cx="5943600" cy="3200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2_PCoA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_ofk166qqfljb" w:colFirst="0" w:colLast="0"/>
      <w:bookmarkEnd w:id="2"/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Figure S2: </w:t>
      </w:r>
      <w:proofErr w:type="spellStart"/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PCoA</w:t>
      </w:r>
      <w:proofErr w:type="spellEnd"/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plots of maternal taxonomic and functional features show associations with infant </w:t>
      </w:r>
      <w:r w:rsidR="00627107" w:rsidRPr="00F9041E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  <w:t>S. aureus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“ever” acquisition.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Principal coordinate analysis (</w:t>
      </w:r>
      <w:proofErr w:type="spellStart"/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PCoA</w:t>
      </w:r>
      <w:proofErr w:type="spellEnd"/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) plots were created using Bray-Curtis dissimilarity. Subjects with at least one sample with more than 25%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D. pigrum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relative abundance are displayed with a unique color.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(a)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As identified in the linear modeling results (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Fig. 3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), maternal relative abundance of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D. pigrum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was inversely associated with their infant “ever” acquiring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S. aureus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over the study period. 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(b)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This association created a pronounced signal in the functional data (as also seen in 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Fig. 3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).</w:t>
      </w:r>
    </w:p>
    <w:p w:rsidR="00627107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772B53" w:rsidRPr="00F9041E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772B53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lastRenderedPageBreak/>
        <w:t xml:space="preserve"> </w:t>
      </w:r>
      <w:bookmarkStart w:id="3" w:name="_ol6ny5jki853" w:colFirst="0" w:colLast="0"/>
      <w:bookmarkEnd w:id="3"/>
      <w:r w:rsidR="00772B53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>
            <wp:extent cx="4572000" cy="27432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3_Spearman_histogram.pd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107" w:rsidRPr="00F9041E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Figure S3: Spearman correlations of UniRef90 X5NU12 with the species-stratified abundances of other UniRef90s. 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The histogram shows all correlations greater than 0.35, and is colored to show the species of origin. </w:t>
      </w:r>
      <w:r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D. pigrum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contributed the large majority of the abundance of species-stratified UniRef90s moderately positively correlated with UniRef90 X5NU12.</w:t>
      </w:r>
    </w:p>
    <w:p w:rsidR="00627107" w:rsidRPr="00F9041E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627107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772B53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772B53" w:rsidRPr="00F9041E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627107" w:rsidRPr="00F9041E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627107" w:rsidRPr="00F9041E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lastRenderedPageBreak/>
        <w:drawing>
          <wp:inline distT="0" distB="0" distL="0" distR="0">
            <wp:extent cx="5943600" cy="27432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4_RF_variable_importance_staph_seq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4bswnznqy4j6" w:colFirst="0" w:colLast="0"/>
      <w:bookmarkEnd w:id="4"/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Figure S4: Variable importance plot for the prediction of infant </w:t>
      </w:r>
      <w:r w:rsidR="00627107" w:rsidRPr="00F9041E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  <w:t xml:space="preserve">S. aureus </w:t>
      </w:r>
      <w:r w:rsidR="00627107"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status by sequencing using infant ECs. 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In random forest models, EC 1.6.5.5 (NADPH:quinone reductase) in the infant nasal microbiome was the dominant predictor of infant </w:t>
      </w:r>
      <w:r w:rsidR="00627107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S. aureus</w:t>
      </w:r>
      <w:r w:rsidR="00627107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status by sequencing.</w:t>
      </w:r>
    </w:p>
    <w:p w:rsidR="00627107" w:rsidRDefault="00627107" w:rsidP="00F9041E">
      <w:pPr>
        <w:pStyle w:val="Heading5"/>
        <w:keepNext w:val="0"/>
        <w:keepLines w:val="0"/>
        <w:spacing w:before="0" w:line="480" w:lineRule="auto"/>
        <w:rPr>
          <w:rFonts w:ascii="Times New Roman" w:eastAsia="Times New Roman" w:hAnsi="Times New Roman" w:cs="Times New Roman"/>
          <w:color w:val="000000" w:themeColor="text1"/>
        </w:rPr>
      </w:pPr>
      <w:bookmarkStart w:id="5" w:name="_vj9mi37ngzeh" w:colFirst="0" w:colLast="0"/>
      <w:bookmarkEnd w:id="5"/>
      <w:r w:rsidRPr="00F9041E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A14043" w:rsidRDefault="00A14043" w:rsidP="00A14043"/>
    <w:p w:rsidR="00A14043" w:rsidRDefault="00A14043" w:rsidP="00A14043"/>
    <w:p w:rsidR="00A14043" w:rsidRDefault="00A14043" w:rsidP="00A14043"/>
    <w:p w:rsidR="00A14043" w:rsidRDefault="00A14043" w:rsidP="00A14043"/>
    <w:p w:rsidR="00772B53" w:rsidRPr="00A14043" w:rsidRDefault="00772B53" w:rsidP="00A14043"/>
    <w:p w:rsidR="00772B53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lastRenderedPageBreak/>
        <w:t xml:space="preserve"> </w:t>
      </w:r>
      <w:bookmarkStart w:id="6" w:name="_6kweivfmz8dq" w:colFirst="0" w:colLast="0"/>
      <w:bookmarkEnd w:id="6"/>
      <w:r w:rsidR="00772B53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>
            <wp:extent cx="4114800" cy="27432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5_EC 1.6.5.5 boxplots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107" w:rsidRDefault="00627107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Figure S5: Association of EC 1.6.5.5 (NADPH:quinone reductase) with infant and mother </w:t>
      </w:r>
      <w:r w:rsidRPr="00F9041E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  <w:t>S. aureus</w:t>
      </w: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status by sequencing. 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EC 1.6.5.5 was significantly inversely associated with </w:t>
      </w:r>
      <w:r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S. aureus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positivity by sequencing in both infants and mothers.</w:t>
      </w:r>
    </w:p>
    <w:p w:rsidR="00A14043" w:rsidRDefault="00A1404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A14043" w:rsidRDefault="00A1404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A14043" w:rsidRDefault="00A1404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772B53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772B53" w:rsidRDefault="00772B53" w:rsidP="00F9041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627107" w:rsidRPr="00772B53" w:rsidRDefault="00772B53" w:rsidP="00772B53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</w:rPr>
        <w:lastRenderedPageBreak/>
        <w:drawing>
          <wp:inline distT="0" distB="0" distL="0" distR="0">
            <wp:extent cx="5943600" cy="2743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6_RF_variable_importance_pheno_ever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7" w:name="_xbrfkw86ns5f" w:colFirst="0" w:colLast="0"/>
      <w:bookmarkEnd w:id="7"/>
      <w:r w:rsidR="00627107" w:rsidRPr="00772B5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Figure S6: Variable importance plot for the prediction of infant “ever” acquisition of </w:t>
      </w:r>
      <w:r w:rsidR="00627107" w:rsidRPr="00772B53">
        <w:rPr>
          <w:rFonts w:ascii="Times New Roman" w:eastAsia="Times New Roman" w:hAnsi="Times New Roman" w:cs="Times New Roman"/>
          <w:b/>
          <w:i/>
          <w:color w:val="000000" w:themeColor="text1"/>
          <w:sz w:val="18"/>
          <w:szCs w:val="18"/>
        </w:rPr>
        <w:t xml:space="preserve">S. aureus </w:t>
      </w:r>
      <w:r w:rsidR="00627107" w:rsidRPr="00772B5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using maternal ECs. </w:t>
      </w:r>
      <w:r w:rsidR="00627107" w:rsidRPr="00772B5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In random forest models, a number of maternal ECs were important for the prediction of infant “ever” acquisition, but none were as dominant as EC 1.6.5.5</w:t>
      </w:r>
      <w:r w:rsidR="00D23D0F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in the prediction of </w:t>
      </w:r>
      <w:r w:rsidR="00D23D0F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infant </w:t>
      </w:r>
      <w:r w:rsidR="00D23D0F" w:rsidRPr="00F9041E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S. aureus</w:t>
      </w:r>
      <w:r w:rsidR="00D23D0F"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status by sequencing</w:t>
      </w:r>
      <w:r w:rsidR="00627107" w:rsidRPr="00772B5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(</w:t>
      </w:r>
      <w:r w:rsidR="00627107" w:rsidRPr="00772B53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Fig. S4</w:t>
      </w:r>
      <w:r w:rsidR="00627107" w:rsidRPr="00772B5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).</w:t>
      </w:r>
    </w:p>
    <w:p w:rsidR="00772B53" w:rsidRDefault="00772B53" w:rsidP="00F9041E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bookmarkStart w:id="8" w:name="_97y6qm4a1h08" w:colFirst="0" w:colLast="0"/>
      <w:bookmarkEnd w:id="8"/>
      <w:r>
        <w:rPr>
          <w:rFonts w:ascii="Times New Roman" w:eastAsia="Times New Roman" w:hAnsi="Times New Roman" w:cs="Times New Roman"/>
          <w:b/>
          <w:noProof/>
          <w:color w:val="000000" w:themeColor="text1"/>
          <w:sz w:val="18"/>
          <w:szCs w:val="18"/>
        </w:rPr>
        <w:lastRenderedPageBreak/>
        <w:drawing>
          <wp:inline distT="0" distB="0" distL="0" distR="0">
            <wp:extent cx="4114800" cy="5943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7_MaAsLin_linear_models_sensitivity_analysis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2F3" w:rsidRPr="00772B53" w:rsidRDefault="00627107" w:rsidP="00F9041E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Figure S7: Significant associations between nasal microbiome taxono</w:t>
      </w:r>
      <w:r w:rsidR="00D96BE7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my</w:t>
      </w: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and subject phenotypes in a sensitivity analysis of the unmapped sample mass. 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The unmapped sample mass was treated like a taxonomic feature (i.e.</w:t>
      </w:r>
      <w:r w:rsidR="008D26E2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,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taxonomic profiles were rescaled by the percent mapped reads, and the percent unmapped reads was included as a feature), and linear models were rerun. Significant associations (q&lt;0.25) between individual taxonomic features and phenotypic covariates using a </w:t>
      </w:r>
      <w:proofErr w:type="spellStart"/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MaAsLin</w:t>
      </w:r>
      <w:proofErr w:type="spellEnd"/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multivariable linear model for the rescaled profiles are shown. An annotation of “+” indicates that the association was not seen in the original (</w:t>
      </w: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Fig. 3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) linear models, and an annotation of “-” indicates that the association was only seen in the original (</w:t>
      </w: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Fig. 3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) linear models. Overall, the percent unmapped sample mass was mostly representative of human contamination. As a result, model power was reduced by inducing a relationship between taxonomic composition and human contamination, and then also subsequently re-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lastRenderedPageBreak/>
        <w:t>adjusting for human contamination as a linear model covariate (</w:t>
      </w:r>
      <w:r w:rsidRPr="00F9041E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Methods</w:t>
      </w:r>
      <w:r w:rsidRPr="00F9041E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), causing weaker associations to drop over the threshold of significance.</w:t>
      </w:r>
    </w:p>
    <w:sectPr w:rsidR="00A062F3" w:rsidRPr="00772B53" w:rsidSect="00D54DF8"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732D" w:rsidRDefault="002A732D">
      <w:pPr>
        <w:spacing w:after="0"/>
      </w:pPr>
      <w:r>
        <w:separator/>
      </w:r>
    </w:p>
  </w:endnote>
  <w:endnote w:type="continuationSeparator" w:id="0">
    <w:p w:rsidR="002A732D" w:rsidRDefault="002A73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486118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555B84" w:rsidRDefault="0086762E" w:rsidP="00F8233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55B84" w:rsidRDefault="002A732D" w:rsidP="00555B8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64894340"/>
      <w:docPartObj>
        <w:docPartGallery w:val="Page Numbers (Bottom of Page)"/>
        <w:docPartUnique/>
      </w:docPartObj>
    </w:sdtPr>
    <w:sdtEndPr>
      <w:rPr>
        <w:rStyle w:val="PageNumber"/>
        <w:rFonts w:ascii="Times New Roman" w:hAnsi="Times New Roman" w:cs="Times New Roman"/>
        <w:sz w:val="24"/>
        <w:szCs w:val="24"/>
      </w:rPr>
    </w:sdtEndPr>
    <w:sdtContent>
      <w:p w:rsidR="00555B84" w:rsidRPr="00555B84" w:rsidRDefault="0086762E" w:rsidP="00F8233F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  <w:sz w:val="24"/>
            <w:szCs w:val="24"/>
          </w:rPr>
        </w:pPr>
        <w:r w:rsidRPr="00555B8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begin"/>
        </w:r>
        <w:r w:rsidRPr="00555B84">
          <w:rPr>
            <w:rStyle w:val="PageNumber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555B8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separate"/>
        </w:r>
        <w:r w:rsidRPr="00555B84">
          <w:rPr>
            <w:rStyle w:val="PageNumber"/>
            <w:rFonts w:ascii="Times New Roman" w:hAnsi="Times New Roman" w:cs="Times New Roman"/>
            <w:noProof/>
            <w:sz w:val="24"/>
            <w:szCs w:val="24"/>
          </w:rPr>
          <w:t>1</w:t>
        </w:r>
        <w:r w:rsidRPr="00555B84">
          <w:rPr>
            <w:rStyle w:val="PageNumber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55B84" w:rsidRDefault="002A732D" w:rsidP="00555B8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732D" w:rsidRDefault="002A732D">
      <w:pPr>
        <w:spacing w:after="0"/>
      </w:pPr>
      <w:r>
        <w:separator/>
      </w:r>
    </w:p>
  </w:footnote>
  <w:footnote w:type="continuationSeparator" w:id="0">
    <w:p w:rsidR="002A732D" w:rsidRDefault="002A73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07"/>
    <w:rsid w:val="00230C07"/>
    <w:rsid w:val="002A732D"/>
    <w:rsid w:val="002E16F3"/>
    <w:rsid w:val="00627107"/>
    <w:rsid w:val="00772B53"/>
    <w:rsid w:val="007E3643"/>
    <w:rsid w:val="00833F8C"/>
    <w:rsid w:val="0086762E"/>
    <w:rsid w:val="008D26E2"/>
    <w:rsid w:val="00947D17"/>
    <w:rsid w:val="009A49BC"/>
    <w:rsid w:val="00A14043"/>
    <w:rsid w:val="00B85D55"/>
    <w:rsid w:val="00C01B93"/>
    <w:rsid w:val="00D23D0F"/>
    <w:rsid w:val="00D96BE7"/>
    <w:rsid w:val="00F9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BC90FB"/>
  <w15:chartTrackingRefBased/>
  <w15:docId w15:val="{04CA26C7-77C9-D14B-BBAC-70B1F9B0F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107"/>
    <w:pPr>
      <w:spacing w:after="200"/>
      <w:jc w:val="both"/>
    </w:pPr>
    <w:rPr>
      <w:rFonts w:ascii="Arial" w:eastAsia="Arial" w:hAnsi="Arial" w:cs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7107"/>
    <w:pPr>
      <w:keepNext/>
      <w:keepLines/>
      <w:spacing w:before="480" w:after="120"/>
      <w:outlineLvl w:val="0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7107"/>
    <w:pPr>
      <w:keepNext/>
      <w:keepLines/>
      <w:spacing w:before="160"/>
      <w:outlineLvl w:val="4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7107"/>
    <w:rPr>
      <w:rFonts w:ascii="Arial" w:eastAsia="Arial" w:hAnsi="Arial" w:cs="Arial"/>
      <w:b/>
      <w:sz w:val="28"/>
      <w:szCs w:val="28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rsid w:val="00627107"/>
    <w:rPr>
      <w:rFonts w:ascii="Arial" w:eastAsia="Arial" w:hAnsi="Arial" w:cs="Arial"/>
      <w:sz w:val="18"/>
      <w:szCs w:val="18"/>
      <w:lang w:val="en"/>
    </w:rPr>
  </w:style>
  <w:style w:type="paragraph" w:styleId="Footer">
    <w:name w:val="footer"/>
    <w:basedOn w:val="Normal"/>
    <w:link w:val="FooterChar"/>
    <w:uiPriority w:val="99"/>
    <w:unhideWhenUsed/>
    <w:rsid w:val="0062710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27107"/>
    <w:rPr>
      <w:rFonts w:ascii="Arial" w:eastAsia="Arial" w:hAnsi="Arial" w:cs="Arial"/>
      <w:sz w:val="22"/>
      <w:szCs w:val="22"/>
      <w:lang w:val="en"/>
    </w:rPr>
  </w:style>
  <w:style w:type="character" w:styleId="PageNumber">
    <w:name w:val="page number"/>
    <w:basedOn w:val="DefaultParagraphFont"/>
    <w:uiPriority w:val="99"/>
    <w:semiHidden/>
    <w:unhideWhenUsed/>
    <w:rsid w:val="0062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2020-10-27T01:42:00Z</dcterms:created>
  <dcterms:modified xsi:type="dcterms:W3CDTF">2020-11-27T19:45:00Z</dcterms:modified>
</cp:coreProperties>
</file>