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BC32C" w14:textId="4333A1BE" w:rsidR="006A2855" w:rsidRPr="00D2795F" w:rsidRDefault="006A2855" w:rsidP="006A2855">
      <w:pPr>
        <w:spacing w:line="360" w:lineRule="auto"/>
        <w:rPr>
          <w:rFonts w:ascii="Cambria" w:hAnsi="Cambria"/>
          <w:b/>
          <w:color w:val="000000" w:themeColor="text1"/>
          <w:szCs w:val="22"/>
        </w:rPr>
      </w:pPr>
      <w:bookmarkStart w:id="0" w:name="_GoBack"/>
      <w:r w:rsidRPr="00D2795F">
        <w:rPr>
          <w:rFonts w:ascii="Cambria" w:hAnsi="Cambria"/>
          <w:b/>
          <w:color w:val="000000" w:themeColor="text1"/>
          <w:szCs w:val="22"/>
        </w:rPr>
        <w:t xml:space="preserve">Supplemental Data and Data Source Descriptions </w:t>
      </w:r>
    </w:p>
    <w:bookmarkEnd w:id="0"/>
    <w:p w14:paraId="01F22255" w14:textId="77777777" w:rsidR="00186631" w:rsidRDefault="00186631" w:rsidP="00E20C40">
      <w:pPr>
        <w:spacing w:line="360" w:lineRule="auto"/>
        <w:rPr>
          <w:b/>
          <w:color w:val="000000" w:themeColor="text1"/>
          <w:sz w:val="20"/>
          <w:szCs w:val="22"/>
        </w:rPr>
      </w:pPr>
    </w:p>
    <w:p w14:paraId="393089BF" w14:textId="77777777" w:rsidR="00E20C40" w:rsidRPr="00DA1123" w:rsidRDefault="00E20C40" w:rsidP="00E20C40">
      <w:pPr>
        <w:spacing w:line="360" w:lineRule="auto"/>
        <w:rPr>
          <w:color w:val="000000" w:themeColor="text1"/>
          <w:sz w:val="20"/>
          <w:szCs w:val="22"/>
        </w:rPr>
      </w:pPr>
      <w:r w:rsidRPr="00DA1123">
        <w:rPr>
          <w:b/>
          <w:color w:val="000000" w:themeColor="text1"/>
          <w:sz w:val="20"/>
          <w:szCs w:val="22"/>
        </w:rPr>
        <w:t xml:space="preserve">Table </w:t>
      </w:r>
      <w:r>
        <w:rPr>
          <w:b/>
          <w:color w:val="000000" w:themeColor="text1"/>
          <w:sz w:val="20"/>
          <w:szCs w:val="22"/>
        </w:rPr>
        <w:t>S</w:t>
      </w:r>
      <w:r w:rsidRPr="00DA1123">
        <w:rPr>
          <w:b/>
          <w:color w:val="000000" w:themeColor="text1"/>
          <w:sz w:val="20"/>
          <w:szCs w:val="22"/>
        </w:rPr>
        <w:t xml:space="preserve">1: </w:t>
      </w:r>
      <w:r w:rsidRPr="00DA1123">
        <w:rPr>
          <w:color w:val="000000" w:themeColor="text1"/>
          <w:sz w:val="20"/>
          <w:szCs w:val="22"/>
        </w:rPr>
        <w:t>Prior chromatin datasets for mouse embryoid bodies, generated in the same cell line as that were used to induce Ascl1.</w:t>
      </w:r>
    </w:p>
    <w:tbl>
      <w:tblPr>
        <w:tblStyle w:val="TableGrid"/>
        <w:tblW w:w="0" w:type="auto"/>
        <w:tblInd w:w="108" w:type="dxa"/>
        <w:tblLook w:val="04A0" w:firstRow="1" w:lastRow="0" w:firstColumn="1" w:lastColumn="0" w:noHBand="0" w:noVBand="1"/>
      </w:tblPr>
      <w:tblGrid>
        <w:gridCol w:w="1604"/>
        <w:gridCol w:w="2041"/>
        <w:gridCol w:w="1679"/>
        <w:gridCol w:w="1679"/>
      </w:tblGrid>
      <w:tr w:rsidR="00E20C40" w:rsidRPr="00DA1123" w14:paraId="558E2885" w14:textId="77777777" w:rsidTr="00FB7C49">
        <w:tc>
          <w:tcPr>
            <w:tcW w:w="1604" w:type="dxa"/>
          </w:tcPr>
          <w:p w14:paraId="162136D0"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Data</w:t>
            </w:r>
          </w:p>
        </w:tc>
        <w:tc>
          <w:tcPr>
            <w:tcW w:w="2041" w:type="dxa"/>
          </w:tcPr>
          <w:p w14:paraId="1340758C"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Replicates</w:t>
            </w:r>
          </w:p>
        </w:tc>
        <w:tc>
          <w:tcPr>
            <w:tcW w:w="1679" w:type="dxa"/>
          </w:tcPr>
          <w:p w14:paraId="2AEA473D"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Cell Type</w:t>
            </w:r>
          </w:p>
        </w:tc>
        <w:tc>
          <w:tcPr>
            <w:tcW w:w="1679" w:type="dxa"/>
          </w:tcPr>
          <w:p w14:paraId="78BBBEA8"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Cell Line</w:t>
            </w:r>
          </w:p>
        </w:tc>
      </w:tr>
      <w:tr w:rsidR="00E20C40" w:rsidRPr="00DA1123" w14:paraId="1D4A13EF" w14:textId="77777777" w:rsidTr="00FB7C49">
        <w:tc>
          <w:tcPr>
            <w:tcW w:w="1604" w:type="dxa"/>
          </w:tcPr>
          <w:p w14:paraId="49B548F6"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ATAC-seq</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4ABCEC9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4CCE4EC7"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21B0F8E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r w:rsidR="00E20C40" w:rsidRPr="00DA1123" w14:paraId="58898A91" w14:textId="77777777" w:rsidTr="00FB7C49">
        <w:tc>
          <w:tcPr>
            <w:tcW w:w="1604" w:type="dxa"/>
          </w:tcPr>
          <w:p w14:paraId="3DEB7305"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H3K27ac</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0CA84D54"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2FAB4012"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57C5C0F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r w:rsidR="00E20C40" w:rsidRPr="00DA1123" w14:paraId="5A45B63D" w14:textId="77777777" w:rsidTr="00FB7C49">
        <w:tc>
          <w:tcPr>
            <w:tcW w:w="1604" w:type="dxa"/>
          </w:tcPr>
          <w:p w14:paraId="2F95C2A8"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H3K27me3</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1F5962A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432B50C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6FC7AD0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r w:rsidR="00E20C40" w:rsidRPr="00DA1123" w14:paraId="24FB0F84" w14:textId="77777777" w:rsidTr="00FB7C49">
        <w:tc>
          <w:tcPr>
            <w:tcW w:w="1604" w:type="dxa"/>
          </w:tcPr>
          <w:p w14:paraId="3F6D3420"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H3K4me1</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5B759407"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48BCB9A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0B2BA8E5"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r w:rsidR="00E20C40" w:rsidRPr="00DA1123" w14:paraId="3D7C31C2" w14:textId="77777777" w:rsidTr="00FB7C49">
        <w:tc>
          <w:tcPr>
            <w:tcW w:w="1604" w:type="dxa"/>
          </w:tcPr>
          <w:p w14:paraId="4E8F08E1"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H3K4me2</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605475F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233EFAA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42226B5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r w:rsidR="00E20C40" w:rsidRPr="00DA1123" w14:paraId="68C90434" w14:textId="77777777" w:rsidTr="00FB7C49">
        <w:tc>
          <w:tcPr>
            <w:tcW w:w="1604" w:type="dxa"/>
          </w:tcPr>
          <w:p w14:paraId="608DBAD0"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H3K4me3</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{"citationItems":[{"id":"ITEM-1","itemData":{"DOI":"10.1016/j.stem.2016.11.006","ISSN":"19345909","PMID":"27939218","abstract":"Direct cell programming via overexpression of transcription factors (TFs) aims to control cell fate with the degree of precision needed for clinical applications. However, the regulatory steps involved in successful terminal cell fate programming remain obscure. We have investigated the underlying mechanisms by looking at gene expression, chromatin states, and TF binding during the uniquely efficient Ngn2, Isl1, and Lhx3 motor neuron programming pathway. Our analysis reveals a highly dynamic process in which Ngn2 and the Isl1/Lhx3 pair initially engage distinct regulatory regions. Subsequently, Isl1/Lhx3 binding shifts from one set of targets to another, controlling regulatory region activity and gene expression as cell differentiation progresses. Binding of Isl1/Lhx3 to later motor neuron enhancers depends on the Ebf and Onecut TFs, which are induced by Ngn2 during the programming process. Thus, motor neuron programming is the product of two initially independent transcriptional modules that converge with a feedforward transcriptional logic.","author":[{"dropping-particle":"","family":"Velasco","given":"Silvia","non-dropping-particle":"","parse-names":false,"suffix":""},{"dropping-particle":"","family":"Ibrahim","given":"Mahmoud M.","non-dropping-particle":"","parse-names":false,"suffix":""},{"dropping-particle":"","family":"Kakumanu","given":"Akshay","non-dropping-particle":"","parse-names":false,"suffix":""},{"dropping-particle":"","family":"Garipler","given":"Görkem","non-dropping-particle":"","parse-names":false,"suffix":""},{"dropping-particle":"","family":"Aydin","given":"Begüm","non-dropping-particle":"","parse-names":false,"suffix":""},{"dropping-particle":"","family":"Al-Sayegh","given":"Mohamed Ahmed","non-dropping-particle":"","parse-names":false,"suffix":""},{"dropping-particle":"","family":"Hirsekorn","given":"Antje","non-dropping-particle":"","parse-names":false,"suffix":""},{"dropping-particle":"","family":"Abdul-Rahman","given":"Farah","non-dropping-particle":"","parse-names":false,"suffix":""},{"dropping-particle":"","family":"Satija","given":"Rahul","non-dropping-particle":"","parse-names":false,"suffix":""},{"dropping-particle":"","family":"Ohler","given":"Uwe","non-dropping-particle":"","parse-names":false,"suffix":""},{"dropping-particle":"","family":"Mahony","given":"Shaun","non-dropping-particle":"","parse-names":false,"suffix":""},{"dropping-particle":"","family":"Mazzoni","given":"Esteban O.","non-dropping-particle":"","parse-names":false,"suffix":""}],"container-title":"Cell Stem Cell","id":"ITEM-1","issue":"2","issued":{"date-parts":[["2017","2","2"]]},"page":"205-217.e8","title":"A Multi-step Transcriptional and Chromatin State Cascade Underlies Motor Neuron Programming from Embryonic Stem Cells","type":"article-journal","volume":"20"},"uris":["http://www.mendeley.com/documents/?uuid=fe0ea127-712d-3701-9314-1f4838bafbda"]}],"mendeley":{"formattedCitation":"&lt;sup&gt;1&lt;/sup&gt;","plainTextFormattedCitation":"1","previouslyFormattedCitation":"&lt;sup&gt;1&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1</w:t>
            </w:r>
            <w:r w:rsidRPr="00DA1123">
              <w:rPr>
                <w:color w:val="000000" w:themeColor="text1"/>
                <w:sz w:val="22"/>
                <w:szCs w:val="22"/>
              </w:rPr>
              <w:fldChar w:fldCharType="end"/>
            </w:r>
          </w:p>
        </w:tc>
        <w:tc>
          <w:tcPr>
            <w:tcW w:w="2041" w:type="dxa"/>
          </w:tcPr>
          <w:p w14:paraId="3844A78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3CDB2049"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EB</w:t>
            </w:r>
          </w:p>
        </w:tc>
        <w:tc>
          <w:tcPr>
            <w:tcW w:w="1679" w:type="dxa"/>
          </w:tcPr>
          <w:p w14:paraId="3D72663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Ainv15</w:t>
            </w:r>
          </w:p>
        </w:tc>
      </w:tr>
    </w:tbl>
    <w:p w14:paraId="02B33B20" w14:textId="77777777" w:rsidR="00E20C40" w:rsidRPr="00DA1123" w:rsidRDefault="00E20C40" w:rsidP="00E20C40">
      <w:pPr>
        <w:spacing w:line="360" w:lineRule="auto"/>
        <w:rPr>
          <w:b/>
          <w:color w:val="000000" w:themeColor="text1"/>
          <w:sz w:val="22"/>
          <w:szCs w:val="22"/>
        </w:rPr>
      </w:pPr>
    </w:p>
    <w:p w14:paraId="30EFF43F" w14:textId="77777777" w:rsidR="00E20C40" w:rsidRPr="00DA1123" w:rsidRDefault="00E20C40" w:rsidP="00E20C40">
      <w:pPr>
        <w:spacing w:line="360" w:lineRule="auto"/>
        <w:rPr>
          <w:color w:val="000000" w:themeColor="text1"/>
          <w:sz w:val="20"/>
          <w:szCs w:val="22"/>
        </w:rPr>
      </w:pPr>
      <w:r w:rsidRPr="00DA1123">
        <w:rPr>
          <w:b/>
          <w:color w:val="000000" w:themeColor="text1"/>
          <w:sz w:val="20"/>
          <w:szCs w:val="22"/>
        </w:rPr>
        <w:t xml:space="preserve">Table </w:t>
      </w:r>
      <w:r>
        <w:rPr>
          <w:b/>
          <w:color w:val="000000" w:themeColor="text1"/>
          <w:sz w:val="20"/>
          <w:szCs w:val="22"/>
        </w:rPr>
        <w:t>S</w:t>
      </w:r>
      <w:r w:rsidRPr="00DA1123">
        <w:rPr>
          <w:b/>
          <w:color w:val="000000" w:themeColor="text1"/>
          <w:sz w:val="20"/>
          <w:szCs w:val="22"/>
        </w:rPr>
        <w:t xml:space="preserve">2: </w:t>
      </w:r>
      <w:r w:rsidRPr="00DA1123">
        <w:rPr>
          <w:color w:val="000000" w:themeColor="text1"/>
          <w:sz w:val="20"/>
          <w:szCs w:val="22"/>
        </w:rPr>
        <w:t xml:space="preserve">Prior chromatin datasets from mouse embryonic stem cells, sourced from the referenced publications. </w:t>
      </w:r>
    </w:p>
    <w:tbl>
      <w:tblPr>
        <w:tblStyle w:val="TableGrid"/>
        <w:tblW w:w="0" w:type="auto"/>
        <w:tblInd w:w="108" w:type="dxa"/>
        <w:tblLook w:val="04A0" w:firstRow="1" w:lastRow="0" w:firstColumn="1" w:lastColumn="0" w:noHBand="0" w:noVBand="1"/>
      </w:tblPr>
      <w:tblGrid>
        <w:gridCol w:w="1604"/>
        <w:gridCol w:w="2041"/>
        <w:gridCol w:w="1679"/>
        <w:gridCol w:w="2974"/>
      </w:tblGrid>
      <w:tr w:rsidR="00E20C40" w:rsidRPr="00DA1123" w14:paraId="74FFE3DD" w14:textId="77777777" w:rsidTr="00FB7C49">
        <w:tc>
          <w:tcPr>
            <w:tcW w:w="1604" w:type="dxa"/>
          </w:tcPr>
          <w:p w14:paraId="0079E285"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Data</w:t>
            </w:r>
          </w:p>
        </w:tc>
        <w:tc>
          <w:tcPr>
            <w:tcW w:w="2041" w:type="dxa"/>
          </w:tcPr>
          <w:p w14:paraId="5EF3B353"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Replicates</w:t>
            </w:r>
          </w:p>
        </w:tc>
        <w:tc>
          <w:tcPr>
            <w:tcW w:w="1679" w:type="dxa"/>
          </w:tcPr>
          <w:p w14:paraId="46335B08"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Cell Type</w:t>
            </w:r>
          </w:p>
        </w:tc>
        <w:tc>
          <w:tcPr>
            <w:tcW w:w="2974" w:type="dxa"/>
          </w:tcPr>
          <w:p w14:paraId="3B382C15"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Cell Line</w:t>
            </w:r>
          </w:p>
        </w:tc>
      </w:tr>
      <w:tr w:rsidR="00E20C40" w:rsidRPr="00DA1123" w14:paraId="7C119F96" w14:textId="77777777" w:rsidTr="00FB7C49">
        <w:tc>
          <w:tcPr>
            <w:tcW w:w="1604" w:type="dxa"/>
          </w:tcPr>
          <w:p w14:paraId="17D58502"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H3K9ac</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{"citationItems":[{"id":"ITEM-1","itemData":{"DOI":"10.1038/nature13992","ISSN":"0028-0836","abstract":"The Mouse ENCODE Consortium has mapped transcription, DNase I hypersensitivity, transcription factor binding, chromatin modifications and replication domains throughout the mouse genome in diverse cell and tissue types; these data were compared with those from human to confirm substantial conservation in the newly annotated potential functional sequences and to reveal pronounced divergence of other sequences involved in transcriptional regulation, chromatin state and higher order chromatin organization.","author":[{"dropping-particle":"","family":"Yue","given":"Feng","non-dropping-particle":"","parse-names":false,"suffix":""},{"dropping-particle":"","family":"Cheng","given":"Yong","non-dropping-particle":"","parse-names":false,"suffix":""},{"dropping-particle":"","family":"Breschi","given":"Alessandra","non-dropping-particle":"","parse-names":false,"suffix":""},{"dropping-particle":"","family":"Vierstra","given":"Jeff","non-dropping-particle":"","parse-names":false,"suffix":""},{"dropping-particle":"","family":"Wu","given":"Weisheng","non-dropping-particle":"","parse-names":false,"suffix":""},{"dropping-particle":"","family":"Ryba","given":"Tyrone","non-dropping-particle":"","parse-names":false,"suffix":""},{"dropping-particle":"","family":"Sandstrom","given":"Richard","non-dropping-particle":"","parse-names":false,"suffix":""},{"dropping-particle":"","family":"Ma","given":"Zhihai","non-dropping-particle":"","parse-names":false,"suffix":""},{"dropping-particle":"","family":"Davis","given":"Carrie","non-dropping-particle":"","parse-names":false,"suffix":""},{"dropping-particle":"","family":"Pope","given":"Benjamin D.","non-dropping-particle":"","parse-names":false,"suffix":""},{"dropping-particle":"","family":"Shen","given":"Yin","non-dropping-particle":"","parse-names":false,"suffix":""},{"dropping-particle":"","family":"Pervouchine","given":"Dmitri D.","non-dropping-particle":"","parse-names":false,"suffix":""},{"dropping-particle":"","family":"Djebali","given":"Sarah","non-dropping-particle":"","parse-names":false,"suffix":""},{"dropping-particle":"","family":"Thurman","given":"Robert E.","non-dropping-particle":"","parse-names":false,"suffix":""},{"dropping-particle":"","family":"Kaul","given":"Rajinder","non-dropping-particle":"","parse-names":false,"suffix":""},{"dropping-particle":"","family":"Rynes","given":"Eric","non-dropping-particle":"","parse-names":false,"suffix":""},{"dropping-particle":"","family":"Kirilusha","given":"Anthony","non-dropping-particle":"","parse-names":false,"suffix":""},{"dropping-particle":"","family":"Marinov","given":"Georgi K.","non-dropping-particle":"","parse-names":false,"suffix":""},{"dropping-particle":"","family":"Williams","given":"Brian A.","non-dropping-particle":"","parse-names":false,"suffix":""},{"dropping-particle":"","family":"Trout","given":"Diane","non-dropping-particle":"","parse-names":false,"suffix":""},{"dropping-particle":"","family":"Amrhein","given":"Henry","non-dropping-particle":"","parse-names":false,"suffix":""},{"dropping-particle":"","family":"Fisher-Aylor","given":"Katherine","non-dropping-particle":"","parse-names":false,"suffix":""},{"dropping-particle":"","family":"Antoshechkin","given":"Igor","non-dropping-particle":"","parse-names":false,"suffix":""},{"dropping-particle":"","family":"DeSalvo","given":"Gilberto","non-dropping-particle":"","parse-names":false,"suffix":""},{"dropping-particle":"","family":"See","given":"Lei-Hoon","non-dropping-particle":"","parse-names":false,"suffix":""},{"dropping-particle":"","family":"Fastuca","given":"Meagan","non-dropping-particle":"","parse-names":false,"suffix":""},{"dropping-particle":"","family":"Drenkow","given":"Jorg","non-dropping-particle":"","parse-names":false,"suffix":""},{"dropping-particle":"","family":"Zaleski","given":"Chris","non-dropping-particle":"","parse-names":false,"suffix":""},{"dropping-particle":"","family":"Dobin","given":"Alex","non-dropping-particle":"","parse-names":false,"suffix":""},{"dropping-particle":"","family":"Prieto","given":"Pablo","non-dropping-particle":"","parse-names":false,"suffix":""},{"dropping-particle":"","family":"Lagarde","given":"Julien","non-dropping-particle":"","parse-names":false,"suffix":""},{"dropping-particle":"","family":"Bussotti","given":"Giovanni","non-dropping-particle":"","parse-names":false,"suffix":""},{"dropping-particle":"","family":"Tanzer","given":"Andrea","non-dropping-particle":"","parse-names":false,"suffix":""},{"dropping-particle":"","family":"Denas","given":"Olgert","non-dropping-particle":"","parse-names":false,"suffix":""},{"dropping-particle":"","family":"Li","given":"Kanwei","non-dropping-particle":"","parse-names":false,"suffix":""},{"dropping-particle":"","family":"Bender","given":"M. A.","non-dropping-particle":"","parse-names":false,"suffix":""},{"dropping-particle":"","family":"Zhang","given":"Miaohua","non-dropping-particle":"","parse-names":false,"suffix":""},{"dropping-particle":"","family":"Byron","given":"Rachel","non-dropping-particle":"","parse-names":false,"suffix":""},{"dropping-particle":"","family":"Groudine","given":"Mark T.","non-dropping-particle":"","parse-names":false,"suffix":""},{"dropping-particle":"","family":"McCleary","given":"David","non-dropping-particle":"","parse-names":false,"suffix":""},{"dropping-particle":"","family":"Pham","given":"Long","non-dropping-particle":"","parse-names":false,"suffix":""},{"dropping-particle":"","family":"Ye","given":"Zhen","non-dropping-particle":"","parse-names":false,"suffix":""},{"dropping-particle":"","family":"Kuan","given":"Samantha","non-dropping-particle":"","parse-names":false,"suffix":""},{"dropping-particle":"","family":"Edsall","given":"Lee","non-dropping-particle":"","parse-names":false,"suffix":""},{"dropping-particle":"","family":"Wu","given":"Yi-Chieh","non-dropping-particle":"","parse-names":false,"suffix":""},{"dropping-particle":"","family":"Rasmussen","given":"Matthew D.","non-dropping-particle":"","parse-names":false,"suffix":""},{"dropping-particle":"","family":"Bansal","given":"Mukul S.","non-dropping-particle":"","parse-names":false,"suffix":""},{"dropping-particle":"","family":"Kellis","given":"Manolis","non-dropping-particle":"","parse-names":false,"suffix":""},{"dropping-particle":"","family":"Keller","given":"Cheryl A.","non-dropping-particle":"","parse-names":false,"suffix":""},{"dropping-particle":"","family":"Morrissey","given":"Christapher S.","non-dropping-particle":"","parse-names":false,"suffix":""},{"dropping-particle":"","family":"Mishra","given":"Tejaswini","non-dropping-particle":"","parse-names":false,"suffix":""},{"dropping-particle":"","family":"Jain","given":"Deepti","non-dropping-particle":"","parse-names":false,"suffix":""},{"dropping-particle":"","family":"Dogan","given":"Nergiz","non-dropping-particle":"","parse-names":false,"suffix":""},{"dropping-particle":"","family":"Harris","given":"Robert S.","non-dropping-particle":"","parse-names":false,"suffix":""},{"dropping-particle":"","family":"Cayting","given":"Philip","non-dropping-particle":"","parse-names":false,"suffix":""},{"dropping-particle":"","family":"Kawli","given":"Trupti","non-dropping-particle":"","parse-names":false,"suffix":""},{"dropping-particle":"","family":"Boyle","given":"Alan P.","non-dropping-particle":"","parse-names":false,"suffix":""},{"dropping-particle":"","family":"Euskirchen","given":"Ghia","non-dropping-particle":"","parse-names":false,"suffix":""},{"dropping-particle":"","family":"Kundaje","given":"Anshul","non-dropping-particle":"","parse-names":false,"suffix":""},{"dropping-particle":"","family":"Lin","given":"Shin","non-dropping-particle":"","parse-names":false,"suffix":""},{"dropping-particle":"","family":"Lin","given":"Yiing","non-dropping-particle":"","parse-names":false,"suffix":""},{"dropping-particle":"","family":"Jansen","given":"Camden","non-dropping-particle":"","parse-names":false,"suffix":""},{"dropping-particle":"","family":"Malladi","given":"Venkat S.","non-dropping-particle":"","parse-names":false,"suffix":""},{"dropping-particle":"","family":"Cline","given":"Melissa S.","non-dropping-particle":"","parse-names":false,"suffix":""},{"dropping-particle":"","family":"Erickson","given":"Drew T.","non-dropping-particle":"","parse-names":false,"suffix":""},{"dropping-particle":"","family":"Kirkup","given":"Vanessa M.","non-dropping-particle":"","parse-names":false,"suffix":""},{"dropping-particle":"","family":"Learned","given":"Katrina","non-dropping-particle":"","parse-names":false,"suffix":""},{"dropping-particle":"","family":"Sloan","given":"Cricket A.","non-dropping-particle":"","parse-names":false,"suffix":""},{"dropping-particle":"","family":"Rosenbloom","given":"Kate R.","non-dropping-particle":"","parse-names":false,"suffix":""},{"dropping-particle":"","family":"Lacerda de Sousa","given":"Beatriz","non-dropping-particle":"","parse-names":false,"suffix":""},{"dropping-particle":"","family":"Beal","given":"Kathryn","non-dropping-particle":"","parse-names":false,"suffix":""},{"dropping-particle":"","family":"Pignatelli","given":"Miguel","non-dropping-particle":"","parse-names":false,"suffix":""},{"dropping-particle":"","family":"Flicek","given":"Paul","non-dropping-particle":"","parse-names":false,"suffix":""},{"dropping-particle":"","family":"Lian","given":"Jin","non-dropping-particle":"","parse-names":false,"suffix":""},{"dropping-particle":"","family":"Kahveci","given":"Tamer","non-dropping-particle":"","parse-names":false,"suffix":""},{"dropping-particle":"","family":"Lee","given":"Dongwon","non-dropping-particle":"","parse-names":false,"suffix":""},{"dropping-particle":"","family":"James Kent","given":"W.","non-dropping-particle":"","parse-names":false,"suffix":""},{"dropping-particle":"","family":"Ramalho Santos","given":"Miguel","non-dropping-particle":"","parse-names":false,"suffix":""},{"dropping-particle":"","family":"Herrero","given":"Javier","non-dropping-particle":"","parse-names":false,"suffix":""},{"dropping-particle":"","family":"Notredame","given":"Cedric","non-dropping-particle":"","parse-names":false,"suffix":""},{"dropping-particle":"","family":"Johnson","given":"Audra","non-dropping-particle":"","parse-names":false,"suffix":""},{"dropping-particle":"","family":"Vong","given":"Shinny","non-dropping-particle":"","parse-names":false,"suffix":""},{"dropping-particle":"","family":"Lee","given":"Kristen","non-dropping-particle":"","parse-names":false,"suffix":""},{"dropping-particle":"","family":"Bates","given":"Daniel","non-dropping-particle":"","parse-names":false,"suffix":""},{"dropping-particle":"","family":"Neri","given":"Fidencio","non-dropping-particle":"","parse-names":false,"suffix":""},{"dropping-particle":"","family":"Diegel","given":"Morgan","non-dropping-particle":"","parse-names":false,"suffix":""},{"dropping-particle":"","family":"Canfield","given":"Theresa","non-dropping-particle":"","parse-names":false,"suffix":""},{"dropping-particle":"","family":"Sabo","given":"Peter J.","non-dropping-particle":"","parse-names":false,"suffix":""},{"dropping-particle":"","family":"Wilken","given":"Matthew S.","non-dropping-particle":"","parse-names":false,"suffix":""},{"dropping-particle":"","family":"Reh","given":"Thomas A.","non-dropping-particle":"","parse-names":false,"suffix":""},{"dropping-particle":"","family":"Giste","given":"Erika","non-dropping-particle":"","parse-names":false,"suffix":""},{"dropping-particle":"","family":"Shafer","given":"Anthony","non-dropping-particle":"","parse-names":false,"suffix":""},{"dropping-particle":"","family":"Kutyavin","given":"Tanya","non-dropping-particle":"","parse-names":false,"suffix":""},{"dropping-particle":"","family":"Haugen","given":"Eric","non-dropping-particle":"","parse-names":false,"suffix":""},{"dropping-particle":"","family":"Dunn","given":"Douglas","non-dropping-particle":"","parse-names":false,"suffix":""},{"dropping-particle":"","family":"Reynolds","given":"Alex P.","non-dropping-particle":"","parse-names":false,"suffix":""},{"dropping-particle":"","family":"Neph","given":"Shane","non-dropping-particle":"","parse-names":false,"suffix":""},{"dropping-particle":"","family":"Humbert","given":"Richard","non-dropping-particle":"","parse-names":false,"suffix":""},{"dropping-particle":"","family":"Scott Hansen","given":"R.","non-dropping-particle":"","parse-names":false,"suffix":""},{"dropping-particle":"","family":"Bruijn","given":"Marella","non-dropping-particle":"De","parse-names":false,"suffix":""},{"dropping-particle":"","family":"Selleri","given":"Licia","non-dropping-particle":"","parse-names":false,"suffix":""},{"dropping-particle":"","family":"Rudensky","given":"Alexander","non-dropping-particle":"","parse-names":false,"suffix":""},{"dropping-particle":"","family":"Josefowicz","given":"Steven","non-dropping-particle":"","parse-names":false,"suffix":""},{"dropping-particle":"","family":"Samstein","given":"Robert","non-dropping-particle":"","parse-names":false,"suffix":""},{"dropping-particle":"","family":"Eichler","given":"Evan E.","non-dropping-particle":"","parse-names":false,"suffix":""},{"dropping-particle":"","family":"Orkin","given":"Stuart H.","non-dropping-particle":"","parse-names":false,"suffix":""},{"dropping-particle":"","family":"Levasseur","given":"Dana","non-dropping-particle":"","parse-names":false,"suffix":""},{"dropping-particle":"","family":"Papayannopoulou","given":"Thalia","non-dropping-particle":"","parse-names":false,"suffix":""},{"dropping-particle":"","family":"Chang","given":"Kai-Hsin","non-dropping-particle":"","parse-names":false,"suffix":""},{"dropping-particle":"","family":"Skoultchi","given":"Arthur","non-dropping-particle":"","parse-names":false,"suffix":""},{"dropping-particle":"","family":"Gosh","given":"Srikanta","non-dropping-particle":"","parse-names":false,"suffix":""},{"dropping-particle":"","family":"Disteche","given":"Christine","non-dropping-particle":"","parse-names":false,"suffix":""},{"dropping-particle":"","family":"Treuting","given":"Piper","non-dropping-particle":"","parse-names":false,"suffix":""},{"dropping-particle":"","family":"Wang","given":"Yanli","non-dropping-particle":"","parse-names":false,"suffix":""},{"dropping-particle":"","family":"Weiss","given":"Mitchell J.","non-dropping-particle":"","parse-names":false,"suffix":""},{"dropping-particle":"","family":"Blobel","given":"Gerd A.","non-dropping-particle":"","parse-names":false,"suffix":""},{"dropping-particle":"","family":"Cao","given":"Xiaoyi","non-dropping-particle":"","parse-names":false,"suffix":""},{"dropping-particle":"","family":"Zhong","given":"Sheng","non-dropping-particle":"","parse-names":false,"suffix":""},{"dropping-particle":"","family":"Wang","given":"Ting","non-dropping-particle":"","parse-names":false,"suffix":""},{"dropping-particle":"","family":"Good","given":"Peter J.","non-dropping-particle":"","parse-names":false,"suffix":""},{"dropping-particle":"","family":"Lowdon","given":"Rebecca F.","non-dropping-particle":"","parse-names":false,"suffix":""},{"dropping-particle":"","family":"Adams","given":"Leslie B.","non-dropping-particle":"","parse-names":false,"suffix":""},{"dropping-particle":"","family":"Zhou","given":"Xiao-Qiao","non-dropping-particle":"","parse-names":false,"suffix":""},{"dropping-particle":"","family":"Pazin","given":"Michael J.","non-dropping-particle":"","parse-names":false,"suffix":""},{"dropping-particle":"","family":"Feingold","given":"Elise A.","non-dropping-particle":"","parse-names":false,"suffix":""},{"dropping-particle":"","family":"Wold","given":"Barbara","non-dropping-particle":"","parse-names":false,"suffix":""},{"dropping-particle":"","family":"Taylor","given":"James","non-dropping-particle":"","parse-names":false,"suffix":""},{"dropping-particle":"","family":"Mortazavi","given":"Ali","non-dropping-particle":"","parse-names":false,"suffix":""},{"dropping-particle":"","family":"Weissman","given":"Sherman M.","non-dropping-particle":"","parse-names":false,"suffix":""},{"dropping-particle":"","family":"Stamatoyannopoulos","given":"John A.","non-dropping-particle":"","parse-names":false,"suffix":""},{"dropping-particle":"","family":"Snyder","given":"Michael P.","non-dropping-particle":"","parse-names":false,"suffix":""},{"dropping-particle":"","family":"Guigo","given":"Roderic","non-dropping-particle":"","parse-names":false,"suffix":""},{"dropping-particle":"","family":"Gingeras","given":"Thomas R.","non-dropping-particle":"","parse-names":false,"suffix":""},{"dropping-particle":"","family":"Gilbert","given":"David M.","non-dropping-particle":"","parse-names":false,"suffix":""},{"dropping-particle":"","family":"Hardison","given":"Ross C.","non-dropping-particle":"","parse-names":false,"suffix":""},{"dropping-particle":"","family":"Beer","given":"Michael A.","non-dropping-particle":"","parse-names":false,"suffix":""},{"dropping-particle":"","family":"Ren","given":"Bing","non-dropping-particle":"","parse-names":false,"suffix":""},{"dropping-particle":"","family":"Consortium","given":"The Mouse ENCODE","non-dropping-particle":"","parse-names":false,"suffix":""}],"container-title":"Nature","id":"ITEM-1","issue":"7527","issued":{"date-parts":[["2014","11","20"]]},"page":"355-364","publisher":"Nature Publishing Group","title":"A comparative encyclopedia of DNA elements in the mouse genome","type":"article-journal","volume":"515"},"uris":["http://www.mendeley.com/documents/?uuid=ecae12aa-5cfc-322e-9ff4-6e6b2915b503"]}],"mendeley":{"formattedCitation":"&lt;sup&gt;2&lt;/sup&gt;","plainTextFormattedCitation":"2","previouslyFormattedCitation":"&lt;sup&gt;2&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2</w:t>
            </w:r>
            <w:r w:rsidRPr="00DA1123">
              <w:rPr>
                <w:color w:val="000000" w:themeColor="text1"/>
                <w:sz w:val="22"/>
                <w:szCs w:val="22"/>
              </w:rPr>
              <w:fldChar w:fldCharType="end"/>
            </w:r>
          </w:p>
        </w:tc>
        <w:tc>
          <w:tcPr>
            <w:tcW w:w="2041" w:type="dxa"/>
          </w:tcPr>
          <w:p w14:paraId="755C4A9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70A714F1"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54DB4C79"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E14 </w:t>
            </w:r>
          </w:p>
        </w:tc>
      </w:tr>
      <w:tr w:rsidR="00E20C40" w:rsidRPr="00DA1123" w14:paraId="0DEB1B8B" w14:textId="77777777" w:rsidTr="00FB7C49">
        <w:tc>
          <w:tcPr>
            <w:tcW w:w="1604" w:type="dxa"/>
          </w:tcPr>
          <w:p w14:paraId="4B243155"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H3K9me3</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{"citationItems":[{"id":"ITEM-1","itemData":{"DOI":"10.1038/nature13992","ISSN":"0028-0836","abstract":"The Mouse ENCODE Consortium has mapped transcription, DNase I hypersensitivity, transcription factor binding, chromatin modifications and replication domains throughout the mouse genome in diverse cell and tissue types; these data were compared with those from human to confirm substantial conservation in the newly annotated potential functional sequences and to reveal pronounced divergence of other sequences involved in transcriptional regulation, chromatin state and higher order chromatin organization.","author":[{"dropping-particle":"","family":"Yue","given":"Feng","non-dropping-particle":"","parse-names":false,"suffix":""},{"dropping-particle":"","family":"Cheng","given":"Yong","non-dropping-particle":"","parse-names":false,"suffix":""},{"dropping-particle":"","family":"Breschi","given":"Alessandra","non-dropping-particle":"","parse-names":false,"suffix":""},{"dropping-particle":"","family":"Vierstra","given":"Jeff","non-dropping-particle":"","parse-names":false,"suffix":""},{"dropping-particle":"","family":"Wu","given":"Weisheng","non-dropping-particle":"","parse-names":false,"suffix":""},{"dropping-particle":"","family":"Ryba","given":"Tyrone","non-dropping-particle":"","parse-names":false,"suffix":""},{"dropping-particle":"","family":"Sandstrom","given":"Richard","non-dropping-particle":"","parse-names":false,"suffix":""},{"dropping-particle":"","family":"Ma","given":"Zhihai","non-dropping-particle":"","parse-names":false,"suffix":""},{"dropping-particle":"","family":"Davis","given":"Carrie","non-dropping-particle":"","parse-names":false,"suffix":""},{"dropping-particle":"","family":"Pope","given":"Benjamin D.","non-dropping-particle":"","parse-names":false,"suffix":""},{"dropping-particle":"","family":"Shen","given":"Yin","non-dropping-particle":"","parse-names":false,"suffix":""},{"dropping-particle":"","family":"Pervouchine","given":"Dmitri D.","non-dropping-particle":"","parse-names":false,"suffix":""},{"dropping-particle":"","family":"Djebali","given":"Sarah","non-dropping-particle":"","parse-names":false,"suffix":""},{"dropping-particle":"","family":"Thurman","given":"Robert E.","non-dropping-particle":"","parse-names":false,"suffix":""},{"dropping-particle":"","family":"Kaul","given":"Rajinder","non-dropping-particle":"","parse-names":false,"suffix":""},{"dropping-particle":"","family":"Rynes","given":"Eric","non-dropping-particle":"","parse-names":false,"suffix":""},{"dropping-particle":"","family":"Kirilusha","given":"Anthony","non-dropping-particle":"","parse-names":false,"suffix":""},{"dropping-particle":"","family":"Marinov","given":"Georgi K.","non-dropping-particle":"","parse-names":false,"suffix":""},{"dropping-particle":"","family":"Williams","given":"Brian A.","non-dropping-particle":"","parse-names":false,"suffix":""},{"dropping-particle":"","family":"Trout","given":"Diane","non-dropping-particle":"","parse-names":false,"suffix":""},{"dropping-particle":"","family":"Amrhein","given":"Henry","non-dropping-particle":"","parse-names":false,"suffix":""},{"dropping-particle":"","family":"Fisher-Aylor","given":"Katherine","non-dropping-particle":"","parse-names":false,"suffix":""},{"dropping-particle":"","family":"Antoshechkin","given":"Igor","non-dropping-particle":"","parse-names":false,"suffix":""},{"dropping-particle":"","family":"DeSalvo","given":"Gilberto","non-dropping-particle":"","parse-names":false,"suffix":""},{"dropping-particle":"","family":"See","given":"Lei-Hoon","non-dropping-particle":"","parse-names":false,"suffix":""},{"dropping-particle":"","family":"Fastuca","given":"Meagan","non-dropping-particle":"","parse-names":false,"suffix":""},{"dropping-particle":"","family":"Drenkow","given":"Jorg","non-dropping-particle":"","parse-names":false,"suffix":""},{"dropping-particle":"","family":"Zaleski","given":"Chris","non-dropping-particle":"","parse-names":false,"suffix":""},{"dropping-particle":"","family":"Dobin","given":"Alex","non-dropping-particle":"","parse-names":false,"suffix":""},{"dropping-particle":"","family":"Prieto","given":"Pablo","non-dropping-particle":"","parse-names":false,"suffix":""},{"dropping-particle":"","family":"Lagarde","given":"Julien","non-dropping-particle":"","parse-names":false,"suffix":""},{"dropping-particle":"","family":"Bussotti","given":"Giovanni","non-dropping-particle":"","parse-names":false,"suffix":""},{"dropping-particle":"","family":"Tanzer","given":"Andrea","non-dropping-particle":"","parse-names":false,"suffix":""},{"dropping-particle":"","family":"Denas","given":"Olgert","non-dropping-particle":"","parse-names":false,"suffix":""},{"dropping-particle":"","family":"Li","given":"Kanwei","non-dropping-particle":"","parse-names":false,"suffix":""},{"dropping-particle":"","family":"Bender","given":"M. A.","non-dropping-particle":"","parse-names":false,"suffix":""},{"dropping-particle":"","family":"Zhang","given":"Miaohua","non-dropping-particle":"","parse-names":false,"suffix":""},{"dropping-particle":"","family":"Byron","given":"Rachel","non-dropping-particle":"","parse-names":false,"suffix":""},{"dropping-particle":"","family":"Groudine","given":"Mark T.","non-dropping-particle":"","parse-names":false,"suffix":""},{"dropping-particle":"","family":"McCleary","given":"David","non-dropping-particle":"","parse-names":false,"suffix":""},{"dropping-particle":"","family":"Pham","given":"Long","non-dropping-particle":"","parse-names":false,"suffix":""},{"dropping-particle":"","family":"Ye","given":"Zhen","non-dropping-particle":"","parse-names":false,"suffix":""},{"dropping-particle":"","family":"Kuan","given":"Samantha","non-dropping-particle":"","parse-names":false,"suffix":""},{"dropping-particle":"","family":"Edsall","given":"Lee","non-dropping-particle":"","parse-names":false,"suffix":""},{"dropping-particle":"","family":"Wu","given":"Yi-Chieh","non-dropping-particle":"","parse-names":false,"suffix":""},{"dropping-particle":"","family":"Rasmussen","given":"Matthew D.","non-dropping-particle":"","parse-names":false,"suffix":""},{"dropping-particle":"","family":"Bansal","given":"Mukul S.","non-dropping-particle":"","parse-names":false,"suffix":""},{"dropping-particle":"","family":"Kellis","given":"Manolis","non-dropping-particle":"","parse-names":false,"suffix":""},{"dropping-particle":"","family":"Keller","given":"Cheryl A.","non-dropping-particle":"","parse-names":false,"suffix":""},{"dropping-particle":"","family":"Morrissey","given":"Christapher S.","non-dropping-particle":"","parse-names":false,"suffix":""},{"dropping-particle":"","family":"Mishra","given":"Tejaswini","non-dropping-particle":"","parse-names":false,"suffix":""},{"dropping-particle":"","family":"Jain","given":"Deepti","non-dropping-particle":"","parse-names":false,"suffix":""},{"dropping-particle":"","family":"Dogan","given":"Nergiz","non-dropping-particle":"","parse-names":false,"suffix":""},{"dropping-particle":"","family":"Harris","given":"Robert S.","non-dropping-particle":"","parse-names":false,"suffix":""},{"dropping-particle":"","family":"Cayting","given":"Philip","non-dropping-particle":"","parse-names":false,"suffix":""},{"dropping-particle":"","family":"Kawli","given":"Trupti","non-dropping-particle":"","parse-names":false,"suffix":""},{"dropping-particle":"","family":"Boyle","given":"Alan P.","non-dropping-particle":"","parse-names":false,"suffix":""},{"dropping-particle":"","family":"Euskirchen","given":"Ghia","non-dropping-particle":"","parse-names":false,"suffix":""},{"dropping-particle":"","family":"Kundaje","given":"Anshul","non-dropping-particle":"","parse-names":false,"suffix":""},{"dropping-particle":"","family":"Lin","given":"Shin","non-dropping-particle":"","parse-names":false,"suffix":""},{"dropping-particle":"","family":"Lin","given":"Yiing","non-dropping-particle":"","parse-names":false,"suffix":""},{"dropping-particle":"","family":"Jansen","given":"Camden","non-dropping-particle":"","parse-names":false,"suffix":""},{"dropping-particle":"","family":"Malladi","given":"Venkat S.","non-dropping-particle":"","parse-names":false,"suffix":""},{"dropping-particle":"","family":"Cline","given":"Melissa S.","non-dropping-particle":"","parse-names":false,"suffix":""},{"dropping-particle":"","family":"Erickson","given":"Drew T.","non-dropping-particle":"","parse-names":false,"suffix":""},{"dropping-particle":"","family":"Kirkup","given":"Vanessa M.","non-dropping-particle":"","parse-names":false,"suffix":""},{"dropping-particle":"","family":"Learned","given":"Katrina","non-dropping-particle":"","parse-names":false,"suffix":""},{"dropping-particle":"","family":"Sloan","given":"Cricket A.","non-dropping-particle":"","parse-names":false,"suffix":""},{"dropping-particle":"","family":"Rosenbloom","given":"Kate R.","non-dropping-particle":"","parse-names":false,"suffix":""},{"dropping-particle":"","family":"Lacerda de Sousa","given":"Beatriz","non-dropping-particle":"","parse-names":false,"suffix":""},{"dropping-particle":"","family":"Beal","given":"Kathryn","non-dropping-particle":"","parse-names":false,"suffix":""},{"dropping-particle":"","family":"Pignatelli","given":"Miguel","non-dropping-particle":"","parse-names":false,"suffix":""},{"dropping-particle":"","family":"Flicek","given":"Paul","non-dropping-particle":"","parse-names":false,"suffix":""},{"dropping-particle":"","family":"Lian","given":"Jin","non-dropping-particle":"","parse-names":false,"suffix":""},{"dropping-particle":"","family":"Kahveci","given":"Tamer","non-dropping-particle":"","parse-names":false,"suffix":""},{"dropping-particle":"","family":"Lee","given":"Dongwon","non-dropping-particle":"","parse-names":false,"suffix":""},{"dropping-particle":"","family":"James Kent","given":"W.","non-dropping-particle":"","parse-names":false,"suffix":""},{"dropping-particle":"","family":"Ramalho Santos","given":"Miguel","non-dropping-particle":"","parse-names":false,"suffix":""},{"dropping-particle":"","family":"Herrero","given":"Javier","non-dropping-particle":"","parse-names":false,"suffix":""},{"dropping-particle":"","family":"Notredame","given":"Cedric","non-dropping-particle":"","parse-names":false,"suffix":""},{"dropping-particle":"","family":"Johnson","given":"Audra","non-dropping-particle":"","parse-names":false,"suffix":""},{"dropping-particle":"","family":"Vong","given":"Shinny","non-dropping-particle":"","parse-names":false,"suffix":""},{"dropping-particle":"","family":"Lee","given":"Kristen","non-dropping-particle":"","parse-names":false,"suffix":""},{"dropping-particle":"","family":"Bates","given":"Daniel","non-dropping-particle":"","parse-names":false,"suffix":""},{"dropping-particle":"","family":"Neri","given":"Fidencio","non-dropping-particle":"","parse-names":false,"suffix":""},{"dropping-particle":"","family":"Diegel","given":"Morgan","non-dropping-particle":"","parse-names":false,"suffix":""},{"dropping-particle":"","family":"Canfield","given":"Theresa","non-dropping-particle":"","parse-names":false,"suffix":""},{"dropping-particle":"","family":"Sabo","given":"Peter J.","non-dropping-particle":"","parse-names":false,"suffix":""},{"dropping-particle":"","family":"Wilken","given":"Matthew S.","non-dropping-particle":"","parse-names":false,"suffix":""},{"dropping-particle":"","family":"Reh","given":"Thomas A.","non-dropping-particle":"","parse-names":false,"suffix":""},{"dropping-particle":"","family":"Giste","given":"Erika","non-dropping-particle":"","parse-names":false,"suffix":""},{"dropping-particle":"","family":"Shafer","given":"Anthony","non-dropping-particle":"","parse-names":false,"suffix":""},{"dropping-particle":"","family":"Kutyavin","given":"Tanya","non-dropping-particle":"","parse-names":false,"suffix":""},{"dropping-particle":"","family":"Haugen","given":"Eric","non-dropping-particle":"","parse-names":false,"suffix":""},{"dropping-particle":"","family":"Dunn","given":"Douglas","non-dropping-particle":"","parse-names":false,"suffix":""},{"dropping-particle":"","family":"Reynolds","given":"Alex P.","non-dropping-particle":"","parse-names":false,"suffix":""},{"dropping-particle":"","family":"Neph","given":"Shane","non-dropping-particle":"","parse-names":false,"suffix":""},{"dropping-particle":"","family":"Humbert","given":"Richard","non-dropping-particle":"","parse-names":false,"suffix":""},{"dropping-particle":"","family":"Scott Hansen","given":"R.","non-dropping-particle":"","parse-names":false,"suffix":""},{"dropping-particle":"","family":"Bruijn","given":"Marella","non-dropping-particle":"De","parse-names":false,"suffix":""},{"dropping-particle":"","family":"Selleri","given":"Licia","non-dropping-particle":"","parse-names":false,"suffix":""},{"dropping-particle":"","family":"Rudensky","given":"Alexander","non-dropping-particle":"","parse-names":false,"suffix":""},{"dropping-particle":"","family":"Josefowicz","given":"Steven","non-dropping-particle":"","parse-names":false,"suffix":""},{"dropping-particle":"","family":"Samstein","given":"Robert","non-dropping-particle":"","parse-names":false,"suffix":""},{"dropping-particle":"","family":"Eichler","given":"Evan E.","non-dropping-particle":"","parse-names":false,"suffix":""},{"dropping-particle":"","family":"Orkin","given":"Stuart H.","non-dropping-particle":"","parse-names":false,"suffix":""},{"dropping-particle":"","family":"Levasseur","given":"Dana","non-dropping-particle":"","parse-names":false,"suffix":""},{"dropping-particle":"","family":"Papayannopoulou","given":"Thalia","non-dropping-particle":"","parse-names":false,"suffix":""},{"dropping-particle":"","family":"Chang","given":"Kai-Hsin","non-dropping-particle":"","parse-names":false,"suffix":""},{"dropping-particle":"","family":"Skoultchi","given":"Arthur","non-dropping-particle":"","parse-names":false,"suffix":""},{"dropping-particle":"","family":"Gosh","given":"Srikanta","non-dropping-particle":"","parse-names":false,"suffix":""},{"dropping-particle":"","family":"Disteche","given":"Christine","non-dropping-particle":"","parse-names":false,"suffix":""},{"dropping-particle":"","family":"Treuting","given":"Piper","non-dropping-particle":"","parse-names":false,"suffix":""},{"dropping-particle":"","family":"Wang","given":"Yanli","non-dropping-particle":"","parse-names":false,"suffix":""},{"dropping-particle":"","family":"Weiss","given":"Mitchell J.","non-dropping-particle":"","parse-names":false,"suffix":""},{"dropping-particle":"","family":"Blobel","given":"Gerd A.","non-dropping-particle":"","parse-names":false,"suffix":""},{"dropping-particle":"","family":"Cao","given":"Xiaoyi","non-dropping-particle":"","parse-names":false,"suffix":""},{"dropping-particle":"","family":"Zhong","given":"Sheng","non-dropping-particle":"","parse-names":false,"suffix":""},{"dropping-particle":"","family":"Wang","given":"Ting","non-dropping-particle":"","parse-names":false,"suffix":""},{"dropping-particle":"","family":"Good","given":"Peter J.","non-dropping-particle":"","parse-names":false,"suffix":""},{"dropping-particle":"","family":"Lowdon","given":"Rebecca F.","non-dropping-particle":"","parse-names":false,"suffix":""},{"dropping-particle":"","family":"Adams","given":"Leslie B.","non-dropping-particle":"","parse-names":false,"suffix":""},{"dropping-particle":"","family":"Zhou","given":"Xiao-Qiao","non-dropping-particle":"","parse-names":false,"suffix":""},{"dropping-particle":"","family":"Pazin","given":"Michael J.","non-dropping-particle":"","parse-names":false,"suffix":""},{"dropping-particle":"","family":"Feingold","given":"Elise A.","non-dropping-particle":"","parse-names":false,"suffix":""},{"dropping-particle":"","family":"Wold","given":"Barbara","non-dropping-particle":"","parse-names":false,"suffix":""},{"dropping-particle":"","family":"Taylor","given":"James","non-dropping-particle":"","parse-names":false,"suffix":""},{"dropping-particle":"","family":"Mortazavi","given":"Ali","non-dropping-particle":"","parse-names":false,"suffix":""},{"dropping-particle":"","family":"Weissman","given":"Sherman M.","non-dropping-particle":"","parse-names":false,"suffix":""},{"dropping-particle":"","family":"Stamatoyannopoulos","given":"John A.","non-dropping-particle":"","parse-names":false,"suffix":""},{"dropping-particle":"","family":"Snyder","given":"Michael P.","non-dropping-particle":"","parse-names":false,"suffix":""},{"dropping-particle":"","family":"Guigo","given":"Roderic","non-dropping-particle":"","parse-names":false,"suffix":""},{"dropping-particle":"","family":"Gingeras","given":"Thomas R.","non-dropping-particle":"","parse-names":false,"suffix":""},{"dropping-particle":"","family":"Gilbert","given":"David M.","non-dropping-particle":"","parse-names":false,"suffix":""},{"dropping-particle":"","family":"Hardison","given":"Ross C.","non-dropping-particle":"","parse-names":false,"suffix":""},{"dropping-particle":"","family":"Beer","given":"Michael A.","non-dropping-particle":"","parse-names":false,"suffix":""},{"dropping-particle":"","family":"Ren","given":"Bing","non-dropping-particle":"","parse-names":false,"suffix":""},{"dropping-particle":"","family":"Consortium","given":"The Mouse ENCODE","non-dropping-particle":"","parse-names":false,"suffix":""}],"container-title":"Nature","id":"ITEM-1","issue":"7527","issued":{"date-parts":[["2014","11","20"]]},"page":"355-364","publisher":"Nature Publishing Group","title":"A comparative encyclopedia of DNA elements in the mouse genome","type":"article-journal","volume":"515"},"uris":["http://www.mendeley.com/documents/?uuid=ecae12aa-5cfc-322e-9ff4-6e6b2915b503"]}],"mendeley":{"formattedCitation":"&lt;sup&gt;2&lt;/sup&gt;","plainTextFormattedCitation":"2","previouslyFormattedCitation":"&lt;sup&gt;2&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2</w:t>
            </w:r>
            <w:r w:rsidRPr="00DA1123">
              <w:rPr>
                <w:color w:val="000000" w:themeColor="text1"/>
                <w:sz w:val="22"/>
                <w:szCs w:val="22"/>
              </w:rPr>
              <w:fldChar w:fldCharType="end"/>
            </w:r>
          </w:p>
        </w:tc>
        <w:tc>
          <w:tcPr>
            <w:tcW w:w="2041" w:type="dxa"/>
          </w:tcPr>
          <w:p w14:paraId="46855CD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0546E76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0C28A268"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E14</w:t>
            </w:r>
          </w:p>
        </w:tc>
      </w:tr>
      <w:tr w:rsidR="00E20C40" w:rsidRPr="00DA1123" w14:paraId="05A725BF" w14:textId="77777777" w:rsidTr="00FB7C49">
        <w:tc>
          <w:tcPr>
            <w:tcW w:w="1604" w:type="dxa"/>
          </w:tcPr>
          <w:p w14:paraId="0F8C59F9"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H3K36me3</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{"citationItems":[{"id":"ITEM-1","itemData":{"DOI":"10.1038/nature13992","ISSN":"0028-0836","abstract":"The Mouse ENCODE Consortium has mapped transcription, DNase I hypersensitivity, transcription factor binding, chromatin modifications and replication domains throughout the mouse genome in diverse cell and tissue types; these data were compared with those from human to confirm substantial conservation in the newly annotated potential functional sequences and to reveal pronounced divergence of other sequences involved in transcriptional regulation, chromatin state and higher order chromatin organization.","author":[{"dropping-particle":"","family":"Yue","given":"Feng","non-dropping-particle":"","parse-names":false,"suffix":""},{"dropping-particle":"","family":"Cheng","given":"Yong","non-dropping-particle":"","parse-names":false,"suffix":""},{"dropping-particle":"","family":"Breschi","given":"Alessandra","non-dropping-particle":"","parse-names":false,"suffix":""},{"dropping-particle":"","family":"Vierstra","given":"Jeff","non-dropping-particle":"","parse-names":false,"suffix":""},{"dropping-particle":"","family":"Wu","given":"Weisheng","non-dropping-particle":"","parse-names":false,"suffix":""},{"dropping-particle":"","family":"Ryba","given":"Tyrone","non-dropping-particle":"","parse-names":false,"suffix":""},{"dropping-particle":"","family":"Sandstrom","given":"Richard","non-dropping-particle":"","parse-names":false,"suffix":""},{"dropping-particle":"","family":"Ma","given":"Zhihai","non-dropping-particle":"","parse-names":false,"suffix":""},{"dropping-particle":"","family":"Davis","given":"Carrie","non-dropping-particle":"","parse-names":false,"suffix":""},{"dropping-particle":"","family":"Pope","given":"Benjamin D.","non-dropping-particle":"","parse-names":false,"suffix":""},{"dropping-particle":"","family":"Shen","given":"Yin","non-dropping-particle":"","parse-names":false,"suffix":""},{"dropping-particle":"","family":"Pervouchine","given":"Dmitri D.","non-dropping-particle":"","parse-names":false,"suffix":""},{"dropping-particle":"","family":"Djebali","given":"Sarah","non-dropping-particle":"","parse-names":false,"suffix":""},{"dropping-particle":"","family":"Thurman","given":"Robert E.","non-dropping-particle":"","parse-names":false,"suffix":""},{"dropping-particle":"","family":"Kaul","given":"Rajinder","non-dropping-particle":"","parse-names":false,"suffix":""},{"dropping-particle":"","family":"Rynes","given":"Eric","non-dropping-particle":"","parse-names":false,"suffix":""},{"dropping-particle":"","family":"Kirilusha","given":"Anthony","non-dropping-particle":"","parse-names":false,"suffix":""},{"dropping-particle":"","family":"Marinov","given":"Georgi K.","non-dropping-particle":"","parse-names":false,"suffix":""},{"dropping-particle":"","family":"Williams","given":"Brian A.","non-dropping-particle":"","parse-names":false,"suffix":""},{"dropping-particle":"","family":"Trout","given":"Diane","non-dropping-particle":"","parse-names":false,"suffix":""},{"dropping-particle":"","family":"Amrhein","given":"Henry","non-dropping-particle":"","parse-names":false,"suffix":""},{"dropping-particle":"","family":"Fisher-Aylor","given":"Katherine","non-dropping-particle":"","parse-names":false,"suffix":""},{"dropping-particle":"","family":"Antoshechkin","given":"Igor","non-dropping-particle":"","parse-names":false,"suffix":""},{"dropping-particle":"","family":"DeSalvo","given":"Gilberto","non-dropping-particle":"","parse-names":false,"suffix":""},{"dropping-particle":"","family":"See","given":"Lei-Hoon","non-dropping-particle":"","parse-names":false,"suffix":""},{"dropping-particle":"","family":"Fastuca","given":"Meagan","non-dropping-particle":"","parse-names":false,"suffix":""},{"dropping-particle":"","family":"Drenkow","given":"Jorg","non-dropping-particle":"","parse-names":false,"suffix":""},{"dropping-particle":"","family":"Zaleski","given":"Chris","non-dropping-particle":"","parse-names":false,"suffix":""},{"dropping-particle":"","family":"Dobin","given":"Alex","non-dropping-particle":"","parse-names":false,"suffix":""},{"dropping-particle":"","family":"Prieto","given":"Pablo","non-dropping-particle":"","parse-names":false,"suffix":""},{"dropping-particle":"","family":"Lagarde","given":"Julien","non-dropping-particle":"","parse-names":false,"suffix":""},{"dropping-particle":"","family":"Bussotti","given":"Giovanni","non-dropping-particle":"","parse-names":false,"suffix":""},{"dropping-particle":"","family":"Tanzer","given":"Andrea","non-dropping-particle":"","parse-names":false,"suffix":""},{"dropping-particle":"","family":"Denas","given":"Olgert","non-dropping-particle":"","parse-names":false,"suffix":""},{"dropping-particle":"","family":"Li","given":"Kanwei","non-dropping-particle":"","parse-names":false,"suffix":""},{"dropping-particle":"","family":"Bender","given":"M. A.","non-dropping-particle":"","parse-names":false,"suffix":""},{"dropping-particle":"","family":"Zhang","given":"Miaohua","non-dropping-particle":"","parse-names":false,"suffix":""},{"dropping-particle":"","family":"Byron","given":"Rachel","non-dropping-particle":"","parse-names":false,"suffix":""},{"dropping-particle":"","family":"Groudine","given":"Mark T.","non-dropping-particle":"","parse-names":false,"suffix":""},{"dropping-particle":"","family":"McCleary","given":"David","non-dropping-particle":"","parse-names":false,"suffix":""},{"dropping-particle":"","family":"Pham","given":"Long","non-dropping-particle":"","parse-names":false,"suffix":""},{"dropping-particle":"","family":"Ye","given":"Zhen","non-dropping-particle":"","parse-names":false,"suffix":""},{"dropping-particle":"","family":"Kuan","given":"Samantha","non-dropping-particle":"","parse-names":false,"suffix":""},{"dropping-particle":"","family":"Edsall","given":"Lee","non-dropping-particle":"","parse-names":false,"suffix":""},{"dropping-particle":"","family":"Wu","given":"Yi-Chieh","non-dropping-particle":"","parse-names":false,"suffix":""},{"dropping-particle":"","family":"Rasmussen","given":"Matthew D.","non-dropping-particle":"","parse-names":false,"suffix":""},{"dropping-particle":"","family":"Bansal","given":"Mukul S.","non-dropping-particle":"","parse-names":false,"suffix":""},{"dropping-particle":"","family":"Kellis","given":"Manolis","non-dropping-particle":"","parse-names":false,"suffix":""},{"dropping-particle":"","family":"Keller","given":"Cheryl A.","non-dropping-particle":"","parse-names":false,"suffix":""},{"dropping-particle":"","family":"Morrissey","given":"Christapher S.","non-dropping-particle":"","parse-names":false,"suffix":""},{"dropping-particle":"","family":"Mishra","given":"Tejaswini","non-dropping-particle":"","parse-names":false,"suffix":""},{"dropping-particle":"","family":"Jain","given":"Deepti","non-dropping-particle":"","parse-names":false,"suffix":""},{"dropping-particle":"","family":"Dogan","given":"Nergiz","non-dropping-particle":"","parse-names":false,"suffix":""},{"dropping-particle":"","family":"Harris","given":"Robert S.","non-dropping-particle":"","parse-names":false,"suffix":""},{"dropping-particle":"","family":"Cayting","given":"Philip","non-dropping-particle":"","parse-names":false,"suffix":""},{"dropping-particle":"","family":"Kawli","given":"Trupti","non-dropping-particle":"","parse-names":false,"suffix":""},{"dropping-particle":"","family":"Boyle","given":"Alan P.","non-dropping-particle":"","parse-names":false,"suffix":""},{"dropping-particle":"","family":"Euskirchen","given":"Ghia","non-dropping-particle":"","parse-names":false,"suffix":""},{"dropping-particle":"","family":"Kundaje","given":"Anshul","non-dropping-particle":"","parse-names":false,"suffix":""},{"dropping-particle":"","family":"Lin","given":"Shin","non-dropping-particle":"","parse-names":false,"suffix":""},{"dropping-particle":"","family":"Lin","given":"Yiing","non-dropping-particle":"","parse-names":false,"suffix":""},{"dropping-particle":"","family":"Jansen","given":"Camden","non-dropping-particle":"","parse-names":false,"suffix":""},{"dropping-particle":"","family":"Malladi","given":"Venkat S.","non-dropping-particle":"","parse-names":false,"suffix":""},{"dropping-particle":"","family":"Cline","given":"Melissa S.","non-dropping-particle":"","parse-names":false,"suffix":""},{"dropping-particle":"","family":"Erickson","given":"Drew T.","non-dropping-particle":"","parse-names":false,"suffix":""},{"dropping-particle":"","family":"Kirkup","given":"Vanessa M.","non-dropping-particle":"","parse-names":false,"suffix":""},{"dropping-particle":"","family":"Learned","given":"Katrina","non-dropping-particle":"","parse-names":false,"suffix":""},{"dropping-particle":"","family":"Sloan","given":"Cricket A.","non-dropping-particle":"","parse-names":false,"suffix":""},{"dropping-particle":"","family":"Rosenbloom","given":"Kate R.","non-dropping-particle":"","parse-names":false,"suffix":""},{"dropping-particle":"","family":"Lacerda de Sousa","given":"Beatriz","non-dropping-particle":"","parse-names":false,"suffix":""},{"dropping-particle":"","family":"Beal","given":"Kathryn","non-dropping-particle":"","parse-names":false,"suffix":""},{"dropping-particle":"","family":"Pignatelli","given":"Miguel","non-dropping-particle":"","parse-names":false,"suffix":""},{"dropping-particle":"","family":"Flicek","given":"Paul","non-dropping-particle":"","parse-names":false,"suffix":""},{"dropping-particle":"","family":"Lian","given":"Jin","non-dropping-particle":"","parse-names":false,"suffix":""},{"dropping-particle":"","family":"Kahveci","given":"Tamer","non-dropping-particle":"","parse-names":false,"suffix":""},{"dropping-particle":"","family":"Lee","given":"Dongwon","non-dropping-particle":"","parse-names":false,"suffix":""},{"dropping-particle":"","family":"James Kent","given":"W.","non-dropping-particle":"","parse-names":false,"suffix":""},{"dropping-particle":"","family":"Ramalho Santos","given":"Miguel","non-dropping-particle":"","parse-names":false,"suffix":""},{"dropping-particle":"","family":"Herrero","given":"Javier","non-dropping-particle":"","parse-names":false,"suffix":""},{"dropping-particle":"","family":"Notredame","given":"Cedric","non-dropping-particle":"","parse-names":false,"suffix":""},{"dropping-particle":"","family":"Johnson","given":"Audra","non-dropping-particle":"","parse-names":false,"suffix":""},{"dropping-particle":"","family":"Vong","given":"Shinny","non-dropping-particle":"","parse-names":false,"suffix":""},{"dropping-particle":"","family":"Lee","given":"Kristen","non-dropping-particle":"","parse-names":false,"suffix":""},{"dropping-particle":"","family":"Bates","given":"Daniel","non-dropping-particle":"","parse-names":false,"suffix":""},{"dropping-particle":"","family":"Neri","given":"Fidencio","non-dropping-particle":"","parse-names":false,"suffix":""},{"dropping-particle":"","family":"Diegel","given":"Morgan","non-dropping-particle":"","parse-names":false,"suffix":""},{"dropping-particle":"","family":"Canfield","given":"Theresa","non-dropping-particle":"","parse-names":false,"suffix":""},{"dropping-particle":"","family":"Sabo","given":"Peter J.","non-dropping-particle":"","parse-names":false,"suffix":""},{"dropping-particle":"","family":"Wilken","given":"Matthew S.","non-dropping-particle":"","parse-names":false,"suffix":""},{"dropping-particle":"","family":"Reh","given":"Thomas A.","non-dropping-particle":"","parse-names":false,"suffix":""},{"dropping-particle":"","family":"Giste","given":"Erika","non-dropping-particle":"","parse-names":false,"suffix":""},{"dropping-particle":"","family":"Shafer","given":"Anthony","non-dropping-particle":"","parse-names":false,"suffix":""},{"dropping-particle":"","family":"Kutyavin","given":"Tanya","non-dropping-particle":"","parse-names":false,"suffix":""},{"dropping-particle":"","family":"Haugen","given":"Eric","non-dropping-particle":"","parse-names":false,"suffix":""},{"dropping-particle":"","family":"Dunn","given":"Douglas","non-dropping-particle":"","parse-names":false,"suffix":""},{"dropping-particle":"","family":"Reynolds","given":"Alex P.","non-dropping-particle":"","parse-names":false,"suffix":""},{"dropping-particle":"","family":"Neph","given":"Shane","non-dropping-particle":"","parse-names":false,"suffix":""},{"dropping-particle":"","family":"Humbert","given":"Richard","non-dropping-particle":"","parse-names":false,"suffix":""},{"dropping-particle":"","family":"Scott Hansen","given":"R.","non-dropping-particle":"","parse-names":false,"suffix":""},{"dropping-particle":"","family":"Bruijn","given":"Marella","non-dropping-particle":"De","parse-names":false,"suffix":""},{"dropping-particle":"","family":"Selleri","given":"Licia","non-dropping-particle":"","parse-names":false,"suffix":""},{"dropping-particle":"","family":"Rudensky","given":"Alexander","non-dropping-particle":"","parse-names":false,"suffix":""},{"dropping-particle":"","family":"Josefowicz","given":"Steven","non-dropping-particle":"","parse-names":false,"suffix":""},{"dropping-particle":"","family":"Samstein","given":"Robert","non-dropping-particle":"","parse-names":false,"suffix":""},{"dropping-particle":"","family":"Eichler","given":"Evan E.","non-dropping-particle":"","parse-names":false,"suffix":""},{"dropping-particle":"","family":"Orkin","given":"Stuart H.","non-dropping-particle":"","parse-names":false,"suffix":""},{"dropping-particle":"","family":"Levasseur","given":"Dana","non-dropping-particle":"","parse-names":false,"suffix":""},{"dropping-particle":"","family":"Papayannopoulou","given":"Thalia","non-dropping-particle":"","parse-names":false,"suffix":""},{"dropping-particle":"","family":"Chang","given":"Kai-Hsin","non-dropping-particle":"","parse-names":false,"suffix":""},{"dropping-particle":"","family":"Skoultchi","given":"Arthur","non-dropping-particle":"","parse-names":false,"suffix":""},{"dropping-particle":"","family":"Gosh","given":"Srikanta","non-dropping-particle":"","parse-names":false,"suffix":""},{"dropping-particle":"","family":"Disteche","given":"Christine","non-dropping-particle":"","parse-names":false,"suffix":""},{"dropping-particle":"","family":"Treuting","given":"Piper","non-dropping-particle":"","parse-names":false,"suffix":""},{"dropping-particle":"","family":"Wang","given":"Yanli","non-dropping-particle":"","parse-names":false,"suffix":""},{"dropping-particle":"","family":"Weiss","given":"Mitchell J.","non-dropping-particle":"","parse-names":false,"suffix":""},{"dropping-particle":"","family":"Blobel","given":"Gerd A.","non-dropping-particle":"","parse-names":false,"suffix":""},{"dropping-particle":"","family":"Cao","given":"Xiaoyi","non-dropping-particle":"","parse-names":false,"suffix":""},{"dropping-particle":"","family":"Zhong","given":"Sheng","non-dropping-particle":"","parse-names":false,"suffix":""},{"dropping-particle":"","family":"Wang","given":"Ting","non-dropping-particle":"","parse-names":false,"suffix":""},{"dropping-particle":"","family":"Good","given":"Peter J.","non-dropping-particle":"","parse-names":false,"suffix":""},{"dropping-particle":"","family":"Lowdon","given":"Rebecca F.","non-dropping-particle":"","parse-names":false,"suffix":""},{"dropping-particle":"","family":"Adams","given":"Leslie B.","non-dropping-particle":"","parse-names":false,"suffix":""},{"dropping-particle":"","family":"Zhou","given":"Xiao-Qiao","non-dropping-particle":"","parse-names":false,"suffix":""},{"dropping-particle":"","family":"Pazin","given":"Michael J.","non-dropping-particle":"","parse-names":false,"suffix":""},{"dropping-particle":"","family":"Feingold","given":"Elise A.","non-dropping-particle":"","parse-names":false,"suffix":""},{"dropping-particle":"","family":"Wold","given":"Barbara","non-dropping-particle":"","parse-names":false,"suffix":""},{"dropping-particle":"","family":"Taylor","given":"James","non-dropping-particle":"","parse-names":false,"suffix":""},{"dropping-particle":"","family":"Mortazavi","given":"Ali","non-dropping-particle":"","parse-names":false,"suffix":""},{"dropping-particle":"","family":"Weissman","given":"Sherman M.","non-dropping-particle":"","parse-names":false,"suffix":""},{"dropping-particle":"","family":"Stamatoyannopoulos","given":"John A.","non-dropping-particle":"","parse-names":false,"suffix":""},{"dropping-particle":"","family":"Snyder","given":"Michael P.","non-dropping-particle":"","parse-names":false,"suffix":""},{"dropping-particle":"","family":"Guigo","given":"Roderic","non-dropping-particle":"","parse-names":false,"suffix":""},{"dropping-particle":"","family":"Gingeras","given":"Thomas R.","non-dropping-particle":"","parse-names":false,"suffix":""},{"dropping-particle":"","family":"Gilbert","given":"David M.","non-dropping-particle":"","parse-names":false,"suffix":""},{"dropping-particle":"","family":"Hardison","given":"Ross C.","non-dropping-particle":"","parse-names":false,"suffix":""},{"dropping-particle":"","family":"Beer","given":"Michael A.","non-dropping-particle":"","parse-names":false,"suffix":""},{"dropping-particle":"","family":"Ren","given":"Bing","non-dropping-particle":"","parse-names":false,"suffix":""},{"dropping-particle":"","family":"Consortium","given":"The Mouse ENCODE","non-dropping-particle":"","parse-names":false,"suffix":""}],"container-title":"Nature","id":"ITEM-1","issue":"7527","issued":{"date-parts":[["2014","11","20"]]},"page":"355-364","publisher":"Nature Publishing Group","title":"A comparative encyclopedia of DNA elements in the mouse genome","type":"article-journal","volume":"515"},"uris":["http://www.mendeley.com/documents/?uuid=ecae12aa-5cfc-322e-9ff4-6e6b2915b503"]}],"mendeley":{"formattedCitation":"&lt;sup&gt;2&lt;/sup&gt;","plainTextFormattedCitation":"2","previouslyFormattedCitation":"&lt;sup&gt;2&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2</w:t>
            </w:r>
            <w:r w:rsidRPr="00DA1123">
              <w:rPr>
                <w:color w:val="000000" w:themeColor="text1"/>
                <w:sz w:val="22"/>
                <w:szCs w:val="22"/>
              </w:rPr>
              <w:fldChar w:fldCharType="end"/>
            </w:r>
          </w:p>
        </w:tc>
        <w:tc>
          <w:tcPr>
            <w:tcW w:w="2041" w:type="dxa"/>
          </w:tcPr>
          <w:p w14:paraId="16645AF5"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23023702"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2704FE9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E14</w:t>
            </w:r>
          </w:p>
        </w:tc>
      </w:tr>
      <w:tr w:rsidR="00E20C40" w:rsidRPr="00DA1123" w14:paraId="0A5A012B" w14:textId="77777777" w:rsidTr="00FB7C49">
        <w:tc>
          <w:tcPr>
            <w:tcW w:w="1604" w:type="dxa"/>
          </w:tcPr>
          <w:p w14:paraId="785FC9C7"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H2A.Z</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{"citationItems":[{"id":"ITEM-1","itemData":{"DOI":"10.1186/gb-2012-13-10-r85","ISSN":"1465-6906","PMID":"23034477","abstract":"BACKGROUND The histone variant H2A.Z has been implicated in nucleosome exchange, transcriptional activation and Polycomb repression. However, the relationships among these seemingly disparate functions remain obscure. RESULTS We mapped H2A.Z genome-wide in mammalian ES cells and neural progenitors. H2A.Z is deposited promiscuously at promoters and enhancers, and correlates strongly with H3K4 methylation. Accordingly, H2A.Z is present at poised promoters with bivalent chromatin and at active promoters with H3K4 methylation, but is absent from stably repressed promoters that are specifically enriched for H3K27 trimethylation. We also characterized post-translational modification states of H2A.Z, including a novel species dually-modified by ubiquitination and acetylation that is enriched at bivalent chromatin. CONCLUSIONS Our findings associate H2A.Z with functionally distinct genomic elements, and suggest that post-translational modifications may reconcile its contrasting locations and roles.","author":[{"dropping-particle":"","family":"Ku","given":"Manching","non-dropping-particle":"","parse-names":false,"suffix":""},{"dropping-particle":"","family":"Jaffe","given":"Jacob D","non-dropping-particle":"","parse-names":false,"suffix":""},{"dropping-particle":"","family":"Koche","given":"Richard P","non-dropping-particle":"","parse-names":false,"suffix":""},{"dropping-particle":"","family":"Rheinbay","given":"Esther","non-dropping-particle":"","parse-names":false,"suffix":""},{"dropping-particle":"","family":"Endoh","given":"Mitsuhiro","non-dropping-particle":"","parse-names":false,"suffix":""},{"dropping-particle":"","family":"Koseki","given":"Haruhiko","non-dropping-particle":"","parse-names":false,"suffix":""},{"dropping-particle":"","family":"Carr","given":"Steven A","non-dropping-particle":"","parse-names":false,"suffix":""},{"dropping-particle":"","family":"Bernstein","given":"Bradley E","non-dropping-particle":"","parse-names":false,"suffix":""}],"container-title":"Genome Biology","id":"ITEM-1","issue":"10","issued":{"date-parts":[["2012","10","3"]]},"page":"R85","title":"H2A.Z landscapes and dual modifications in pluripotent and multipotent stem cells underlie complex genome regulatory functions","type":"article-journal","volume":"13"},"uris":["http://www.mendeley.com/documents/?uuid=ed27c819-5866-3dfc-a6bb-98fcd2f529da"]}],"mendeley":{"formattedCitation":"&lt;sup&gt;3&lt;/sup&gt;","plainTextFormattedCitation":"3","previouslyFormattedCitation":"&lt;sup&gt;3&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3</w:t>
            </w:r>
            <w:r w:rsidRPr="00DA1123">
              <w:rPr>
                <w:color w:val="000000" w:themeColor="text1"/>
                <w:sz w:val="22"/>
                <w:szCs w:val="22"/>
              </w:rPr>
              <w:fldChar w:fldCharType="end"/>
            </w:r>
          </w:p>
        </w:tc>
        <w:tc>
          <w:tcPr>
            <w:tcW w:w="2041" w:type="dxa"/>
          </w:tcPr>
          <w:p w14:paraId="0DCCDCB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w:t>
            </w:r>
          </w:p>
        </w:tc>
        <w:tc>
          <w:tcPr>
            <w:tcW w:w="1679" w:type="dxa"/>
          </w:tcPr>
          <w:p w14:paraId="073D2BD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50C756C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V6.5</w:t>
            </w:r>
          </w:p>
        </w:tc>
      </w:tr>
      <w:tr w:rsidR="00E20C40" w:rsidRPr="00DA1123" w14:paraId="324EF611" w14:textId="77777777" w:rsidTr="00FB7C49">
        <w:tc>
          <w:tcPr>
            <w:tcW w:w="1604" w:type="dxa"/>
          </w:tcPr>
          <w:p w14:paraId="39EB8A6A" w14:textId="77777777" w:rsidR="00E20C40" w:rsidRPr="00DA1123" w:rsidRDefault="00E20C40" w:rsidP="007B64EE">
            <w:pPr>
              <w:spacing w:line="360" w:lineRule="auto"/>
              <w:rPr>
                <w:color w:val="000000" w:themeColor="text1"/>
                <w:sz w:val="22"/>
                <w:szCs w:val="22"/>
              </w:rPr>
            </w:pPr>
            <w:r w:rsidRPr="00DA1123">
              <w:rPr>
                <w:color w:val="000000" w:themeColor="text1"/>
                <w:sz w:val="22"/>
                <w:szCs w:val="22"/>
              </w:rPr>
              <w:t>acH2A.Z</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{"citationItems":[{"id":"ITEM-1","itemData":{"DOI":"10.1186/gb-2012-13-10-r85","ISSN":"1465-6906","PMID":"23034477","abstract":"BACKGROUND The histone variant H2A.Z has been implicated in nucleosome exchange, transcriptional activation and Polycomb repression. However, the relationships among these seemingly disparate functions remain obscure. RESULTS We mapped H2A.Z genome-wide in mammalian ES cells and neural progenitors. H2A.Z is deposited promiscuously at promoters and enhancers, and correlates strongly with H3K4 methylation. Accordingly, H2A.Z is present at poised promoters with bivalent chromatin and at active promoters with H3K4 methylation, but is absent from stably repressed promoters that are specifically enriched for H3K27 trimethylation. We also characterized post-translational modification states of H2A.Z, including a novel species dually-modified by ubiquitination and acetylation that is enriched at bivalent chromatin. CONCLUSIONS Our findings associate H2A.Z with functionally distinct genomic elements, and suggest that post-translational modifications may reconcile its contrasting locations and roles.","author":[{"dropping-particle":"","family":"Ku","given":"Manching","non-dropping-particle":"","parse-names":false,"suffix":""},{"dropping-particle":"","family":"Jaffe","given":"Jacob D","non-dropping-particle":"","parse-names":false,"suffix":""},{"dropping-particle":"","family":"Koche","given":"Richard P","non-dropping-particle":"","parse-names":false,"suffix":""},{"dropping-particle":"","family":"Rheinbay","given":"Esther","non-dropping-particle":"","parse-names":false,"suffix":""},{"dropping-particle":"","family":"Endoh","given":"Mitsuhiro","non-dropping-particle":"","parse-names":false,"suffix":""},{"dropping-particle":"","family":"Koseki","given":"Haruhiko","non-dropping-particle":"","parse-names":false,"suffix":""},{"dropping-particle":"","family":"Carr","given":"Steven A","non-dropping-particle":"","parse-names":false,"suffix":""},{"dropping-particle":"","family":"Bernstein","given":"Bradley E","non-dropping-particle":"","parse-names":false,"suffix":""}],"container-title":"Genome Biology","id":"ITEM-1","issue":"10","issued":{"date-parts":[["2012","10","3"]]},"page":"R85","title":"H2A.Z landscapes and dual modifications in pluripotent and multipotent stem cells underlie complex genome regulatory functions","type":"article-journal","volume":"13"},"uris":["http://www.mendeley.com/documents/?uuid=ed27c819-5866-3dfc-a6bb-98fcd2f529da"]}],"mendeley":{"formattedCitation":"&lt;sup&gt;3&lt;/sup&gt;","plainTextFormattedCitation":"3","previouslyFormattedCitation":"&lt;sup&gt;3&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3</w:t>
            </w:r>
            <w:r w:rsidRPr="00DA1123">
              <w:rPr>
                <w:color w:val="000000" w:themeColor="text1"/>
                <w:sz w:val="22"/>
                <w:szCs w:val="22"/>
              </w:rPr>
              <w:fldChar w:fldCharType="end"/>
            </w:r>
          </w:p>
        </w:tc>
        <w:tc>
          <w:tcPr>
            <w:tcW w:w="2041" w:type="dxa"/>
          </w:tcPr>
          <w:p w14:paraId="1C29DC67"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w:t>
            </w:r>
          </w:p>
        </w:tc>
        <w:tc>
          <w:tcPr>
            <w:tcW w:w="1679" w:type="dxa"/>
          </w:tcPr>
          <w:p w14:paraId="0CF9115F"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4A1C1498"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V6.5</w:t>
            </w:r>
          </w:p>
        </w:tc>
      </w:tr>
      <w:tr w:rsidR="00E20C40" w:rsidRPr="00DA1123" w14:paraId="127C5BA8" w14:textId="77777777" w:rsidTr="00FB7C49">
        <w:tc>
          <w:tcPr>
            <w:tcW w:w="1604" w:type="dxa"/>
          </w:tcPr>
          <w:p w14:paraId="1A42C4C4" w14:textId="77777777" w:rsidR="00E20C40" w:rsidRPr="00DA1123" w:rsidRDefault="00E20C40" w:rsidP="007B64EE">
            <w:pPr>
              <w:spacing w:line="360" w:lineRule="auto"/>
              <w:rPr>
                <w:color w:val="000000" w:themeColor="text1"/>
                <w:sz w:val="22"/>
                <w:szCs w:val="22"/>
              </w:rPr>
            </w:pPr>
            <w:r w:rsidRPr="00DA1123">
              <w:rPr>
                <w:rFonts w:ascii="Cambria" w:hAnsi="Cambria"/>
                <w:color w:val="000000" w:themeColor="text1"/>
                <w:sz w:val="22"/>
                <w:szCs w:val="22"/>
              </w:rPr>
              <w:t>H4K20me3</w:t>
            </w:r>
            <w:r w:rsidRPr="00DA1123">
              <w:rPr>
                <w:color w:val="000000" w:themeColor="text1"/>
                <w:sz w:val="22"/>
                <w:szCs w:val="22"/>
              </w:rPr>
              <w:fldChar w:fldCharType="begin" w:fldLock="1"/>
            </w:r>
            <w:r w:rsidR="007B64EE">
              <w:rPr>
                <w:color w:val="000000" w:themeColor="text1"/>
                <w:sz w:val="22"/>
                <w:szCs w:val="22"/>
              </w:rPr>
              <w:instrText>ADDIN CSL_CITATION {"citationItems":[{"id":"ITEM-1","itemData":{"DOI":"10.1038/nature06008","ISSN":"0028-0836","abstract":"Single-molecule-based sequencing technology is applied to generate genome-wide maps of chromatin modifications in mammalian cells. Histone marks can discriminate genes that are active, poised for activation, or stably repressed and therefore reflect cell state and developmental potential.","author":[{"dropping-particle":"","family":"Mikkelsen","given":"Tarjei S.","non-dropping-particle":"","parse-names":false,"suffix":""},{"dropping-particle":"","family":"Ku","given":"Manching","non-dropping-particle":"","parse-names":false,"suffix":""},{"dropping-particle":"","family":"Jaffe","given":"David B.","non-dropping-particle":"","parse-names":false,"suffix":""},{"dropping-particle":"","family":"Issac","given":"Biju","non-dropping-particle":"","parse-names":false,"suffix":""},{"dropping-particle":"","family":"Lieberman","given":"Erez","non-dropping-particle":"","parse-names":false,"suffix":""},{"dropping-particle":"","family":"Giannoukos","given":"Georgia","non-dropping-particle":"","parse-names":false,"suffix":""},{"dropping-particle":"","family":"Alvarez","given":"Pablo","non-dropping-particle":"","parse-names":false,"suffix":""},{"dropping-particle":"","family":"Brockman","given":"William","non-dropping-particle":"","parse-names":false,"suffix":""},{"dropping-particle":"","family":"Kim","given":"Tae-Kyung","non-dropping-particle":"","parse-names":false,"suffix":""},{"dropping-particle":"","family":"Koche","given":"Richard P.","non-dropping-particle":"","parse-names":false,"suffix":""},{"dropping-particle":"","family":"Lee","given":"William","non-dropping-particle":"","parse-names":false,"suffix":""},{"dropping-particle":"","family":"Mendenhall","given":"Eric","non-dropping-particle":"","parse-names":false,"suffix":""},{"dropping-particle":"","family":"O’Donovan","given":"Aisling","non-dropping-particle":"","parse-names":false,"suffix":""},{"dropping-particle":"","family":"Presser","given":"Aviva","non-dropping-particle":"","parse-names":false,"suffix":""},{"dropping-particle":"","family":"Russ","given":"Carsten","non-dropping-particle":"","parse-names":false,"suffix":""},{"dropping-particle":"","family":"Xie","given":"Xiaohui","non-dropping-particle":"","parse-names":false,"suffix":""},{"dropping-particle":"","family":"Meissner","given":"Alexander","non-dropping-particle":"","parse-names":false,"suffix":""},{"dropping-particle":"","family":"Wernig","given":"Marius","non-dropping-particle":"","parse-names":false,"suffix":""},{"dropping-particle":"","family":"Jaenisch","given":"Rudolf","non-dropping-particle":"","parse-names":false,"suffix":""},{"dropping-particle":"","family":"Nusbaum","given":"Chad","non-dropping-particle":"","parse-names":false,"suffix":""},{"dropping-particle":"","family":"Lander","given":"Eric S.","non-dropping-particle":"","parse-names":false,"suffix":""},{"dropping-particle":"","family":"Bernstein","given":"Bradley E.","non-dropping-particle":"","parse-names":false,"suffix":""}],"container-title":"Nature","id":"ITEM-1","issue":"7153","issued":{"date-parts":[["2007","8","1"]]},"page":"553-560","publisher":"Nature Publishing Group","title":"Genome-wide maps of chromatin state in pluripotent and lineage-committed cells","type":"article-journal","volume":"448"},"uris":["http://www.mendeley.com/documents/?uuid=48f64ca7-ef6a-35dc-9935-6571578b2536"]}],"mendeley":{"formattedCitation":"&lt;sup&gt;4&lt;/sup&gt;","plainTextFormattedCitation":"4","previouslyFormattedCitation":"&lt;sup&gt;4&lt;/sup&gt;"},"properties":{"noteIndex":0},"schema":"https://github.com/citation-style-language/schema/raw/master/csl-citation.json"}</w:instrText>
            </w:r>
            <w:r w:rsidRPr="00DA1123">
              <w:rPr>
                <w:color w:val="000000" w:themeColor="text1"/>
                <w:sz w:val="22"/>
                <w:szCs w:val="22"/>
              </w:rPr>
              <w:fldChar w:fldCharType="separate"/>
            </w:r>
            <w:r w:rsidR="007B64EE" w:rsidRPr="007B64EE">
              <w:rPr>
                <w:noProof/>
                <w:color w:val="000000" w:themeColor="text1"/>
                <w:sz w:val="22"/>
                <w:szCs w:val="22"/>
                <w:vertAlign w:val="superscript"/>
              </w:rPr>
              <w:t>4</w:t>
            </w:r>
            <w:r w:rsidRPr="00DA1123">
              <w:rPr>
                <w:color w:val="000000" w:themeColor="text1"/>
                <w:sz w:val="22"/>
                <w:szCs w:val="22"/>
              </w:rPr>
              <w:fldChar w:fldCharType="end"/>
            </w:r>
          </w:p>
        </w:tc>
        <w:tc>
          <w:tcPr>
            <w:tcW w:w="2041" w:type="dxa"/>
          </w:tcPr>
          <w:p w14:paraId="0E835DD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w:t>
            </w:r>
          </w:p>
        </w:tc>
        <w:tc>
          <w:tcPr>
            <w:tcW w:w="1679" w:type="dxa"/>
          </w:tcPr>
          <w:p w14:paraId="60B38AEB"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ES</w:t>
            </w:r>
          </w:p>
        </w:tc>
        <w:tc>
          <w:tcPr>
            <w:tcW w:w="2974" w:type="dxa"/>
          </w:tcPr>
          <w:p w14:paraId="62E551B4"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V6.5</w:t>
            </w:r>
          </w:p>
        </w:tc>
      </w:tr>
    </w:tbl>
    <w:p w14:paraId="47D4F9C6" w14:textId="77777777" w:rsidR="00E20C40" w:rsidRPr="00DA1123" w:rsidRDefault="00E20C40" w:rsidP="00E20C40">
      <w:pPr>
        <w:spacing w:line="360" w:lineRule="auto"/>
        <w:rPr>
          <w:b/>
          <w:color w:val="000000" w:themeColor="text1"/>
          <w:sz w:val="22"/>
          <w:szCs w:val="22"/>
        </w:rPr>
      </w:pPr>
    </w:p>
    <w:p w14:paraId="507EEE2E" w14:textId="77777777" w:rsidR="00E20C40" w:rsidRPr="00DA1123" w:rsidRDefault="00E20C40" w:rsidP="00E20C40">
      <w:pPr>
        <w:rPr>
          <w:b/>
          <w:color w:val="000000" w:themeColor="text1"/>
          <w:sz w:val="20"/>
          <w:szCs w:val="22"/>
        </w:rPr>
      </w:pPr>
      <w:r w:rsidRPr="00DA1123">
        <w:rPr>
          <w:b/>
          <w:color w:val="000000" w:themeColor="text1"/>
          <w:sz w:val="20"/>
          <w:szCs w:val="22"/>
        </w:rPr>
        <w:br w:type="page"/>
      </w:r>
    </w:p>
    <w:p w14:paraId="30843EF7" w14:textId="77777777" w:rsidR="00E20C40" w:rsidRPr="00DA1123" w:rsidRDefault="00E20C40" w:rsidP="00E20C40">
      <w:pPr>
        <w:spacing w:line="360" w:lineRule="auto"/>
        <w:rPr>
          <w:color w:val="000000" w:themeColor="text1"/>
          <w:sz w:val="20"/>
          <w:szCs w:val="22"/>
        </w:rPr>
      </w:pPr>
      <w:r w:rsidRPr="00DA1123">
        <w:rPr>
          <w:b/>
          <w:color w:val="000000" w:themeColor="text1"/>
          <w:sz w:val="20"/>
          <w:szCs w:val="22"/>
        </w:rPr>
        <w:lastRenderedPageBreak/>
        <w:t xml:space="preserve">Table </w:t>
      </w:r>
      <w:r>
        <w:rPr>
          <w:b/>
          <w:color w:val="000000" w:themeColor="text1"/>
          <w:sz w:val="20"/>
          <w:szCs w:val="22"/>
        </w:rPr>
        <w:t>S</w:t>
      </w:r>
      <w:r w:rsidRPr="00DA1123">
        <w:rPr>
          <w:b/>
          <w:color w:val="000000" w:themeColor="text1"/>
          <w:sz w:val="20"/>
          <w:szCs w:val="22"/>
        </w:rPr>
        <w:t xml:space="preserve">3: </w:t>
      </w:r>
      <w:r w:rsidRPr="00DA1123">
        <w:rPr>
          <w:color w:val="000000" w:themeColor="text1"/>
          <w:sz w:val="20"/>
          <w:szCs w:val="22"/>
        </w:rPr>
        <w:t xml:space="preserve">ChIP-seq data for TFs induced in NIH3T3 fibroblasts, downloaded from Raccaud </w:t>
      </w:r>
      <w:r w:rsidRPr="00DA1123">
        <w:rPr>
          <w:i/>
          <w:color w:val="000000" w:themeColor="text1"/>
          <w:sz w:val="20"/>
          <w:szCs w:val="22"/>
        </w:rPr>
        <w:t>et al</w:t>
      </w:r>
      <w:r w:rsidRPr="00DA1123">
        <w:rPr>
          <w:color w:val="000000" w:themeColor="text1"/>
          <w:sz w:val="20"/>
          <w:szCs w:val="22"/>
        </w:rPr>
        <w:fldChar w:fldCharType="begin" w:fldLock="1"/>
      </w:r>
      <w:r w:rsidR="007B64EE">
        <w:rPr>
          <w:color w:val="000000" w:themeColor="text1"/>
          <w:sz w:val="20"/>
          <w:szCs w:val="22"/>
        </w:rPr>
        <w:instrText>ADDIN CSL_CITATION {"citationItems":[{"id":"ITEM-1","itemData":{"DOI":"10.1038/s41467-019-08417-5","ISSN":"2041-1723","PMID":"30700703","abstract":"Mammalian transcription factors (TFs) differ broadly in their nuclear mobility and sequence-specific/non-specific DNA binding. How these properties affect their ability to occupy specific genomic sites and modify the epigenetic landscape is unclear. The association of TFs with mitotic chromosomes observed by fluorescence microscopy is largely mediated by non-specific DNA interactions and differs broadly between TFs. Here we combine quantitative measurements of mitotic chromosome binding (MCB) of 501 TFs, TF mobility measurements by fluorescence recovery after photobleaching, single molecule imaging of DNA binding, and mapping of TF binding and chromatin accessibility. TFs associating to mitotic chromosomes are enriched in DNA-rich compartments in interphase and display slower mobility in interphase and mitosis. Remarkably, MCB correlates with relative TF on-rates and genome-wide specific site occupancy, but not with TF residence times. This suggests that non-specific DNA binding properties of TFs regulate their search efficiency and occupancy of specific genomic sites.","author":[{"dropping-particle":"","family":"Raccaud","given":"Mahé","non-dropping-particle":"","parse-names":false,"suffix":""},{"dropping-particle":"","family":"Friman","given":"Elias T","non-dropping-particle":"","parse-names":false,"suffix":""},{"dropping-particle":"","family":"Alber","given":"Andrea B","non-dropping-particle":"","parse-names":false,"suffix":""},{"dropping-particle":"","family":"Agarwal","given":"Harsha","non-dropping-particle":"","parse-names":false,"suffix":""},{"dropping-particle":"","family":"Deluz","given":"Cédric","non-dropping-particle":"","parse-names":false,"suffix":""},{"dropping-particle":"","family":"Kuhn","given":"Timo","non-dropping-particle":"","parse-names":false,"suffix":""},{"dropping-particle":"","family":"Gebhardt","given":"J Christof M","non-dropping-particle":"","parse-names":false,"suffix":""},{"dropping-particle":"","family":"Suter","given":"David M","non-dropping-particle":"","parse-names":false,"suffix":""}],"container-title":"Nature communications","id":"ITEM-1","issue":"1","issued":{"date-parts":[["2019","12","30"]]},"page":"487","title":"Mitotic chromosome binding predicts transcription factor properties in interphase.","type":"article-journal","volume":"10"},"uris":["http://www.mendeley.com/documents/?uuid=c5e72a1d-eab0-3001-b697-61bd50a6e1a5"]}],"mendeley":{"formattedCitation":"&lt;sup&gt;5&lt;/sup&gt;","plainTextFormattedCitation":"5","previouslyFormattedCitation":"&lt;sup&gt;5&lt;/sup&gt;"},"properties":{"noteIndex":0},"schema":"https://github.com/citation-style-language/schema/raw/master/csl-citation.json"}</w:instrText>
      </w:r>
      <w:r w:rsidRPr="00DA1123">
        <w:rPr>
          <w:color w:val="000000" w:themeColor="text1"/>
          <w:sz w:val="20"/>
          <w:szCs w:val="22"/>
        </w:rPr>
        <w:fldChar w:fldCharType="separate"/>
      </w:r>
      <w:r w:rsidR="007B64EE" w:rsidRPr="007B64EE">
        <w:rPr>
          <w:noProof/>
          <w:color w:val="000000" w:themeColor="text1"/>
          <w:sz w:val="20"/>
          <w:szCs w:val="22"/>
          <w:vertAlign w:val="superscript"/>
        </w:rPr>
        <w:t>5</w:t>
      </w:r>
      <w:r w:rsidRPr="00DA1123">
        <w:rPr>
          <w:color w:val="000000" w:themeColor="text1"/>
          <w:sz w:val="20"/>
          <w:szCs w:val="22"/>
        </w:rPr>
        <w:fldChar w:fldCharType="end"/>
      </w:r>
      <w:r w:rsidRPr="00DA1123">
        <w:rPr>
          <w:color w:val="000000" w:themeColor="text1"/>
          <w:sz w:val="20"/>
          <w:szCs w:val="22"/>
        </w:rPr>
        <w:t xml:space="preserve">, mEB induced ChIP-seq data downloaded from Aydin </w:t>
      </w:r>
      <w:r w:rsidRPr="00DA1123">
        <w:rPr>
          <w:i/>
          <w:color w:val="000000" w:themeColor="text1"/>
          <w:sz w:val="20"/>
          <w:szCs w:val="22"/>
        </w:rPr>
        <w:t>et al</w:t>
      </w:r>
      <w:r w:rsidR="007B64EE">
        <w:rPr>
          <w:i/>
          <w:color w:val="000000" w:themeColor="text1"/>
          <w:sz w:val="20"/>
          <w:szCs w:val="22"/>
        </w:rPr>
        <w:t xml:space="preserve">. </w:t>
      </w:r>
      <w:r w:rsidRPr="00DA1123">
        <w:rPr>
          <w:i/>
          <w:color w:val="000000" w:themeColor="text1"/>
          <w:sz w:val="20"/>
          <w:szCs w:val="22"/>
        </w:rPr>
        <w:fldChar w:fldCharType="begin" w:fldLock="1"/>
      </w:r>
      <w:r w:rsidR="007B64EE">
        <w:rPr>
          <w:i/>
          <w:color w:val="000000" w:themeColor="text1"/>
          <w:sz w:val="20"/>
          <w:szCs w:val="22"/>
        </w:rPr>
        <w:instrText>ADDIN CSL_CITATION {"citationItems":[{"id":"ITEM-1","itemData":{"DOI":"10.1038/s41593-019-0399-y","ISSN":"1097-6256","author":[{"dropping-particle":"","family":"Aydin","given":"Begüm","non-dropping-particle":"","parse-names":false,"suffix":""},{"dropping-particle":"","family":"Kakumanu","given":"Akshay","non-dropping-particle":"","parse-names":false,"suffix":""},{"dropping-particle":"","family":"Rossillo","given":"Mary","non-dropping-particle":"","parse-names":false,"suffix":""},{"dropping-particle":"","family":"Moreno-Estellés","given":"Mireia","non-dropping-particle":"","parse-names":false,"suffix":""},{"dropping-particle":"","family":"Garipler","given":"Görkem","non-dropping-particle":"","parse-names":false,"suffix":""},{"dropping-particle":"","family":"Ringstad","given":"Niels","non-dropping-particle":"","parse-names":false,"suffix":""},{"dropping-particle":"","family":"Flames","given":"Nuria","non-dropping-particle":"","parse-names":false,"suffix":""},{"dropping-particle":"","family":"Mahony","given":"Shaun","non-dropping-particle":"","parse-names":false,"suffix":""},{"dropping-particle":"","family":"Mazzoni","given":"Esteban O.","non-dropping-particle":"","parse-names":false,"suffix":""}],"container-title":"Nature Neuroscience","id":"ITEM-1","issue":"6","issued":{"date-parts":[["2019","6"]]},"page":"897-908","title":"Proneural factors Ascl1 and Neurog2 contribute to neuronal subtype identities by establishing distinct chromatin landscapes","type":"article-journal","volume":"22"},"uris":["http://www.mendeley.com/documents/?uuid=80c069d7-f61c-4fbd-8263-60f7e4f82fc4"]}],"mendeley":{"formattedCitation":"&lt;sup&gt;6&lt;/sup&gt;","plainTextFormattedCitation":"6","previouslyFormattedCitation":"&lt;sup&gt;6&lt;/sup&gt;"},"properties":{"noteIndex":0},"schema":"https://github.com/citation-style-language/schema/raw/master/csl-citation.json"}</w:instrText>
      </w:r>
      <w:r w:rsidRPr="00DA1123">
        <w:rPr>
          <w:i/>
          <w:color w:val="000000" w:themeColor="text1"/>
          <w:sz w:val="20"/>
          <w:szCs w:val="22"/>
        </w:rPr>
        <w:fldChar w:fldCharType="separate"/>
      </w:r>
      <w:r w:rsidR="007B64EE" w:rsidRPr="007B64EE">
        <w:rPr>
          <w:noProof/>
          <w:color w:val="000000" w:themeColor="text1"/>
          <w:sz w:val="20"/>
          <w:szCs w:val="22"/>
          <w:vertAlign w:val="superscript"/>
        </w:rPr>
        <w:t>6</w:t>
      </w:r>
      <w:r w:rsidRPr="00DA1123">
        <w:rPr>
          <w:i/>
          <w:color w:val="000000" w:themeColor="text1"/>
          <w:sz w:val="20"/>
          <w:szCs w:val="22"/>
        </w:rPr>
        <w:fldChar w:fldCharType="end"/>
      </w:r>
      <w:r w:rsidRPr="00DA1123">
        <w:rPr>
          <w:i/>
          <w:color w:val="000000" w:themeColor="text1"/>
          <w:sz w:val="20"/>
          <w:szCs w:val="22"/>
        </w:rPr>
        <w:t xml:space="preserve"> </w:t>
      </w:r>
      <w:r w:rsidRPr="00DA1123">
        <w:rPr>
          <w:color w:val="000000" w:themeColor="text1"/>
          <w:sz w:val="20"/>
          <w:szCs w:val="22"/>
        </w:rPr>
        <w:t xml:space="preserve">and human BJ induced data, downloaded from Donaghey </w:t>
      </w:r>
      <w:r w:rsidRPr="00DA1123">
        <w:rPr>
          <w:i/>
          <w:color w:val="000000" w:themeColor="text1"/>
          <w:sz w:val="20"/>
          <w:szCs w:val="22"/>
        </w:rPr>
        <w:t>et al</w:t>
      </w:r>
      <w:r w:rsidRPr="00DA1123">
        <w:rPr>
          <w:i/>
          <w:color w:val="000000" w:themeColor="text1"/>
          <w:sz w:val="20"/>
          <w:szCs w:val="22"/>
        </w:rPr>
        <w:fldChar w:fldCharType="begin" w:fldLock="1"/>
      </w:r>
      <w:r w:rsidR="007B64EE">
        <w:rPr>
          <w:i/>
          <w:color w:val="000000" w:themeColor="text1"/>
          <w:sz w:val="20"/>
          <w:szCs w:val="22"/>
        </w:rPr>
        <w:instrText>ADDIN CSL_CITATION {"citationItems":[{"id":"ITEM-1","itemData":{"DOI":"10.1038/s41588-017-0034-3","ISSN":"1546-1718","abstract":"Transcription factors (TFs) direct developmental transitions by binding to target DNA sequences, influencing gene expression and establishing complex gene-regultory networks. To systematically determine the molecular components that enable or constrain TF activity, we investigated the genomic occupancy of FOXA2, GATA4 and OCT4 in several cell types. Despite their classification as pioneer factors, all three TFs exhibit cell-type-specific binding, even when supraphysiologically and ectopically expressed. However, FOXA2 and GATA4 can be distinguished by low enrichment at loci that are highly occupied by these factors in alternative cell types. We find that expression of additional cofactors increases enrichment at a subset of these sites. Finally, FOXA2 occupancy and changes to DNA accessibility can occur in G1-arrested cells, but subsequent loss of DNA methylation requires DNA replication.","author":[{"dropping-particle":"","family":"Donaghey","given":"Julie","non-dropping-particle":"","parse-names":false,"suffix":""},{"dropping-particle":"","family":"Thakurela","given":"Sudhir","non-dropping-particle":"","parse-names":false,"suffix":""},{"dropping-particle":"","family":"Charlton","given":"Jocelyn","non-dropping-particle":"","parse-names":false,"suffix":""},{"dropping-particle":"","family":"Chen","given":"Jennifer S","non-dropping-particle":"","parse-names":false,"suffix":""},{"dropping-particle":"","family":"Smith","given":"Zachary D","non-dropping-particle":"","parse-names":false,"suffix":""},{"dropping-particle":"","family":"Gu","given":"Hongcang","non-dropping-particle":"","parse-names":false,"suffix":""},{"dropping-particle":"","family":"Pop","given":"Ramona","non-dropping-particle":"","parse-names":false,"suffix":""},{"dropping-particle":"","family":"Clement","given":"Kendell","non-dropping-particle":"","parse-names":false,"suffix":""},{"dropping-particle":"","family":"Stamenova","given":"Elena K","non-dropping-particle":"","parse-names":false,"suffix":""},{"dropping-particle":"","family":"Karnik","given":"Rahul","non-dropping-particle":"","parse-names":false,"suffix":""},{"dropping-particle":"","family":"Kelley","given":"David R","non-dropping-particle":"","parse-names":false,"suffix":""},{"dropping-particle":"","family":"Gifford","given":"Casey A","non-dropping-particle":"","parse-names":false,"suffix":""},{"dropping-particle":"","family":"Cacchiarelli","given":"Davide","non-dropping-particle":"","parse-names":false,"suffix":""},{"dropping-particle":"","family":"Rinn","given":"John L","non-dropping-particle":"","parse-names":false,"suffix":""},{"dropping-particle":"","family":"Gnirke","given":"Andreas","non-dropping-particle":"","parse-names":false,"suffix":""},{"dropping-particle":"","family":"Ziller","given":"Michael J","non-dropping-particle":"","parse-names":false,"suffix":""},{"dropping-particle":"","family":"Meissner","given":"Alexander","non-dropping-particle":"","parse-names":false,"suffix":""}],"container-title":"Nature Genetics","id":"ITEM-1","issue":"2","issued":{"date-parts":[["2018"]]},"page":"250-258","title":"Genetic determinants and epigenetic effects of pioneer-factor occupancy","type":"article-journal","volume":"50"},"uris":["http://www.mendeley.com/documents/?uuid=af209738-3610-4541-baaa-59bf7985d543"]}],"mendeley":{"formattedCitation":"&lt;sup&gt;7&lt;/sup&gt;","plainTextFormattedCitation":"7","previouslyFormattedCitation":"&lt;sup&gt;7&lt;/sup&gt;"},"properties":{"noteIndex":0},"schema":"https://github.com/citation-style-language/schema/raw/master/csl-citation.json"}</w:instrText>
      </w:r>
      <w:r w:rsidRPr="00DA1123">
        <w:rPr>
          <w:i/>
          <w:color w:val="000000" w:themeColor="text1"/>
          <w:sz w:val="20"/>
          <w:szCs w:val="22"/>
        </w:rPr>
        <w:fldChar w:fldCharType="separate"/>
      </w:r>
      <w:r w:rsidR="007B64EE" w:rsidRPr="007B64EE">
        <w:rPr>
          <w:noProof/>
          <w:color w:val="000000" w:themeColor="text1"/>
          <w:sz w:val="20"/>
          <w:szCs w:val="22"/>
          <w:vertAlign w:val="superscript"/>
        </w:rPr>
        <w:t>7</w:t>
      </w:r>
      <w:r w:rsidRPr="00DA1123">
        <w:rPr>
          <w:i/>
          <w:color w:val="000000" w:themeColor="text1"/>
          <w:sz w:val="20"/>
          <w:szCs w:val="22"/>
        </w:rPr>
        <w:fldChar w:fldCharType="end"/>
      </w:r>
      <w:r w:rsidRPr="00DA1123">
        <w:rPr>
          <w:i/>
          <w:color w:val="000000" w:themeColor="text1"/>
          <w:sz w:val="20"/>
          <w:szCs w:val="22"/>
        </w:rPr>
        <w:t>.</w:t>
      </w:r>
      <w:r w:rsidRPr="00DA1123">
        <w:rPr>
          <w:color w:val="000000" w:themeColor="text1"/>
          <w:sz w:val="20"/>
          <w:szCs w:val="22"/>
        </w:rPr>
        <w:t xml:space="preserve"> Processed with bowtie (1.0.1) and multiGPS (version 0.74). </w:t>
      </w:r>
    </w:p>
    <w:p w14:paraId="5C7064EB" w14:textId="77777777" w:rsidR="00E20C40" w:rsidRPr="00DA1123" w:rsidRDefault="00E20C40" w:rsidP="00E20C40">
      <w:pPr>
        <w:spacing w:line="360" w:lineRule="auto"/>
        <w:rPr>
          <w:b/>
          <w:color w:val="000000" w:themeColor="text1"/>
          <w:sz w:val="22"/>
          <w:szCs w:val="22"/>
        </w:rPr>
      </w:pPr>
    </w:p>
    <w:tbl>
      <w:tblPr>
        <w:tblStyle w:val="TableGrid"/>
        <w:tblW w:w="9108" w:type="dxa"/>
        <w:tblInd w:w="108" w:type="dxa"/>
        <w:tblLook w:val="04A0" w:firstRow="1" w:lastRow="0" w:firstColumn="1" w:lastColumn="0" w:noHBand="0" w:noVBand="1"/>
      </w:tblPr>
      <w:tblGrid>
        <w:gridCol w:w="1597"/>
        <w:gridCol w:w="1636"/>
        <w:gridCol w:w="1774"/>
        <w:gridCol w:w="1854"/>
        <w:gridCol w:w="2247"/>
      </w:tblGrid>
      <w:tr w:rsidR="00E20C40" w:rsidRPr="00DA1123" w14:paraId="3E02E449" w14:textId="77777777" w:rsidTr="00FB7C49">
        <w:tc>
          <w:tcPr>
            <w:tcW w:w="1597" w:type="dxa"/>
          </w:tcPr>
          <w:p w14:paraId="5EDC6762"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Data</w:t>
            </w:r>
          </w:p>
        </w:tc>
        <w:tc>
          <w:tcPr>
            <w:tcW w:w="1636" w:type="dxa"/>
          </w:tcPr>
          <w:p w14:paraId="4876F68A"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Cell Type</w:t>
            </w:r>
          </w:p>
        </w:tc>
        <w:tc>
          <w:tcPr>
            <w:tcW w:w="1774" w:type="dxa"/>
          </w:tcPr>
          <w:p w14:paraId="16DCE11B"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Number of Peaks</w:t>
            </w:r>
          </w:p>
        </w:tc>
        <w:tc>
          <w:tcPr>
            <w:tcW w:w="1854" w:type="dxa"/>
          </w:tcPr>
          <w:p w14:paraId="32B47B89"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Replicates</w:t>
            </w:r>
          </w:p>
        </w:tc>
        <w:tc>
          <w:tcPr>
            <w:tcW w:w="2247" w:type="dxa"/>
          </w:tcPr>
          <w:p w14:paraId="50F40F7C"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multiGPS Signal Fraction</w:t>
            </w:r>
          </w:p>
        </w:tc>
      </w:tr>
      <w:tr w:rsidR="00E20C40" w:rsidRPr="00DA1123" w14:paraId="332A8C5B" w14:textId="77777777" w:rsidTr="00FB7C49">
        <w:tc>
          <w:tcPr>
            <w:tcW w:w="1597" w:type="dxa"/>
          </w:tcPr>
          <w:p w14:paraId="0FFC8F00"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rPr>
              <w:t>bHLHb8</w:t>
            </w:r>
          </w:p>
        </w:tc>
        <w:tc>
          <w:tcPr>
            <w:tcW w:w="1636" w:type="dxa"/>
          </w:tcPr>
          <w:p w14:paraId="6706BB9A"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NIH-3T3</w:t>
            </w:r>
          </w:p>
        </w:tc>
        <w:tc>
          <w:tcPr>
            <w:tcW w:w="1774" w:type="dxa"/>
          </w:tcPr>
          <w:p w14:paraId="08580387"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lang w:val="is-IS"/>
              </w:rPr>
              <w:t>47,106</w:t>
            </w:r>
          </w:p>
        </w:tc>
        <w:tc>
          <w:tcPr>
            <w:tcW w:w="1854" w:type="dxa"/>
          </w:tcPr>
          <w:p w14:paraId="338BF9D5"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2</w:t>
            </w:r>
          </w:p>
        </w:tc>
        <w:tc>
          <w:tcPr>
            <w:tcW w:w="2247" w:type="dxa"/>
          </w:tcPr>
          <w:p w14:paraId="1BFC252A"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0.083,0.117</w:t>
            </w:r>
          </w:p>
        </w:tc>
      </w:tr>
      <w:tr w:rsidR="00E20C40" w:rsidRPr="00DA1123" w14:paraId="581AD2EE" w14:textId="77777777" w:rsidTr="00FB7C49">
        <w:tc>
          <w:tcPr>
            <w:tcW w:w="1597" w:type="dxa"/>
          </w:tcPr>
          <w:p w14:paraId="02575F92"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rPr>
              <w:t>Cdx2</w:t>
            </w:r>
          </w:p>
        </w:tc>
        <w:tc>
          <w:tcPr>
            <w:tcW w:w="1636" w:type="dxa"/>
          </w:tcPr>
          <w:p w14:paraId="6CFA15B7"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lang w:val="is-IS"/>
              </w:rPr>
              <w:t>NIH-3T3</w:t>
            </w:r>
          </w:p>
        </w:tc>
        <w:tc>
          <w:tcPr>
            <w:tcW w:w="1774" w:type="dxa"/>
          </w:tcPr>
          <w:p w14:paraId="511FF7BB"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rPr>
              <w:t>15,650</w:t>
            </w:r>
          </w:p>
        </w:tc>
        <w:tc>
          <w:tcPr>
            <w:tcW w:w="1854" w:type="dxa"/>
          </w:tcPr>
          <w:p w14:paraId="526FA137"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1F88A47B"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0.029</w:t>
            </w:r>
          </w:p>
        </w:tc>
      </w:tr>
      <w:tr w:rsidR="00E20C40" w:rsidRPr="00DA1123" w14:paraId="68E03D81" w14:textId="77777777" w:rsidTr="00FB7C49">
        <w:tc>
          <w:tcPr>
            <w:tcW w:w="1597" w:type="dxa"/>
          </w:tcPr>
          <w:p w14:paraId="181AE2E8"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rPr>
              <w:t>Dlx6</w:t>
            </w:r>
          </w:p>
        </w:tc>
        <w:tc>
          <w:tcPr>
            <w:tcW w:w="1636" w:type="dxa"/>
          </w:tcPr>
          <w:p w14:paraId="5A7FAE14"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NIH-3T3</w:t>
            </w:r>
          </w:p>
        </w:tc>
        <w:tc>
          <w:tcPr>
            <w:tcW w:w="1774" w:type="dxa"/>
          </w:tcPr>
          <w:p w14:paraId="6F462043"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lang w:val="is-IS"/>
              </w:rPr>
              <w:t>15,163</w:t>
            </w:r>
          </w:p>
        </w:tc>
        <w:tc>
          <w:tcPr>
            <w:tcW w:w="1854" w:type="dxa"/>
          </w:tcPr>
          <w:p w14:paraId="705092DD"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5E1F111C"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0.027</w:t>
            </w:r>
          </w:p>
        </w:tc>
      </w:tr>
      <w:tr w:rsidR="00E20C40" w:rsidRPr="00DA1123" w14:paraId="76C36315" w14:textId="77777777" w:rsidTr="00FB7C49">
        <w:tc>
          <w:tcPr>
            <w:tcW w:w="1597" w:type="dxa"/>
          </w:tcPr>
          <w:p w14:paraId="7DA47200"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rPr>
              <w:t>Duxbl</w:t>
            </w:r>
          </w:p>
        </w:tc>
        <w:tc>
          <w:tcPr>
            <w:tcW w:w="1636" w:type="dxa"/>
          </w:tcPr>
          <w:p w14:paraId="28B658AC"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NIH-3T3</w:t>
            </w:r>
          </w:p>
        </w:tc>
        <w:tc>
          <w:tcPr>
            <w:tcW w:w="1774" w:type="dxa"/>
          </w:tcPr>
          <w:p w14:paraId="76747CE6" w14:textId="77777777" w:rsidR="00E20C40" w:rsidRPr="00DA1123" w:rsidRDefault="00E20C40" w:rsidP="00FB7C49">
            <w:pPr>
              <w:spacing w:line="360" w:lineRule="auto"/>
              <w:rPr>
                <w:color w:val="000000" w:themeColor="text1"/>
                <w:sz w:val="22"/>
                <w:szCs w:val="22"/>
              </w:rPr>
            </w:pPr>
            <w:r w:rsidRPr="00DA1123">
              <w:rPr>
                <w:bCs/>
                <w:color w:val="000000" w:themeColor="text1"/>
                <w:sz w:val="22"/>
                <w:szCs w:val="22"/>
                <w:lang w:val="is-IS"/>
              </w:rPr>
              <w:t>21,668</w:t>
            </w:r>
          </w:p>
        </w:tc>
        <w:tc>
          <w:tcPr>
            <w:tcW w:w="1854" w:type="dxa"/>
          </w:tcPr>
          <w:p w14:paraId="6DE86928"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1</w:t>
            </w:r>
          </w:p>
        </w:tc>
        <w:tc>
          <w:tcPr>
            <w:tcW w:w="2247" w:type="dxa"/>
          </w:tcPr>
          <w:p w14:paraId="08170910"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0.04</w:t>
            </w:r>
          </w:p>
        </w:tc>
      </w:tr>
      <w:tr w:rsidR="00E20C40" w:rsidRPr="00DA1123" w14:paraId="48671618" w14:textId="77777777" w:rsidTr="00FB7C49">
        <w:tc>
          <w:tcPr>
            <w:tcW w:w="1597" w:type="dxa"/>
          </w:tcPr>
          <w:p w14:paraId="40BD0647"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FoxA1</w:t>
            </w:r>
          </w:p>
        </w:tc>
        <w:tc>
          <w:tcPr>
            <w:tcW w:w="1636" w:type="dxa"/>
          </w:tcPr>
          <w:p w14:paraId="2EA6B021"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NIH-3T3</w:t>
            </w:r>
          </w:p>
        </w:tc>
        <w:tc>
          <w:tcPr>
            <w:tcW w:w="1774" w:type="dxa"/>
          </w:tcPr>
          <w:p w14:paraId="4BBFAFC3"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4,736</w:t>
            </w:r>
          </w:p>
        </w:tc>
        <w:tc>
          <w:tcPr>
            <w:tcW w:w="1854" w:type="dxa"/>
          </w:tcPr>
          <w:p w14:paraId="13C6BA83"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2</w:t>
            </w:r>
          </w:p>
        </w:tc>
        <w:tc>
          <w:tcPr>
            <w:tcW w:w="2247" w:type="dxa"/>
          </w:tcPr>
          <w:p w14:paraId="49EDF1EE"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0.014,0.010</w:t>
            </w:r>
          </w:p>
        </w:tc>
      </w:tr>
      <w:tr w:rsidR="00E20C40" w:rsidRPr="00DA1123" w14:paraId="1A263286" w14:textId="77777777" w:rsidTr="00FB7C49">
        <w:tc>
          <w:tcPr>
            <w:tcW w:w="1597" w:type="dxa"/>
          </w:tcPr>
          <w:p w14:paraId="35C7805E"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Hlf</w:t>
            </w:r>
          </w:p>
        </w:tc>
        <w:tc>
          <w:tcPr>
            <w:tcW w:w="1636" w:type="dxa"/>
          </w:tcPr>
          <w:p w14:paraId="41947455"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NIH-3T3</w:t>
            </w:r>
          </w:p>
        </w:tc>
        <w:tc>
          <w:tcPr>
            <w:tcW w:w="1774" w:type="dxa"/>
          </w:tcPr>
          <w:p w14:paraId="773FC714"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3,131</w:t>
            </w:r>
          </w:p>
        </w:tc>
        <w:tc>
          <w:tcPr>
            <w:tcW w:w="1854" w:type="dxa"/>
          </w:tcPr>
          <w:p w14:paraId="64C5412D"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1</w:t>
            </w:r>
          </w:p>
        </w:tc>
        <w:tc>
          <w:tcPr>
            <w:tcW w:w="2247" w:type="dxa"/>
          </w:tcPr>
          <w:p w14:paraId="7E623F60" w14:textId="77777777" w:rsidR="00E20C40" w:rsidRPr="00DA1123" w:rsidRDefault="00E20C40" w:rsidP="00FB7C49">
            <w:pPr>
              <w:spacing w:line="360" w:lineRule="auto"/>
              <w:rPr>
                <w:bCs/>
                <w:color w:val="000000" w:themeColor="text1"/>
                <w:sz w:val="22"/>
                <w:szCs w:val="22"/>
                <w:lang w:val="is-IS"/>
              </w:rPr>
            </w:pPr>
            <w:r w:rsidRPr="00DA1123">
              <w:rPr>
                <w:bCs/>
                <w:color w:val="000000" w:themeColor="text1"/>
                <w:sz w:val="22"/>
                <w:szCs w:val="22"/>
                <w:lang w:val="is-IS"/>
              </w:rPr>
              <w:t>0.009</w:t>
            </w:r>
          </w:p>
        </w:tc>
      </w:tr>
      <w:tr w:rsidR="00E20C40" w:rsidRPr="00DA1123" w14:paraId="3F88BDB3" w14:textId="77777777" w:rsidTr="00FB7C49">
        <w:tc>
          <w:tcPr>
            <w:tcW w:w="1597" w:type="dxa"/>
          </w:tcPr>
          <w:p w14:paraId="466D00D7"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Rhox11</w:t>
            </w:r>
          </w:p>
        </w:tc>
        <w:tc>
          <w:tcPr>
            <w:tcW w:w="1636" w:type="dxa"/>
          </w:tcPr>
          <w:p w14:paraId="5EC620DB"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lang w:val="is-IS"/>
              </w:rPr>
              <w:t>NIH-3T3</w:t>
            </w:r>
          </w:p>
        </w:tc>
        <w:tc>
          <w:tcPr>
            <w:tcW w:w="1774" w:type="dxa"/>
          </w:tcPr>
          <w:p w14:paraId="71E748D9" w14:textId="77777777" w:rsidR="00E20C40" w:rsidRPr="00DA1123" w:rsidRDefault="00E20C40" w:rsidP="00FB7C49">
            <w:pPr>
              <w:spacing w:line="360" w:lineRule="auto"/>
              <w:rPr>
                <w:bCs/>
                <w:color w:val="000000" w:themeColor="text1"/>
                <w:sz w:val="22"/>
                <w:szCs w:val="22"/>
                <w:lang w:val="fi-FI"/>
              </w:rPr>
            </w:pPr>
            <w:r w:rsidRPr="00DA1123">
              <w:rPr>
                <w:bCs/>
                <w:color w:val="000000" w:themeColor="text1"/>
                <w:sz w:val="22"/>
                <w:szCs w:val="22"/>
              </w:rPr>
              <w:t>4,653</w:t>
            </w:r>
          </w:p>
        </w:tc>
        <w:tc>
          <w:tcPr>
            <w:tcW w:w="1854" w:type="dxa"/>
          </w:tcPr>
          <w:p w14:paraId="50E29E1F"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20D8FDAE"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0.01</w:t>
            </w:r>
          </w:p>
        </w:tc>
      </w:tr>
      <w:tr w:rsidR="00E20C40" w:rsidRPr="00DA1123" w14:paraId="5D838D51" w14:textId="77777777" w:rsidTr="00FB7C49">
        <w:tc>
          <w:tcPr>
            <w:tcW w:w="1597" w:type="dxa"/>
          </w:tcPr>
          <w:p w14:paraId="7BE24C6C"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Sox15</w:t>
            </w:r>
          </w:p>
        </w:tc>
        <w:tc>
          <w:tcPr>
            <w:tcW w:w="1636" w:type="dxa"/>
          </w:tcPr>
          <w:p w14:paraId="339AC79E"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is-IS"/>
              </w:rPr>
              <w:t>NIH-3T3</w:t>
            </w:r>
          </w:p>
        </w:tc>
        <w:tc>
          <w:tcPr>
            <w:tcW w:w="1774" w:type="dxa"/>
          </w:tcPr>
          <w:p w14:paraId="53E8BFF4"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lang w:val="cs-CZ"/>
              </w:rPr>
              <w:t>5,114</w:t>
            </w:r>
          </w:p>
        </w:tc>
        <w:tc>
          <w:tcPr>
            <w:tcW w:w="1854" w:type="dxa"/>
          </w:tcPr>
          <w:p w14:paraId="2318DF64" w14:textId="77777777" w:rsidR="00E20C40" w:rsidRPr="00DA1123" w:rsidRDefault="00E20C40" w:rsidP="00FB7C49">
            <w:pPr>
              <w:spacing w:line="360" w:lineRule="auto"/>
              <w:rPr>
                <w:bCs/>
                <w:color w:val="000000" w:themeColor="text1"/>
                <w:sz w:val="22"/>
                <w:szCs w:val="22"/>
                <w:lang w:val="hr-HR"/>
              </w:rPr>
            </w:pPr>
            <w:r w:rsidRPr="00DA1123">
              <w:rPr>
                <w:bCs/>
                <w:color w:val="000000" w:themeColor="text1"/>
                <w:sz w:val="22"/>
                <w:szCs w:val="22"/>
                <w:lang w:val="hr-HR"/>
              </w:rPr>
              <w:t>1</w:t>
            </w:r>
          </w:p>
        </w:tc>
        <w:tc>
          <w:tcPr>
            <w:tcW w:w="2247" w:type="dxa"/>
          </w:tcPr>
          <w:p w14:paraId="0C3EBA73" w14:textId="77777777" w:rsidR="00E20C40" w:rsidRPr="00DA1123" w:rsidRDefault="00E20C40" w:rsidP="00FB7C49">
            <w:pPr>
              <w:spacing w:line="360" w:lineRule="auto"/>
              <w:rPr>
                <w:bCs/>
                <w:color w:val="000000" w:themeColor="text1"/>
                <w:sz w:val="22"/>
                <w:szCs w:val="22"/>
                <w:lang w:val="hr-HR"/>
              </w:rPr>
            </w:pPr>
            <w:r w:rsidRPr="00DA1123">
              <w:rPr>
                <w:bCs/>
                <w:color w:val="000000" w:themeColor="text1"/>
                <w:sz w:val="22"/>
                <w:szCs w:val="22"/>
                <w:lang w:val="hr-HR"/>
              </w:rPr>
              <w:t>0.013</w:t>
            </w:r>
          </w:p>
        </w:tc>
      </w:tr>
      <w:tr w:rsidR="00E20C40" w:rsidRPr="00DA1123" w14:paraId="0181508A" w14:textId="77777777" w:rsidTr="00FB7C49">
        <w:tc>
          <w:tcPr>
            <w:tcW w:w="1597" w:type="dxa"/>
          </w:tcPr>
          <w:p w14:paraId="1AD13777"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Sox2</w:t>
            </w:r>
          </w:p>
        </w:tc>
        <w:tc>
          <w:tcPr>
            <w:tcW w:w="1636" w:type="dxa"/>
          </w:tcPr>
          <w:p w14:paraId="67499E4E"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is-IS"/>
              </w:rPr>
              <w:t>NIH-3T3</w:t>
            </w:r>
          </w:p>
        </w:tc>
        <w:tc>
          <w:tcPr>
            <w:tcW w:w="1774" w:type="dxa"/>
          </w:tcPr>
          <w:p w14:paraId="0E4AFA85"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4,421</w:t>
            </w:r>
          </w:p>
        </w:tc>
        <w:tc>
          <w:tcPr>
            <w:tcW w:w="1854" w:type="dxa"/>
          </w:tcPr>
          <w:p w14:paraId="6D796E2C"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66846E1E"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0.019</w:t>
            </w:r>
          </w:p>
        </w:tc>
      </w:tr>
      <w:tr w:rsidR="00E20C40" w:rsidRPr="00DA1123" w14:paraId="682C3B81" w14:textId="77777777" w:rsidTr="00FB7C49">
        <w:tc>
          <w:tcPr>
            <w:tcW w:w="1597" w:type="dxa"/>
          </w:tcPr>
          <w:p w14:paraId="58FB773A"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Neurog2</w:t>
            </w:r>
          </w:p>
        </w:tc>
        <w:tc>
          <w:tcPr>
            <w:tcW w:w="1636" w:type="dxa"/>
          </w:tcPr>
          <w:p w14:paraId="4219D5A5"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mES</w:t>
            </w:r>
          </w:p>
        </w:tc>
        <w:tc>
          <w:tcPr>
            <w:tcW w:w="1774" w:type="dxa"/>
          </w:tcPr>
          <w:p w14:paraId="7425FD9E"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26,643</w:t>
            </w:r>
          </w:p>
        </w:tc>
        <w:tc>
          <w:tcPr>
            <w:tcW w:w="1854" w:type="dxa"/>
          </w:tcPr>
          <w:p w14:paraId="707F9F11"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3</w:t>
            </w:r>
          </w:p>
        </w:tc>
        <w:tc>
          <w:tcPr>
            <w:tcW w:w="2247" w:type="dxa"/>
          </w:tcPr>
          <w:p w14:paraId="6B063500"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0.24, 0.11, 0.18</w:t>
            </w:r>
          </w:p>
        </w:tc>
      </w:tr>
      <w:tr w:rsidR="00E20C40" w:rsidRPr="00DA1123" w14:paraId="5B60DD7D" w14:textId="77777777" w:rsidTr="00FB7C49">
        <w:trPr>
          <w:trHeight w:val="460"/>
        </w:trPr>
        <w:tc>
          <w:tcPr>
            <w:tcW w:w="1597" w:type="dxa"/>
          </w:tcPr>
          <w:p w14:paraId="03F3C378"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Ascl1</w:t>
            </w:r>
          </w:p>
        </w:tc>
        <w:tc>
          <w:tcPr>
            <w:tcW w:w="1636" w:type="dxa"/>
          </w:tcPr>
          <w:p w14:paraId="399E92E2"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 xml:space="preserve">mES </w:t>
            </w:r>
          </w:p>
        </w:tc>
        <w:tc>
          <w:tcPr>
            <w:tcW w:w="1774" w:type="dxa"/>
          </w:tcPr>
          <w:p w14:paraId="1375BC19"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21,176</w:t>
            </w:r>
          </w:p>
        </w:tc>
        <w:tc>
          <w:tcPr>
            <w:tcW w:w="1854" w:type="dxa"/>
          </w:tcPr>
          <w:p w14:paraId="26BDD650" w14:textId="77777777" w:rsidR="00E20C40" w:rsidRPr="00DA1123" w:rsidRDefault="00E20C40" w:rsidP="00FB7C49">
            <w:pPr>
              <w:keepNext/>
              <w:keepLines/>
              <w:spacing w:before="200" w:line="360" w:lineRule="auto"/>
              <w:outlineLvl w:val="8"/>
              <w:rPr>
                <w:bCs/>
                <w:color w:val="000000" w:themeColor="text1"/>
                <w:sz w:val="22"/>
                <w:szCs w:val="22"/>
                <w:lang w:val="nb-NO"/>
              </w:rPr>
            </w:pPr>
            <w:r w:rsidRPr="00DA1123">
              <w:rPr>
                <w:bCs/>
                <w:color w:val="000000" w:themeColor="text1"/>
                <w:sz w:val="22"/>
                <w:szCs w:val="22"/>
                <w:lang w:val="nb-NO"/>
              </w:rPr>
              <w:t>3</w:t>
            </w:r>
          </w:p>
        </w:tc>
        <w:tc>
          <w:tcPr>
            <w:tcW w:w="2247" w:type="dxa"/>
          </w:tcPr>
          <w:p w14:paraId="5BD37CA0" w14:textId="77777777" w:rsidR="00E20C40" w:rsidRPr="00DA1123" w:rsidRDefault="00E20C40" w:rsidP="00FB7C49">
            <w:pPr>
              <w:keepNext/>
              <w:keepLines/>
              <w:spacing w:before="200" w:line="360" w:lineRule="auto"/>
              <w:outlineLvl w:val="8"/>
              <w:rPr>
                <w:bCs/>
                <w:color w:val="000000" w:themeColor="text1"/>
                <w:sz w:val="22"/>
                <w:szCs w:val="22"/>
                <w:lang w:val="nb-NO"/>
              </w:rPr>
            </w:pPr>
            <w:r w:rsidRPr="00DA1123">
              <w:rPr>
                <w:bCs/>
                <w:color w:val="000000" w:themeColor="text1"/>
                <w:sz w:val="22"/>
                <w:szCs w:val="22"/>
                <w:lang w:val="nb-NO"/>
              </w:rPr>
              <w:t>0.08, 0.11, 0.12</w:t>
            </w:r>
          </w:p>
        </w:tc>
      </w:tr>
      <w:tr w:rsidR="00E20C40" w:rsidRPr="00DA1123" w14:paraId="1FE7D259" w14:textId="77777777" w:rsidTr="00FB7C49">
        <w:tc>
          <w:tcPr>
            <w:tcW w:w="1597" w:type="dxa"/>
          </w:tcPr>
          <w:p w14:paraId="2E1DFCAC"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OCT4</w:t>
            </w:r>
          </w:p>
        </w:tc>
        <w:tc>
          <w:tcPr>
            <w:tcW w:w="1636" w:type="dxa"/>
          </w:tcPr>
          <w:p w14:paraId="4F731A6A"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BJ</w:t>
            </w:r>
          </w:p>
        </w:tc>
        <w:tc>
          <w:tcPr>
            <w:tcW w:w="1774" w:type="dxa"/>
          </w:tcPr>
          <w:p w14:paraId="0DC93CBD"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rPr>
              <w:t>159,485</w:t>
            </w:r>
          </w:p>
        </w:tc>
        <w:tc>
          <w:tcPr>
            <w:tcW w:w="1854" w:type="dxa"/>
          </w:tcPr>
          <w:p w14:paraId="7C2BC52C" w14:textId="77777777" w:rsidR="00E20C40" w:rsidRPr="00DA1123" w:rsidRDefault="00E20C40" w:rsidP="00FB7C49">
            <w:pPr>
              <w:keepNext/>
              <w:keepLines/>
              <w:spacing w:before="200" w:line="360" w:lineRule="auto"/>
              <w:outlineLvl w:val="8"/>
              <w:rPr>
                <w:bCs/>
                <w:color w:val="000000" w:themeColor="text1"/>
                <w:sz w:val="22"/>
                <w:szCs w:val="22"/>
                <w:lang w:val="nb-NO"/>
              </w:rPr>
            </w:pPr>
            <w:r w:rsidRPr="00DA1123">
              <w:rPr>
                <w:bCs/>
                <w:color w:val="000000" w:themeColor="text1"/>
                <w:sz w:val="22"/>
                <w:szCs w:val="22"/>
                <w:lang w:val="nb-NO"/>
              </w:rPr>
              <w:t>2</w:t>
            </w:r>
          </w:p>
        </w:tc>
        <w:tc>
          <w:tcPr>
            <w:tcW w:w="2247" w:type="dxa"/>
          </w:tcPr>
          <w:p w14:paraId="363810C3" w14:textId="77777777" w:rsidR="00E20C40" w:rsidRPr="00DA1123" w:rsidRDefault="00E20C40" w:rsidP="00FB7C49">
            <w:pPr>
              <w:keepNext/>
              <w:keepLines/>
              <w:spacing w:before="200" w:line="360" w:lineRule="auto"/>
              <w:outlineLvl w:val="8"/>
              <w:rPr>
                <w:bCs/>
                <w:color w:val="000000" w:themeColor="text1"/>
                <w:sz w:val="22"/>
                <w:szCs w:val="22"/>
                <w:lang w:val="nb-NO"/>
              </w:rPr>
            </w:pPr>
            <w:r w:rsidRPr="00DA1123">
              <w:rPr>
                <w:bCs/>
                <w:color w:val="000000" w:themeColor="text1"/>
                <w:sz w:val="22"/>
                <w:szCs w:val="22"/>
                <w:lang w:val="nb-NO"/>
              </w:rPr>
              <w:t>0.29, 0.29</w:t>
            </w:r>
          </w:p>
        </w:tc>
      </w:tr>
      <w:tr w:rsidR="00E20C40" w:rsidRPr="00DA1123" w14:paraId="4E5FE991" w14:textId="77777777" w:rsidTr="00FB7C49">
        <w:tc>
          <w:tcPr>
            <w:tcW w:w="1597" w:type="dxa"/>
          </w:tcPr>
          <w:p w14:paraId="1B7D5B14"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FOXA2</w:t>
            </w:r>
          </w:p>
        </w:tc>
        <w:tc>
          <w:tcPr>
            <w:tcW w:w="1636" w:type="dxa"/>
          </w:tcPr>
          <w:p w14:paraId="331BD154"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BJ</w:t>
            </w:r>
          </w:p>
        </w:tc>
        <w:tc>
          <w:tcPr>
            <w:tcW w:w="1774" w:type="dxa"/>
          </w:tcPr>
          <w:p w14:paraId="4D3A4CCC"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42,37</w:t>
            </w:r>
          </w:p>
        </w:tc>
        <w:tc>
          <w:tcPr>
            <w:tcW w:w="1854" w:type="dxa"/>
          </w:tcPr>
          <w:p w14:paraId="50A0FA50"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4AAF9E7C"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0.1</w:t>
            </w:r>
          </w:p>
        </w:tc>
      </w:tr>
      <w:tr w:rsidR="00E20C40" w:rsidRPr="00DA1123" w14:paraId="60756D0B" w14:textId="77777777" w:rsidTr="00FB7C49">
        <w:tc>
          <w:tcPr>
            <w:tcW w:w="1597" w:type="dxa"/>
          </w:tcPr>
          <w:p w14:paraId="50903671" w14:textId="77777777" w:rsidR="00E20C40" w:rsidRPr="00DA1123" w:rsidRDefault="00E20C40" w:rsidP="00FB7C49">
            <w:pPr>
              <w:spacing w:line="360" w:lineRule="auto"/>
              <w:rPr>
                <w:bCs/>
                <w:color w:val="000000" w:themeColor="text1"/>
                <w:sz w:val="22"/>
                <w:szCs w:val="22"/>
              </w:rPr>
            </w:pPr>
            <w:r w:rsidRPr="00DA1123">
              <w:rPr>
                <w:bCs/>
                <w:color w:val="000000" w:themeColor="text1"/>
                <w:sz w:val="22"/>
                <w:szCs w:val="22"/>
              </w:rPr>
              <w:t>GATA4</w:t>
            </w:r>
          </w:p>
        </w:tc>
        <w:tc>
          <w:tcPr>
            <w:tcW w:w="1636" w:type="dxa"/>
          </w:tcPr>
          <w:p w14:paraId="478573ED"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BJ</w:t>
            </w:r>
          </w:p>
        </w:tc>
        <w:tc>
          <w:tcPr>
            <w:tcW w:w="1774" w:type="dxa"/>
          </w:tcPr>
          <w:p w14:paraId="65BD33FF" w14:textId="77777777" w:rsidR="00E20C40" w:rsidRPr="00DA1123" w:rsidRDefault="00E20C40" w:rsidP="00FB7C49">
            <w:pPr>
              <w:spacing w:line="360" w:lineRule="auto"/>
              <w:rPr>
                <w:bCs/>
                <w:color w:val="000000" w:themeColor="text1"/>
                <w:sz w:val="22"/>
                <w:szCs w:val="22"/>
                <w:lang w:val="cs-CZ"/>
              </w:rPr>
            </w:pPr>
            <w:r w:rsidRPr="00DA1123">
              <w:rPr>
                <w:bCs/>
                <w:color w:val="000000" w:themeColor="text1"/>
                <w:sz w:val="22"/>
                <w:szCs w:val="22"/>
                <w:lang w:val="cs-CZ"/>
              </w:rPr>
              <w:t>107,513</w:t>
            </w:r>
          </w:p>
        </w:tc>
        <w:tc>
          <w:tcPr>
            <w:tcW w:w="1854" w:type="dxa"/>
          </w:tcPr>
          <w:p w14:paraId="2680A2DE"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1</w:t>
            </w:r>
          </w:p>
        </w:tc>
        <w:tc>
          <w:tcPr>
            <w:tcW w:w="2247" w:type="dxa"/>
          </w:tcPr>
          <w:p w14:paraId="2FF4E156" w14:textId="77777777" w:rsidR="00E20C40" w:rsidRPr="00DA1123" w:rsidRDefault="00E20C40" w:rsidP="00FB7C49">
            <w:pPr>
              <w:spacing w:line="360" w:lineRule="auto"/>
              <w:rPr>
                <w:bCs/>
                <w:color w:val="000000" w:themeColor="text1"/>
                <w:sz w:val="22"/>
                <w:szCs w:val="22"/>
                <w:lang w:val="nb-NO"/>
              </w:rPr>
            </w:pPr>
            <w:r w:rsidRPr="00DA1123">
              <w:rPr>
                <w:bCs/>
                <w:color w:val="000000" w:themeColor="text1"/>
                <w:sz w:val="22"/>
                <w:szCs w:val="22"/>
                <w:lang w:val="nb-NO"/>
              </w:rPr>
              <w:t>0.22</w:t>
            </w:r>
          </w:p>
        </w:tc>
      </w:tr>
    </w:tbl>
    <w:p w14:paraId="13E51FCE" w14:textId="77777777" w:rsidR="00E20C40" w:rsidRPr="00DA1123" w:rsidRDefault="00E20C40" w:rsidP="00E20C40">
      <w:pPr>
        <w:spacing w:line="360" w:lineRule="auto"/>
        <w:rPr>
          <w:b/>
          <w:color w:val="000000" w:themeColor="text1"/>
          <w:sz w:val="22"/>
          <w:szCs w:val="22"/>
        </w:rPr>
      </w:pPr>
    </w:p>
    <w:p w14:paraId="5801EF63" w14:textId="77777777" w:rsidR="00E20C40" w:rsidRPr="00DA1123" w:rsidRDefault="00E20C40" w:rsidP="00E20C40">
      <w:pPr>
        <w:spacing w:line="360" w:lineRule="auto"/>
        <w:rPr>
          <w:b/>
          <w:color w:val="000000" w:themeColor="text1"/>
          <w:sz w:val="20"/>
          <w:szCs w:val="22"/>
        </w:rPr>
      </w:pPr>
      <w:r w:rsidRPr="00DA1123">
        <w:rPr>
          <w:b/>
          <w:color w:val="000000" w:themeColor="text1"/>
          <w:sz w:val="20"/>
          <w:szCs w:val="22"/>
        </w:rPr>
        <w:t xml:space="preserve">Table </w:t>
      </w:r>
      <w:r>
        <w:rPr>
          <w:b/>
          <w:color w:val="000000" w:themeColor="text1"/>
          <w:sz w:val="20"/>
          <w:szCs w:val="22"/>
        </w:rPr>
        <w:t>S</w:t>
      </w:r>
      <w:r w:rsidRPr="00DA1123">
        <w:rPr>
          <w:b/>
          <w:color w:val="000000" w:themeColor="text1"/>
          <w:sz w:val="20"/>
          <w:szCs w:val="22"/>
        </w:rPr>
        <w:t xml:space="preserve">4: </w:t>
      </w:r>
      <w:r w:rsidRPr="00DA1123">
        <w:rPr>
          <w:color w:val="000000" w:themeColor="text1"/>
          <w:sz w:val="20"/>
          <w:szCs w:val="22"/>
        </w:rPr>
        <w:t>ATAC-seq experiments used as prior chromatin data in mouse NIH3T3 fibroblasts</w:t>
      </w:r>
      <w:r w:rsidRPr="00DA1123">
        <w:rPr>
          <w:color w:val="000000" w:themeColor="text1"/>
          <w:sz w:val="20"/>
          <w:szCs w:val="22"/>
        </w:rPr>
        <w:fldChar w:fldCharType="begin" w:fldLock="1"/>
      </w:r>
      <w:r w:rsidR="007B64EE">
        <w:rPr>
          <w:color w:val="000000" w:themeColor="text1"/>
          <w:sz w:val="20"/>
          <w:szCs w:val="22"/>
        </w:rPr>
        <w:instrText>ADDIN CSL_CITATION {"citationItems":[{"id":"ITEM-1","itemData":{"DOI":"10.1038/s41467-019-08417-5","ISSN":"2041-1723","PMID":"30700703","abstract":"Mammalian transcription factors (TFs) differ broadly in their nuclear mobility and sequence-specific/non-specific DNA binding. How these properties affect their ability to occupy specific genomic sites and modify the epigenetic landscape is unclear. The association of TFs with mitotic chromosomes observed by fluorescence microscopy is largely mediated by non-specific DNA interactions and differs broadly between TFs. Here we combine quantitative measurements of mitotic chromosome binding (MCB) of 501 TFs, TF mobility measurements by fluorescence recovery after photobleaching, single molecule imaging of DNA binding, and mapping of TF binding and chromatin accessibility. TFs associating to mitotic chromosomes are enriched in DNA-rich compartments in interphase and display slower mobility in interphase and mitosis. Remarkably, MCB correlates with relative TF on-rates and genome-wide specific site occupancy, but not with TF residence times. This suggests that non-specific DNA binding properties of TFs regulate their search efficiency and occupancy of specific genomic sites.","author":[{"dropping-particle":"","family":"Raccaud","given":"Mahé","non-dropping-particle":"","parse-names":false,"suffix":""},{"dropping-particle":"","family":"Friman","given":"Elias T","non-dropping-particle":"","parse-names":false,"suffix":""},{"dropping-particle":"","family":"Alber","given":"Andrea B","non-dropping-particle":"","parse-names":false,"suffix":""},{"dropping-particle":"","family":"Agarwal","given":"Harsha","non-dropping-particle":"","parse-names":false,"suffix":""},{"dropping-particle":"","family":"Deluz","given":"Cédric","non-dropping-particle":"","parse-names":false,"suffix":""},{"dropping-particle":"","family":"Kuhn","given":"Timo","non-dropping-particle":"","parse-names":false,"suffix":""},{"dropping-particle":"","family":"Gebhardt","given":"J Christof M","non-dropping-particle":"","parse-names":false,"suffix":""},{"dropping-particle":"","family":"Suter","given":"David M","non-dropping-particle":"","parse-names":false,"suffix":""}],"container-title":"Nature communications","id":"ITEM-1","issue":"1","issued":{"date-parts":[["2019","12","30"]]},"page":"487","title":"Mitotic chromosome binding predicts transcription factor properties in interphase.","type":"article-journal","volume":"10"},"uris":["http://www.mendeley.com/documents/?uuid=c5e72a1d-eab0-3001-b697-61bd50a6e1a5"]}],"mendeley":{"formattedCitation":"&lt;sup&gt;5&lt;/sup&gt;","plainTextFormattedCitation":"5","previouslyFormattedCitation":"&lt;sup&gt;5&lt;/sup&gt;"},"properties":{"noteIndex":0},"schema":"https://github.com/citation-style-language/schema/raw/master/csl-citation.json"}</w:instrText>
      </w:r>
      <w:r w:rsidRPr="00DA1123">
        <w:rPr>
          <w:color w:val="000000" w:themeColor="text1"/>
          <w:sz w:val="20"/>
          <w:szCs w:val="22"/>
        </w:rPr>
        <w:fldChar w:fldCharType="separate"/>
      </w:r>
      <w:r w:rsidR="007B64EE" w:rsidRPr="007B64EE">
        <w:rPr>
          <w:noProof/>
          <w:color w:val="000000" w:themeColor="text1"/>
          <w:sz w:val="20"/>
          <w:szCs w:val="22"/>
          <w:vertAlign w:val="superscript"/>
        </w:rPr>
        <w:t>5</w:t>
      </w:r>
      <w:r w:rsidRPr="00DA1123">
        <w:rPr>
          <w:color w:val="000000" w:themeColor="text1"/>
          <w:sz w:val="20"/>
          <w:szCs w:val="22"/>
        </w:rPr>
        <w:fldChar w:fldCharType="end"/>
      </w:r>
      <w:r w:rsidRPr="00DA1123">
        <w:rPr>
          <w:color w:val="000000" w:themeColor="text1"/>
          <w:sz w:val="20"/>
          <w:szCs w:val="22"/>
        </w:rPr>
        <w:t xml:space="preserve">. </w:t>
      </w:r>
    </w:p>
    <w:tbl>
      <w:tblPr>
        <w:tblStyle w:val="TableGrid"/>
        <w:tblpPr w:leftFromText="180" w:rightFromText="180" w:vertAnchor="text" w:tblpX="72" w:tblpY="1"/>
        <w:tblOverlap w:val="never"/>
        <w:tblW w:w="9108" w:type="dxa"/>
        <w:tblLook w:val="04A0" w:firstRow="1" w:lastRow="0" w:firstColumn="1" w:lastColumn="0" w:noHBand="0" w:noVBand="1"/>
      </w:tblPr>
      <w:tblGrid>
        <w:gridCol w:w="1606"/>
        <w:gridCol w:w="2935"/>
        <w:gridCol w:w="2952"/>
        <w:gridCol w:w="1615"/>
      </w:tblGrid>
      <w:tr w:rsidR="00E20C40" w:rsidRPr="00DA1123" w14:paraId="67182382" w14:textId="77777777" w:rsidTr="00FB7C49">
        <w:tc>
          <w:tcPr>
            <w:tcW w:w="1606" w:type="dxa"/>
          </w:tcPr>
          <w:p w14:paraId="5D4982BA"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Data</w:t>
            </w:r>
          </w:p>
        </w:tc>
        <w:tc>
          <w:tcPr>
            <w:tcW w:w="2935" w:type="dxa"/>
          </w:tcPr>
          <w:p w14:paraId="68290AA3"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Replicates</w:t>
            </w:r>
          </w:p>
        </w:tc>
        <w:tc>
          <w:tcPr>
            <w:tcW w:w="2952" w:type="dxa"/>
          </w:tcPr>
          <w:p w14:paraId="0989ECBB"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Cell Type</w:t>
            </w:r>
          </w:p>
        </w:tc>
        <w:tc>
          <w:tcPr>
            <w:tcW w:w="1615" w:type="dxa"/>
          </w:tcPr>
          <w:p w14:paraId="0B4B696D"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Cell Line</w:t>
            </w:r>
          </w:p>
        </w:tc>
      </w:tr>
      <w:tr w:rsidR="00E20C40" w:rsidRPr="00DA1123" w14:paraId="542BB6C9" w14:textId="77777777" w:rsidTr="00FB7C49">
        <w:tc>
          <w:tcPr>
            <w:tcW w:w="1606" w:type="dxa"/>
          </w:tcPr>
          <w:p w14:paraId="241712D0"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ATAC-seq</w:t>
            </w:r>
          </w:p>
        </w:tc>
        <w:tc>
          <w:tcPr>
            <w:tcW w:w="2935" w:type="dxa"/>
          </w:tcPr>
          <w:p w14:paraId="24396E36"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2</w:t>
            </w:r>
          </w:p>
        </w:tc>
        <w:tc>
          <w:tcPr>
            <w:tcW w:w="2952" w:type="dxa"/>
          </w:tcPr>
          <w:p w14:paraId="4A45CD62"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Mouse Fibroblasts</w:t>
            </w:r>
          </w:p>
        </w:tc>
        <w:tc>
          <w:tcPr>
            <w:tcW w:w="1615" w:type="dxa"/>
          </w:tcPr>
          <w:p w14:paraId="72E4F22E" w14:textId="77777777" w:rsidR="00E20C40" w:rsidRPr="00DA1123" w:rsidRDefault="00E20C40" w:rsidP="00FB7C49">
            <w:pPr>
              <w:spacing w:line="360" w:lineRule="auto"/>
              <w:ind w:left="90"/>
              <w:rPr>
                <w:bCs/>
                <w:color w:val="000000" w:themeColor="text1"/>
                <w:sz w:val="22"/>
                <w:szCs w:val="22"/>
                <w:lang w:val="fi-FI"/>
              </w:rPr>
            </w:pPr>
            <w:r w:rsidRPr="00DA1123">
              <w:rPr>
                <w:bCs/>
                <w:color w:val="000000" w:themeColor="text1"/>
                <w:sz w:val="22"/>
                <w:szCs w:val="22"/>
              </w:rPr>
              <w:t>NIH3T3</w:t>
            </w:r>
          </w:p>
        </w:tc>
      </w:tr>
    </w:tbl>
    <w:p w14:paraId="2C102266" w14:textId="77777777" w:rsidR="00E20C40" w:rsidRPr="00DA1123" w:rsidRDefault="00E20C40" w:rsidP="00E20C40">
      <w:pPr>
        <w:spacing w:line="360" w:lineRule="auto"/>
        <w:rPr>
          <w:color w:val="000000" w:themeColor="text1"/>
          <w:sz w:val="22"/>
          <w:szCs w:val="22"/>
        </w:rPr>
      </w:pPr>
      <w:r w:rsidRPr="00DA1123">
        <w:rPr>
          <w:color w:val="000000" w:themeColor="text1"/>
          <w:sz w:val="22"/>
          <w:szCs w:val="22"/>
        </w:rPr>
        <w:br/>
      </w:r>
      <w:r w:rsidRPr="00DA1123">
        <w:rPr>
          <w:color w:val="000000" w:themeColor="text1"/>
          <w:sz w:val="22"/>
          <w:szCs w:val="22"/>
        </w:rPr>
        <w:br/>
      </w:r>
    </w:p>
    <w:p w14:paraId="020473AE" w14:textId="77777777" w:rsidR="00E20C40" w:rsidRPr="00DA1123" w:rsidRDefault="00E20C40" w:rsidP="00E20C40">
      <w:pPr>
        <w:rPr>
          <w:b/>
          <w:color w:val="000000" w:themeColor="text1"/>
          <w:sz w:val="20"/>
          <w:szCs w:val="22"/>
        </w:rPr>
      </w:pPr>
      <w:r w:rsidRPr="00DA1123">
        <w:rPr>
          <w:b/>
          <w:color w:val="000000" w:themeColor="text1"/>
          <w:sz w:val="20"/>
          <w:szCs w:val="22"/>
        </w:rPr>
        <w:br w:type="page"/>
      </w:r>
    </w:p>
    <w:p w14:paraId="7FD69EC4" w14:textId="77777777" w:rsidR="00E20C40" w:rsidRPr="00DA1123" w:rsidRDefault="00E20C40" w:rsidP="00E20C40">
      <w:pPr>
        <w:spacing w:line="360" w:lineRule="auto"/>
        <w:rPr>
          <w:color w:val="000000" w:themeColor="text1"/>
          <w:sz w:val="20"/>
          <w:szCs w:val="22"/>
        </w:rPr>
      </w:pPr>
      <w:r w:rsidRPr="00DA1123">
        <w:rPr>
          <w:b/>
          <w:color w:val="000000" w:themeColor="text1"/>
          <w:sz w:val="20"/>
          <w:szCs w:val="22"/>
        </w:rPr>
        <w:lastRenderedPageBreak/>
        <w:t xml:space="preserve">Table </w:t>
      </w:r>
      <w:r>
        <w:rPr>
          <w:b/>
          <w:color w:val="000000" w:themeColor="text1"/>
          <w:sz w:val="20"/>
          <w:szCs w:val="22"/>
        </w:rPr>
        <w:t>S</w:t>
      </w:r>
      <w:r w:rsidRPr="00DA1123">
        <w:rPr>
          <w:b/>
          <w:color w:val="000000" w:themeColor="text1"/>
          <w:sz w:val="20"/>
          <w:szCs w:val="22"/>
        </w:rPr>
        <w:t>5</w:t>
      </w:r>
      <w:r w:rsidRPr="00DA1123">
        <w:rPr>
          <w:color w:val="000000" w:themeColor="text1"/>
          <w:sz w:val="20"/>
          <w:szCs w:val="22"/>
        </w:rPr>
        <w:t>: Experiments used as prior chromatin data in human BJ fibroblasts</w:t>
      </w:r>
      <w:r w:rsidRPr="00DA1123">
        <w:rPr>
          <w:color w:val="000000" w:themeColor="text1"/>
          <w:sz w:val="20"/>
          <w:szCs w:val="22"/>
        </w:rPr>
        <w:fldChar w:fldCharType="begin" w:fldLock="1"/>
      </w:r>
      <w:r w:rsidR="007B64EE">
        <w:rPr>
          <w:color w:val="000000" w:themeColor="text1"/>
          <w:sz w:val="20"/>
          <w:szCs w:val="22"/>
        </w:rPr>
        <w:instrText>ADDIN CSL_CITATION {"citationItems":[{"id":"ITEM-1","itemData":{"DOI":"10.1038/s41588-017-0034-3","ISSN":"1546-1718","abstract":"Transcription factors (TFs) direct developmental transitions by binding to target DNA sequences, influencing gene expression and establishing complex gene-regultory networks. To systematically determine the molecular components that enable or constrain TF activity, we investigated the genomic occupancy of FOXA2, GATA4 and OCT4 in several cell types. Despite their classification as pioneer factors, all three TFs exhibit cell-type-specific binding, even when supraphysiologically and ectopically expressed. However, FOXA2 and GATA4 can be distinguished by low enrichment at loci that are highly occupied by these factors in alternative cell types. We find that expression of additional cofactors increases enrichment at a subset of these sites. Finally, FOXA2 occupancy and changes to DNA accessibility can occur in G1-arrested cells, but subsequent loss of DNA methylation requires DNA replication.","author":[{"dropping-particle":"","family":"Donaghey","given":"Julie","non-dropping-particle":"","parse-names":false,"suffix":""},{"dropping-particle":"","family":"Thakurela","given":"Sudhir","non-dropping-particle":"","parse-names":false,"suffix":""},{"dropping-particle":"","family":"Charlton","given":"Jocelyn","non-dropping-particle":"","parse-names":false,"suffix":""},{"dropping-particle":"","family":"Chen","given":"Jennifer S","non-dropping-particle":"","parse-names":false,"suffix":""},{"dropping-particle":"","family":"Smith","given":"Zachary D","non-dropping-particle":"","parse-names":false,"suffix":""},{"dropping-particle":"","family":"Gu","given":"Hongcang","non-dropping-particle":"","parse-names":false,"suffix":""},{"dropping-particle":"","family":"Pop","given":"Ramona","non-dropping-particle":"","parse-names":false,"suffix":""},{"dropping-particle":"","family":"Clement","given":"Kendell","non-dropping-particle":"","parse-names":false,"suffix":""},{"dropping-particle":"","family":"Stamenova","given":"Elena K","non-dropping-particle":"","parse-names":false,"suffix":""},{"dropping-particle":"","family":"Karnik","given":"Rahul","non-dropping-particle":"","parse-names":false,"suffix":""},{"dropping-particle":"","family":"Kelley","given":"David R","non-dropping-particle":"","parse-names":false,"suffix":""},{"dropping-particle":"","family":"Gifford","given":"Casey A","non-dropping-particle":"","parse-names":false,"suffix":""},{"dropping-particle":"","family":"Cacchiarelli","given":"Davide","non-dropping-particle":"","parse-names":false,"suffix":""},{"dropping-particle":"","family":"Rinn","given":"John L","non-dropping-particle":"","parse-names":false,"suffix":""},{"dropping-particle":"","family":"Gnirke","given":"Andreas","non-dropping-particle":"","parse-names":false,"suffix":""},{"dropping-particle":"","family":"Ziller","given":"Michael J","non-dropping-particle":"","parse-names":false,"suffix":""},{"dropping-particle":"","family":"Meissner","given":"Alexander","non-dropping-particle":"","parse-names":false,"suffix":""}],"container-title":"Nature Genetics","id":"ITEM-1","issue":"2","issued":{"date-parts":[["2018"]]},"page":"250-258","title":"Genetic determinants and epigenetic effects of pioneer-factor occupancy","type":"article-journal","volume":"50"},"uris":["http://www.mendeley.com/documents/?uuid=af209738-3610-4541-baaa-59bf7985d543"]}],"mendeley":{"formattedCitation":"&lt;sup&gt;7&lt;/sup&gt;","plainTextFormattedCitation":"7","previouslyFormattedCitation":"&lt;sup&gt;7&lt;/sup&gt;"},"properties":{"noteIndex":0},"schema":"https://github.com/citation-style-language/schema/raw/master/csl-citation.json"}</w:instrText>
      </w:r>
      <w:r w:rsidRPr="00DA1123">
        <w:rPr>
          <w:color w:val="000000" w:themeColor="text1"/>
          <w:sz w:val="20"/>
          <w:szCs w:val="22"/>
        </w:rPr>
        <w:fldChar w:fldCharType="separate"/>
      </w:r>
      <w:r w:rsidR="007B64EE" w:rsidRPr="007B64EE">
        <w:rPr>
          <w:noProof/>
          <w:color w:val="000000" w:themeColor="text1"/>
          <w:sz w:val="20"/>
          <w:szCs w:val="22"/>
          <w:vertAlign w:val="superscript"/>
        </w:rPr>
        <w:t>7</w:t>
      </w:r>
      <w:r w:rsidRPr="00DA1123">
        <w:rPr>
          <w:color w:val="000000" w:themeColor="text1"/>
          <w:sz w:val="20"/>
          <w:szCs w:val="22"/>
        </w:rPr>
        <w:fldChar w:fldCharType="end"/>
      </w:r>
      <w:r w:rsidRPr="00DA1123">
        <w:rPr>
          <w:color w:val="000000" w:themeColor="text1"/>
          <w:sz w:val="20"/>
          <w:szCs w:val="22"/>
        </w:rPr>
        <w:t xml:space="preserve">. </w:t>
      </w:r>
    </w:p>
    <w:tbl>
      <w:tblPr>
        <w:tblStyle w:val="TableGrid"/>
        <w:tblpPr w:leftFromText="180" w:rightFromText="180" w:vertAnchor="text" w:tblpX="72" w:tblpY="1"/>
        <w:tblOverlap w:val="never"/>
        <w:tblW w:w="9108" w:type="dxa"/>
        <w:tblLook w:val="04A0" w:firstRow="1" w:lastRow="0" w:firstColumn="1" w:lastColumn="0" w:noHBand="0" w:noVBand="1"/>
      </w:tblPr>
      <w:tblGrid>
        <w:gridCol w:w="1613"/>
        <w:gridCol w:w="2932"/>
        <w:gridCol w:w="2950"/>
        <w:gridCol w:w="1613"/>
      </w:tblGrid>
      <w:tr w:rsidR="00E20C40" w:rsidRPr="00DA1123" w14:paraId="378E7623" w14:textId="77777777" w:rsidTr="00FB7C49">
        <w:tc>
          <w:tcPr>
            <w:tcW w:w="1613" w:type="dxa"/>
          </w:tcPr>
          <w:p w14:paraId="6795CD20"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Data</w:t>
            </w:r>
          </w:p>
        </w:tc>
        <w:tc>
          <w:tcPr>
            <w:tcW w:w="2932" w:type="dxa"/>
          </w:tcPr>
          <w:p w14:paraId="78EB2235"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Replicates</w:t>
            </w:r>
          </w:p>
        </w:tc>
        <w:tc>
          <w:tcPr>
            <w:tcW w:w="2950" w:type="dxa"/>
          </w:tcPr>
          <w:p w14:paraId="6F8C466F"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Cell Type</w:t>
            </w:r>
          </w:p>
        </w:tc>
        <w:tc>
          <w:tcPr>
            <w:tcW w:w="1613" w:type="dxa"/>
          </w:tcPr>
          <w:p w14:paraId="737701D6" w14:textId="77777777" w:rsidR="00E20C40" w:rsidRPr="00DA1123" w:rsidRDefault="00E20C40" w:rsidP="00FB7C49">
            <w:pPr>
              <w:spacing w:line="360" w:lineRule="auto"/>
              <w:ind w:left="90"/>
              <w:rPr>
                <w:b/>
                <w:color w:val="000000" w:themeColor="text1"/>
                <w:sz w:val="22"/>
                <w:szCs w:val="22"/>
              </w:rPr>
            </w:pPr>
            <w:r w:rsidRPr="00DA1123">
              <w:rPr>
                <w:b/>
                <w:color w:val="000000" w:themeColor="text1"/>
                <w:sz w:val="22"/>
                <w:szCs w:val="22"/>
              </w:rPr>
              <w:t>Cell Line</w:t>
            </w:r>
          </w:p>
        </w:tc>
      </w:tr>
      <w:tr w:rsidR="00E20C40" w:rsidRPr="00DA1123" w14:paraId="49B80515" w14:textId="77777777" w:rsidTr="00FB7C49">
        <w:tc>
          <w:tcPr>
            <w:tcW w:w="1613" w:type="dxa"/>
          </w:tcPr>
          <w:p w14:paraId="6F56FF3E"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ATAC-seq</w:t>
            </w:r>
          </w:p>
        </w:tc>
        <w:tc>
          <w:tcPr>
            <w:tcW w:w="2932" w:type="dxa"/>
          </w:tcPr>
          <w:p w14:paraId="778AE841"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2</w:t>
            </w:r>
          </w:p>
        </w:tc>
        <w:tc>
          <w:tcPr>
            <w:tcW w:w="2950" w:type="dxa"/>
          </w:tcPr>
          <w:p w14:paraId="26FCF3D6"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Human Fibroblasts</w:t>
            </w:r>
          </w:p>
        </w:tc>
        <w:tc>
          <w:tcPr>
            <w:tcW w:w="1613" w:type="dxa"/>
          </w:tcPr>
          <w:p w14:paraId="512313B6"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BJ</w:t>
            </w:r>
          </w:p>
        </w:tc>
      </w:tr>
      <w:tr w:rsidR="00E20C40" w:rsidRPr="00DA1123" w14:paraId="1F5FC950" w14:textId="77777777" w:rsidTr="00FB7C49">
        <w:tc>
          <w:tcPr>
            <w:tcW w:w="1613" w:type="dxa"/>
          </w:tcPr>
          <w:p w14:paraId="33A7D9E9"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H2K27ac</w:t>
            </w:r>
          </w:p>
        </w:tc>
        <w:tc>
          <w:tcPr>
            <w:tcW w:w="2932" w:type="dxa"/>
          </w:tcPr>
          <w:p w14:paraId="495F8CF8"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2</w:t>
            </w:r>
          </w:p>
        </w:tc>
        <w:tc>
          <w:tcPr>
            <w:tcW w:w="2950" w:type="dxa"/>
          </w:tcPr>
          <w:p w14:paraId="71AFF150"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Human Fibroblasts</w:t>
            </w:r>
          </w:p>
        </w:tc>
        <w:tc>
          <w:tcPr>
            <w:tcW w:w="1613" w:type="dxa"/>
          </w:tcPr>
          <w:p w14:paraId="05C9877F"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BJ</w:t>
            </w:r>
          </w:p>
        </w:tc>
      </w:tr>
      <w:tr w:rsidR="00E20C40" w:rsidRPr="00DA1123" w14:paraId="48F988FC" w14:textId="77777777" w:rsidTr="00FB7C49">
        <w:tc>
          <w:tcPr>
            <w:tcW w:w="1613" w:type="dxa"/>
          </w:tcPr>
          <w:p w14:paraId="38BAC20D"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H3K4me2</w:t>
            </w:r>
          </w:p>
        </w:tc>
        <w:tc>
          <w:tcPr>
            <w:tcW w:w="2932" w:type="dxa"/>
          </w:tcPr>
          <w:p w14:paraId="6FB34B34"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2</w:t>
            </w:r>
          </w:p>
        </w:tc>
        <w:tc>
          <w:tcPr>
            <w:tcW w:w="2950" w:type="dxa"/>
          </w:tcPr>
          <w:p w14:paraId="4C590BF7"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Human Fibroblasts</w:t>
            </w:r>
          </w:p>
        </w:tc>
        <w:tc>
          <w:tcPr>
            <w:tcW w:w="1613" w:type="dxa"/>
          </w:tcPr>
          <w:p w14:paraId="0F2CE929"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BJ</w:t>
            </w:r>
          </w:p>
        </w:tc>
      </w:tr>
      <w:tr w:rsidR="00E20C40" w:rsidRPr="00DA1123" w14:paraId="4FE62C66" w14:textId="77777777" w:rsidTr="00FB7C49">
        <w:tc>
          <w:tcPr>
            <w:tcW w:w="1613" w:type="dxa"/>
          </w:tcPr>
          <w:p w14:paraId="28090324"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H3K27me3</w:t>
            </w:r>
          </w:p>
        </w:tc>
        <w:tc>
          <w:tcPr>
            <w:tcW w:w="2932" w:type="dxa"/>
          </w:tcPr>
          <w:p w14:paraId="7CCA3C83"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2</w:t>
            </w:r>
          </w:p>
        </w:tc>
        <w:tc>
          <w:tcPr>
            <w:tcW w:w="2950" w:type="dxa"/>
          </w:tcPr>
          <w:p w14:paraId="758075E2"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Human Fibroblasts</w:t>
            </w:r>
          </w:p>
        </w:tc>
        <w:tc>
          <w:tcPr>
            <w:tcW w:w="1613" w:type="dxa"/>
          </w:tcPr>
          <w:p w14:paraId="5C374886" w14:textId="77777777" w:rsidR="00E20C40" w:rsidRPr="00DA1123" w:rsidRDefault="00E20C40" w:rsidP="00FB7C49">
            <w:pPr>
              <w:spacing w:line="360" w:lineRule="auto"/>
              <w:ind w:left="90"/>
              <w:rPr>
                <w:bCs/>
                <w:color w:val="000000" w:themeColor="text1"/>
                <w:sz w:val="22"/>
                <w:szCs w:val="22"/>
              </w:rPr>
            </w:pPr>
            <w:r w:rsidRPr="00DA1123">
              <w:rPr>
                <w:bCs/>
                <w:color w:val="000000" w:themeColor="text1"/>
                <w:sz w:val="22"/>
                <w:szCs w:val="22"/>
              </w:rPr>
              <w:t>BJ</w:t>
            </w:r>
          </w:p>
        </w:tc>
      </w:tr>
    </w:tbl>
    <w:p w14:paraId="4C42183A" w14:textId="77777777" w:rsidR="00E20C40" w:rsidRPr="00DA1123" w:rsidRDefault="00E20C40" w:rsidP="00E20C40">
      <w:pPr>
        <w:spacing w:line="360" w:lineRule="auto"/>
        <w:rPr>
          <w:color w:val="000000" w:themeColor="text1"/>
          <w:sz w:val="22"/>
          <w:szCs w:val="22"/>
        </w:rPr>
      </w:pPr>
      <w:r w:rsidRPr="00DA1123">
        <w:rPr>
          <w:color w:val="000000" w:themeColor="text1"/>
          <w:sz w:val="22"/>
          <w:szCs w:val="22"/>
        </w:rPr>
        <w:br w:type="textWrapping" w:clear="all"/>
      </w:r>
    </w:p>
    <w:p w14:paraId="1EA83460" w14:textId="77777777" w:rsidR="00E20C40" w:rsidRPr="00DA1123" w:rsidRDefault="00E20C40" w:rsidP="00E20C40">
      <w:pPr>
        <w:rPr>
          <w:b/>
          <w:color w:val="000000" w:themeColor="text1"/>
          <w:sz w:val="22"/>
          <w:szCs w:val="22"/>
        </w:rPr>
      </w:pPr>
      <w:r w:rsidRPr="00DA1123">
        <w:rPr>
          <w:b/>
          <w:color w:val="000000" w:themeColor="text1"/>
          <w:sz w:val="20"/>
          <w:szCs w:val="22"/>
        </w:rPr>
        <w:t xml:space="preserve">Table </w:t>
      </w:r>
      <w:r>
        <w:rPr>
          <w:b/>
          <w:color w:val="000000" w:themeColor="text1"/>
          <w:sz w:val="20"/>
          <w:szCs w:val="22"/>
        </w:rPr>
        <w:t>S</w:t>
      </w:r>
      <w:r w:rsidRPr="00DA1123">
        <w:rPr>
          <w:b/>
          <w:color w:val="000000" w:themeColor="text1"/>
          <w:sz w:val="20"/>
          <w:szCs w:val="22"/>
        </w:rPr>
        <w:t xml:space="preserve">6: </w:t>
      </w:r>
      <w:r w:rsidRPr="00DA1123">
        <w:rPr>
          <w:color w:val="000000" w:themeColor="text1"/>
          <w:sz w:val="20"/>
          <w:szCs w:val="22"/>
        </w:rPr>
        <w:t xml:space="preserve">Bichrom network parameters tested within the hyper-parameter random grid search. </w:t>
      </w:r>
    </w:p>
    <w:tbl>
      <w:tblPr>
        <w:tblStyle w:val="TableGrid"/>
        <w:tblW w:w="0" w:type="auto"/>
        <w:tblInd w:w="108" w:type="dxa"/>
        <w:tblLook w:val="04A0" w:firstRow="1" w:lastRow="0" w:firstColumn="1" w:lastColumn="0" w:noHBand="0" w:noVBand="1"/>
      </w:tblPr>
      <w:tblGrid>
        <w:gridCol w:w="3780"/>
        <w:gridCol w:w="2790"/>
      </w:tblGrid>
      <w:tr w:rsidR="00E20C40" w:rsidRPr="00DA1123" w14:paraId="75F2CAD0" w14:textId="77777777" w:rsidTr="00FB7C49">
        <w:tc>
          <w:tcPr>
            <w:tcW w:w="3780" w:type="dxa"/>
          </w:tcPr>
          <w:p w14:paraId="35EE0F68"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Parameter</w:t>
            </w:r>
          </w:p>
        </w:tc>
        <w:tc>
          <w:tcPr>
            <w:tcW w:w="2790" w:type="dxa"/>
          </w:tcPr>
          <w:p w14:paraId="08D1DC08"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Options</w:t>
            </w:r>
          </w:p>
        </w:tc>
      </w:tr>
      <w:tr w:rsidR="00E20C40" w:rsidRPr="00DA1123" w14:paraId="09F522FC" w14:textId="77777777" w:rsidTr="00FB7C49">
        <w:tc>
          <w:tcPr>
            <w:tcW w:w="3780" w:type="dxa"/>
          </w:tcPr>
          <w:p w14:paraId="7E5B7855"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Number of convolutional filters </w:t>
            </w:r>
          </w:p>
        </w:tc>
        <w:tc>
          <w:tcPr>
            <w:tcW w:w="2790" w:type="dxa"/>
          </w:tcPr>
          <w:p w14:paraId="16244EF1"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16, 32, 64, 128, 256</w:t>
            </w:r>
          </w:p>
        </w:tc>
      </w:tr>
      <w:tr w:rsidR="00E20C40" w:rsidRPr="00DA1123" w14:paraId="5B208BC9" w14:textId="77777777" w:rsidTr="00FB7C49">
        <w:tc>
          <w:tcPr>
            <w:tcW w:w="3780" w:type="dxa"/>
          </w:tcPr>
          <w:p w14:paraId="1C4BD03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Number of dense layers</w:t>
            </w:r>
          </w:p>
        </w:tc>
        <w:tc>
          <w:tcPr>
            <w:tcW w:w="2790" w:type="dxa"/>
          </w:tcPr>
          <w:p w14:paraId="237F0647"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2-5</w:t>
            </w:r>
          </w:p>
        </w:tc>
      </w:tr>
      <w:tr w:rsidR="00E20C40" w:rsidRPr="00DA1123" w14:paraId="38BBFF97" w14:textId="77777777" w:rsidTr="00FB7C49">
        <w:tc>
          <w:tcPr>
            <w:tcW w:w="3780" w:type="dxa"/>
          </w:tcPr>
          <w:p w14:paraId="0A9F8E7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Size of dense layers</w:t>
            </w:r>
          </w:p>
        </w:tc>
        <w:tc>
          <w:tcPr>
            <w:tcW w:w="2790" w:type="dxa"/>
          </w:tcPr>
          <w:p w14:paraId="262A1D8A"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128, 512, 1024, 2048</w:t>
            </w:r>
          </w:p>
        </w:tc>
      </w:tr>
      <w:tr w:rsidR="00E20C40" w:rsidRPr="00DA1123" w14:paraId="0B2E696D" w14:textId="77777777" w:rsidTr="00FB7C49">
        <w:tc>
          <w:tcPr>
            <w:tcW w:w="3780" w:type="dxa"/>
          </w:tcPr>
          <w:p w14:paraId="1F49102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Activation functions</w:t>
            </w:r>
          </w:p>
        </w:tc>
        <w:tc>
          <w:tcPr>
            <w:tcW w:w="2790" w:type="dxa"/>
          </w:tcPr>
          <w:p w14:paraId="50FCBEB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tanh, </w:t>
            </w:r>
            <w:proofErr w:type="spellStart"/>
            <w:r w:rsidRPr="00DA1123">
              <w:rPr>
                <w:color w:val="000000" w:themeColor="text1"/>
                <w:sz w:val="22"/>
                <w:szCs w:val="22"/>
              </w:rPr>
              <w:t>relu</w:t>
            </w:r>
            <w:proofErr w:type="spellEnd"/>
            <w:r w:rsidRPr="00DA1123">
              <w:rPr>
                <w:color w:val="000000" w:themeColor="text1"/>
                <w:sz w:val="22"/>
                <w:szCs w:val="22"/>
              </w:rPr>
              <w:t>, sigmoid</w:t>
            </w:r>
          </w:p>
        </w:tc>
      </w:tr>
      <w:tr w:rsidR="00E20C40" w:rsidRPr="00DA1123" w14:paraId="3689DCBB" w14:textId="77777777" w:rsidTr="00FB7C49">
        <w:tc>
          <w:tcPr>
            <w:tcW w:w="3780" w:type="dxa"/>
          </w:tcPr>
          <w:p w14:paraId="0E8F2B61"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Dropout Rate</w:t>
            </w:r>
          </w:p>
        </w:tc>
        <w:tc>
          <w:tcPr>
            <w:tcW w:w="2790" w:type="dxa"/>
          </w:tcPr>
          <w:p w14:paraId="257FE53B"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0.5, 0.25</w:t>
            </w:r>
            <w:r w:rsidRPr="00DA1123">
              <w:rPr>
                <w:color w:val="000000" w:themeColor="text1"/>
                <w:sz w:val="22"/>
                <w:szCs w:val="22"/>
              </w:rPr>
              <w:tab/>
            </w:r>
          </w:p>
        </w:tc>
      </w:tr>
    </w:tbl>
    <w:p w14:paraId="61E5B2AB" w14:textId="77777777" w:rsidR="00E20C40" w:rsidRPr="00DA1123" w:rsidRDefault="00E20C40" w:rsidP="00E20C40">
      <w:pPr>
        <w:spacing w:line="360" w:lineRule="auto"/>
        <w:rPr>
          <w:b/>
          <w:color w:val="000000" w:themeColor="text1"/>
          <w:sz w:val="22"/>
          <w:szCs w:val="22"/>
        </w:rPr>
      </w:pPr>
    </w:p>
    <w:p w14:paraId="440447ED" w14:textId="77777777" w:rsidR="00E20C40" w:rsidRPr="00DA1123" w:rsidRDefault="00E20C40" w:rsidP="00E20C40">
      <w:pPr>
        <w:spacing w:line="360" w:lineRule="auto"/>
        <w:rPr>
          <w:color w:val="000000" w:themeColor="text1"/>
          <w:sz w:val="20"/>
          <w:szCs w:val="22"/>
        </w:rPr>
      </w:pPr>
      <w:r w:rsidRPr="00DA1123">
        <w:rPr>
          <w:b/>
          <w:color w:val="000000" w:themeColor="text1"/>
          <w:sz w:val="20"/>
          <w:szCs w:val="22"/>
        </w:rPr>
        <w:t xml:space="preserve">Table </w:t>
      </w:r>
      <w:r>
        <w:rPr>
          <w:b/>
          <w:color w:val="000000" w:themeColor="text1"/>
          <w:sz w:val="20"/>
          <w:szCs w:val="22"/>
        </w:rPr>
        <w:t>S</w:t>
      </w:r>
      <w:r w:rsidRPr="00DA1123">
        <w:rPr>
          <w:b/>
          <w:color w:val="000000" w:themeColor="text1"/>
          <w:sz w:val="20"/>
          <w:szCs w:val="22"/>
        </w:rPr>
        <w:t xml:space="preserve">7: </w:t>
      </w:r>
      <w:r w:rsidRPr="00DA1123">
        <w:rPr>
          <w:color w:val="000000" w:themeColor="text1"/>
          <w:sz w:val="20"/>
          <w:szCs w:val="22"/>
        </w:rPr>
        <w:t xml:space="preserve">Network parameters used to construct alternative CNN-based networks (which are compared with the CNN-LSTM in </w:t>
      </w:r>
      <w:r>
        <w:rPr>
          <w:color w:val="000000" w:themeColor="text1"/>
          <w:sz w:val="20"/>
          <w:szCs w:val="22"/>
        </w:rPr>
        <w:t>Fig. S1</w:t>
      </w:r>
      <w:r w:rsidRPr="00DA1123">
        <w:rPr>
          <w:color w:val="000000" w:themeColor="text1"/>
          <w:sz w:val="20"/>
          <w:szCs w:val="22"/>
        </w:rPr>
        <w:t>)</w:t>
      </w:r>
    </w:p>
    <w:tbl>
      <w:tblPr>
        <w:tblStyle w:val="TableGrid"/>
        <w:tblW w:w="0" w:type="auto"/>
        <w:tblInd w:w="108" w:type="dxa"/>
        <w:tblLook w:val="04A0" w:firstRow="1" w:lastRow="0" w:firstColumn="1" w:lastColumn="0" w:noHBand="0" w:noVBand="1"/>
      </w:tblPr>
      <w:tblGrid>
        <w:gridCol w:w="3780"/>
        <w:gridCol w:w="2790"/>
      </w:tblGrid>
      <w:tr w:rsidR="00E20C40" w:rsidRPr="00DA1123" w14:paraId="413280CF" w14:textId="77777777" w:rsidTr="00FB7C49">
        <w:tc>
          <w:tcPr>
            <w:tcW w:w="3780" w:type="dxa"/>
          </w:tcPr>
          <w:p w14:paraId="734827F6"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Parameter</w:t>
            </w:r>
          </w:p>
        </w:tc>
        <w:tc>
          <w:tcPr>
            <w:tcW w:w="2790" w:type="dxa"/>
          </w:tcPr>
          <w:p w14:paraId="3231F28B" w14:textId="77777777" w:rsidR="00E20C40" w:rsidRPr="00DA1123" w:rsidRDefault="00E20C40" w:rsidP="00FB7C49">
            <w:pPr>
              <w:spacing w:line="360" w:lineRule="auto"/>
              <w:rPr>
                <w:b/>
                <w:color w:val="000000" w:themeColor="text1"/>
                <w:sz w:val="22"/>
                <w:szCs w:val="22"/>
              </w:rPr>
            </w:pPr>
            <w:r w:rsidRPr="00DA1123">
              <w:rPr>
                <w:b/>
                <w:color w:val="000000" w:themeColor="text1"/>
                <w:sz w:val="22"/>
                <w:szCs w:val="22"/>
              </w:rPr>
              <w:t>Options</w:t>
            </w:r>
          </w:p>
        </w:tc>
      </w:tr>
      <w:tr w:rsidR="00E20C40" w:rsidRPr="00DA1123" w14:paraId="2E75059D" w14:textId="77777777" w:rsidTr="00FB7C49">
        <w:tc>
          <w:tcPr>
            <w:tcW w:w="3780" w:type="dxa"/>
          </w:tcPr>
          <w:p w14:paraId="4984558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Number of convolutional filters </w:t>
            </w:r>
          </w:p>
        </w:tc>
        <w:tc>
          <w:tcPr>
            <w:tcW w:w="2790" w:type="dxa"/>
          </w:tcPr>
          <w:p w14:paraId="74D1C4BA"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16, 32, 64, 128, 256</w:t>
            </w:r>
          </w:p>
        </w:tc>
      </w:tr>
      <w:tr w:rsidR="00E20C40" w:rsidRPr="00DA1123" w14:paraId="3750EBED" w14:textId="77777777" w:rsidTr="00FB7C49">
        <w:tc>
          <w:tcPr>
            <w:tcW w:w="3780" w:type="dxa"/>
          </w:tcPr>
          <w:p w14:paraId="5A651D31"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Number of dense layers</w:t>
            </w:r>
          </w:p>
        </w:tc>
        <w:tc>
          <w:tcPr>
            <w:tcW w:w="2790" w:type="dxa"/>
          </w:tcPr>
          <w:p w14:paraId="741DD3B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1-10</w:t>
            </w:r>
          </w:p>
        </w:tc>
      </w:tr>
      <w:tr w:rsidR="00E20C40" w:rsidRPr="00DA1123" w14:paraId="03F1E919" w14:textId="77777777" w:rsidTr="00FB7C49">
        <w:tc>
          <w:tcPr>
            <w:tcW w:w="3780" w:type="dxa"/>
          </w:tcPr>
          <w:p w14:paraId="3677BD16"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Size of dense layers</w:t>
            </w:r>
          </w:p>
        </w:tc>
        <w:tc>
          <w:tcPr>
            <w:tcW w:w="2790" w:type="dxa"/>
          </w:tcPr>
          <w:p w14:paraId="2A9DD49A"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128, 512, 1024, 2048</w:t>
            </w:r>
          </w:p>
        </w:tc>
      </w:tr>
      <w:tr w:rsidR="00E20C40" w:rsidRPr="00DA1123" w14:paraId="24E2A515" w14:textId="77777777" w:rsidTr="00FB7C49">
        <w:tc>
          <w:tcPr>
            <w:tcW w:w="3780" w:type="dxa"/>
          </w:tcPr>
          <w:p w14:paraId="72880CB1"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Activation functions</w:t>
            </w:r>
          </w:p>
        </w:tc>
        <w:tc>
          <w:tcPr>
            <w:tcW w:w="2790" w:type="dxa"/>
          </w:tcPr>
          <w:p w14:paraId="685BCD5F"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tanh, </w:t>
            </w:r>
            <w:proofErr w:type="spellStart"/>
            <w:r w:rsidRPr="00DA1123">
              <w:rPr>
                <w:color w:val="000000" w:themeColor="text1"/>
                <w:sz w:val="22"/>
                <w:szCs w:val="22"/>
              </w:rPr>
              <w:t>relu</w:t>
            </w:r>
            <w:proofErr w:type="spellEnd"/>
            <w:r w:rsidRPr="00DA1123">
              <w:rPr>
                <w:color w:val="000000" w:themeColor="text1"/>
                <w:sz w:val="22"/>
                <w:szCs w:val="22"/>
              </w:rPr>
              <w:t>, sigmoid</w:t>
            </w:r>
          </w:p>
        </w:tc>
      </w:tr>
      <w:tr w:rsidR="00E20C40" w:rsidRPr="00DA1123" w14:paraId="2A393329" w14:textId="77777777" w:rsidTr="00FB7C49">
        <w:tc>
          <w:tcPr>
            <w:tcW w:w="3780" w:type="dxa"/>
          </w:tcPr>
          <w:p w14:paraId="25E3DBD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Dropout Rate</w:t>
            </w:r>
          </w:p>
        </w:tc>
        <w:tc>
          <w:tcPr>
            <w:tcW w:w="2790" w:type="dxa"/>
          </w:tcPr>
          <w:p w14:paraId="317680D5"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0.5, 0.25</w:t>
            </w:r>
            <w:r w:rsidRPr="00DA1123">
              <w:rPr>
                <w:color w:val="000000" w:themeColor="text1"/>
                <w:sz w:val="22"/>
                <w:szCs w:val="22"/>
              </w:rPr>
              <w:tab/>
            </w:r>
          </w:p>
        </w:tc>
      </w:tr>
      <w:tr w:rsidR="00E20C40" w:rsidRPr="00DA1123" w14:paraId="79AFD4D3" w14:textId="77777777" w:rsidTr="00FB7C49">
        <w:tc>
          <w:tcPr>
            <w:tcW w:w="3780" w:type="dxa"/>
          </w:tcPr>
          <w:p w14:paraId="6F6C862E"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Size of convolutional filters</w:t>
            </w:r>
          </w:p>
        </w:tc>
        <w:tc>
          <w:tcPr>
            <w:tcW w:w="2790" w:type="dxa"/>
          </w:tcPr>
          <w:p w14:paraId="31648E32"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6, 15, 24, 32</w:t>
            </w:r>
          </w:p>
        </w:tc>
      </w:tr>
      <w:tr w:rsidR="00E20C40" w:rsidRPr="00DA1123" w14:paraId="0B3D253C" w14:textId="77777777" w:rsidTr="00FB7C49">
        <w:tc>
          <w:tcPr>
            <w:tcW w:w="3780" w:type="dxa"/>
          </w:tcPr>
          <w:p w14:paraId="6984997D"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Max pooling size </w:t>
            </w:r>
          </w:p>
        </w:tc>
        <w:tc>
          <w:tcPr>
            <w:tcW w:w="2790" w:type="dxa"/>
          </w:tcPr>
          <w:p w14:paraId="1F012D8C"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 xml:space="preserve">2, 4, 6, 8, 10, 15 </w:t>
            </w:r>
          </w:p>
        </w:tc>
      </w:tr>
      <w:tr w:rsidR="00E20C40" w:rsidRPr="00DA1123" w14:paraId="73EC912E" w14:textId="77777777" w:rsidTr="00FB7C49">
        <w:tc>
          <w:tcPr>
            <w:tcW w:w="3780" w:type="dxa"/>
          </w:tcPr>
          <w:p w14:paraId="43CA2C50"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 xml:space="preserve">Max pooling stride </w:t>
            </w:r>
          </w:p>
        </w:tc>
        <w:tc>
          <w:tcPr>
            <w:tcW w:w="2790" w:type="dxa"/>
          </w:tcPr>
          <w:p w14:paraId="3E12D7C6"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 xml:space="preserve">2, 4, 6, 8, 10, 15 </w:t>
            </w:r>
          </w:p>
        </w:tc>
      </w:tr>
      <w:tr w:rsidR="00E20C40" w:rsidRPr="00DA1123" w14:paraId="07C9DD04" w14:textId="77777777" w:rsidTr="00FB7C49">
        <w:tc>
          <w:tcPr>
            <w:tcW w:w="3780" w:type="dxa"/>
          </w:tcPr>
          <w:p w14:paraId="558A9223" w14:textId="77777777" w:rsidR="00E20C40" w:rsidRPr="00DA1123" w:rsidRDefault="00E20C40" w:rsidP="00FB7C49">
            <w:pPr>
              <w:spacing w:line="360" w:lineRule="auto"/>
              <w:rPr>
                <w:color w:val="000000" w:themeColor="text1"/>
                <w:sz w:val="22"/>
                <w:szCs w:val="22"/>
              </w:rPr>
            </w:pPr>
            <w:r w:rsidRPr="00DA1123">
              <w:rPr>
                <w:color w:val="000000" w:themeColor="text1"/>
                <w:sz w:val="22"/>
                <w:szCs w:val="22"/>
              </w:rPr>
              <w:t>Number of convolutional layers</w:t>
            </w:r>
          </w:p>
        </w:tc>
        <w:tc>
          <w:tcPr>
            <w:tcW w:w="2790" w:type="dxa"/>
          </w:tcPr>
          <w:p w14:paraId="40152F71" w14:textId="77777777" w:rsidR="00E20C40" w:rsidRPr="00DA1123" w:rsidRDefault="00E20C40" w:rsidP="00FB7C49">
            <w:pPr>
              <w:tabs>
                <w:tab w:val="center" w:pos="1017"/>
              </w:tabs>
              <w:spacing w:line="360" w:lineRule="auto"/>
              <w:rPr>
                <w:color w:val="000000" w:themeColor="text1"/>
                <w:sz w:val="22"/>
                <w:szCs w:val="22"/>
              </w:rPr>
            </w:pPr>
            <w:r w:rsidRPr="00DA1123">
              <w:rPr>
                <w:color w:val="000000" w:themeColor="text1"/>
                <w:sz w:val="22"/>
                <w:szCs w:val="22"/>
              </w:rPr>
              <w:t>3-10</w:t>
            </w:r>
          </w:p>
        </w:tc>
      </w:tr>
    </w:tbl>
    <w:p w14:paraId="6630A98F" w14:textId="77777777" w:rsidR="00E20C40" w:rsidRPr="00DA1123" w:rsidRDefault="00E20C40" w:rsidP="00E20C40">
      <w:pPr>
        <w:spacing w:line="360" w:lineRule="auto"/>
        <w:rPr>
          <w:b/>
          <w:color w:val="000000" w:themeColor="text1"/>
          <w:sz w:val="22"/>
          <w:szCs w:val="22"/>
        </w:rPr>
      </w:pPr>
    </w:p>
    <w:p w14:paraId="73E5BB3F" w14:textId="77777777" w:rsidR="00E20C40" w:rsidRDefault="00E20C40" w:rsidP="00E20C40">
      <w:pPr>
        <w:spacing w:line="360" w:lineRule="auto"/>
        <w:rPr>
          <w:color w:val="000000" w:themeColor="text1"/>
          <w:sz w:val="22"/>
          <w:szCs w:val="22"/>
        </w:rPr>
      </w:pPr>
    </w:p>
    <w:p w14:paraId="4F4D5A18" w14:textId="77777777" w:rsidR="00E20C40" w:rsidRDefault="00E20C40" w:rsidP="00E20C40">
      <w:pPr>
        <w:spacing w:line="360" w:lineRule="auto"/>
        <w:rPr>
          <w:color w:val="000000" w:themeColor="text1"/>
          <w:sz w:val="22"/>
          <w:szCs w:val="22"/>
        </w:rPr>
      </w:pPr>
    </w:p>
    <w:p w14:paraId="65862E72" w14:textId="77777777" w:rsidR="00E20C40" w:rsidRDefault="00E20C40" w:rsidP="00E20C40">
      <w:pPr>
        <w:spacing w:line="360" w:lineRule="auto"/>
        <w:rPr>
          <w:color w:val="000000" w:themeColor="text1"/>
          <w:sz w:val="22"/>
          <w:szCs w:val="22"/>
        </w:rPr>
      </w:pPr>
    </w:p>
    <w:p w14:paraId="67B0C28C" w14:textId="77777777" w:rsidR="00E20C40" w:rsidRDefault="00E20C40" w:rsidP="00E20C40">
      <w:pPr>
        <w:spacing w:line="360" w:lineRule="auto"/>
        <w:rPr>
          <w:color w:val="000000" w:themeColor="text1"/>
          <w:sz w:val="22"/>
          <w:szCs w:val="22"/>
        </w:rPr>
      </w:pPr>
    </w:p>
    <w:p w14:paraId="03246DB9" w14:textId="77777777" w:rsidR="007B64EE" w:rsidRDefault="007B64EE" w:rsidP="00E20C40">
      <w:pPr>
        <w:spacing w:line="360" w:lineRule="auto"/>
        <w:rPr>
          <w:b/>
          <w:color w:val="000000" w:themeColor="text1"/>
          <w:sz w:val="22"/>
          <w:szCs w:val="22"/>
        </w:rPr>
      </w:pPr>
    </w:p>
    <w:p w14:paraId="531CBFFF" w14:textId="444CCF3F" w:rsidR="00FB7C49" w:rsidRPr="009422FD" w:rsidRDefault="00FB7C49" w:rsidP="009422FD">
      <w:pPr>
        <w:widowControl w:val="0"/>
        <w:autoSpaceDE w:val="0"/>
        <w:autoSpaceDN w:val="0"/>
        <w:adjustRightInd w:val="0"/>
        <w:spacing w:line="360" w:lineRule="auto"/>
        <w:ind w:left="640" w:hanging="640"/>
        <w:rPr>
          <w:b/>
          <w:color w:val="000000" w:themeColor="text1"/>
          <w:sz w:val="22"/>
          <w:szCs w:val="22"/>
        </w:rPr>
      </w:pPr>
      <w:r>
        <w:rPr>
          <w:b/>
          <w:color w:val="000000" w:themeColor="text1"/>
          <w:sz w:val="22"/>
          <w:szCs w:val="22"/>
        </w:rPr>
        <w:lastRenderedPageBreak/>
        <w:t>Data Sources</w:t>
      </w:r>
    </w:p>
    <w:p w14:paraId="06170BE3" w14:textId="2AD1927F" w:rsidR="00FB7C49" w:rsidRPr="0018068D" w:rsidRDefault="0018068D" w:rsidP="0018068D">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Velasco, Silvia, Mahmoud M. Ibrahim, Akshay Kakumanu, Görkem Garipler, Begüm Aydin, Mohamed Ahmed Al</w:t>
      </w:r>
      <w:r>
        <w:rPr>
          <w:rFonts w:ascii="Cambria" w:hAnsi="Cambria"/>
          <w:noProof/>
          <w:sz w:val="22"/>
        </w:rPr>
        <w:t>-Sayegh, Antje Hirsekorn, et al</w:t>
      </w:r>
      <w:r w:rsidRPr="007B64EE">
        <w:rPr>
          <w:rFonts w:ascii="Cambria" w:hAnsi="Cambria"/>
          <w:noProof/>
          <w:sz w:val="22"/>
        </w:rPr>
        <w:t xml:space="preserve">. “A Multi-Step Transcriptional and Chromatin State Cascade Underlies Motor Neuron Programming from Embryonic Stem Cells.” </w:t>
      </w:r>
      <w:r w:rsidRPr="007B64EE">
        <w:rPr>
          <w:rFonts w:ascii="Cambria" w:hAnsi="Cambria"/>
          <w:i/>
          <w:iCs/>
          <w:noProof/>
          <w:sz w:val="22"/>
        </w:rPr>
        <w:t>Cell Stem Cell</w:t>
      </w:r>
      <w:r w:rsidRPr="007B64EE">
        <w:rPr>
          <w:rFonts w:ascii="Cambria" w:hAnsi="Cambria"/>
          <w:noProof/>
          <w:sz w:val="22"/>
        </w:rPr>
        <w:t xml:space="preserve"> 20 </w:t>
      </w:r>
      <w:r>
        <w:rPr>
          <w:rFonts w:ascii="Cambria" w:hAnsi="Cambria"/>
          <w:noProof/>
          <w:sz w:val="22"/>
        </w:rPr>
        <w:t xml:space="preserve">(2): 205–217.e8. </w:t>
      </w:r>
      <w:r w:rsidRPr="0018068D">
        <w:rPr>
          <w:rFonts w:ascii="Cambria" w:hAnsi="Cambria"/>
          <w:b/>
          <w:sz w:val="22"/>
          <w:szCs w:val="22"/>
        </w:rPr>
        <w:t>GSE80483</w:t>
      </w:r>
      <w:r w:rsidR="00F903FC">
        <w:rPr>
          <w:rFonts w:ascii="Cambria" w:hAnsi="Cambria"/>
          <w:sz w:val="22"/>
          <w:szCs w:val="22"/>
        </w:rPr>
        <w:t xml:space="preserve">. </w:t>
      </w:r>
      <w:r>
        <w:rPr>
          <w:rFonts w:ascii="Cambria" w:hAnsi="Cambria"/>
          <w:noProof/>
          <w:color w:val="000000" w:themeColor="text1"/>
          <w:sz w:val="22"/>
          <w:szCs w:val="22"/>
        </w:rPr>
        <w:t>Gene Expression Omnibus</w:t>
      </w:r>
      <w:r>
        <w:rPr>
          <w:rFonts w:ascii="Cambria" w:hAnsi="Cambria"/>
          <w:sz w:val="22"/>
          <w:szCs w:val="22"/>
        </w:rPr>
        <w:t xml:space="preserve">. </w:t>
      </w:r>
      <w:hyperlink r:id="rId5" w:history="1">
        <w:r w:rsidRPr="009C4BBB">
          <w:rPr>
            <w:rStyle w:val="Hyperlink"/>
            <w:rFonts w:ascii="Cambria" w:hAnsi="Cambria"/>
            <w:sz w:val="22"/>
            <w:szCs w:val="22"/>
          </w:rPr>
          <w:t>https://doi.org/10.1016/j.stem.2016.11.006</w:t>
        </w:r>
      </w:hyperlink>
      <w:r w:rsidRPr="007B64EE">
        <w:rPr>
          <w:rFonts w:ascii="Cambria" w:hAnsi="Cambria"/>
          <w:noProof/>
          <w:sz w:val="22"/>
        </w:rPr>
        <w:t>.</w:t>
      </w:r>
      <w:r>
        <w:rPr>
          <w:rFonts w:ascii="Cambria" w:hAnsi="Cambria"/>
          <w:noProof/>
          <w:sz w:val="22"/>
        </w:rPr>
        <w:t xml:space="preserve"> (</w:t>
      </w:r>
      <w:r w:rsidRPr="007B64EE">
        <w:rPr>
          <w:rFonts w:ascii="Cambria" w:hAnsi="Cambria"/>
          <w:noProof/>
          <w:sz w:val="22"/>
        </w:rPr>
        <w:t>2017</w:t>
      </w:r>
      <w:r>
        <w:rPr>
          <w:rFonts w:ascii="Cambria" w:hAnsi="Cambria"/>
          <w:noProof/>
          <w:sz w:val="22"/>
        </w:rPr>
        <w:t>)</w:t>
      </w:r>
      <w:r w:rsidR="00FB7C49" w:rsidRPr="00DA1123">
        <w:rPr>
          <w:b/>
          <w:color w:val="000000" w:themeColor="text1"/>
          <w:sz w:val="22"/>
          <w:szCs w:val="22"/>
        </w:rPr>
        <w:fldChar w:fldCharType="begin" w:fldLock="1"/>
      </w:r>
      <w:r w:rsidR="00FB7C49" w:rsidRPr="0018068D">
        <w:rPr>
          <w:b/>
          <w:color w:val="000000" w:themeColor="text1"/>
          <w:sz w:val="22"/>
          <w:szCs w:val="22"/>
        </w:rPr>
        <w:instrText xml:space="preserve">ADDIN Mendeley Bibliography CSL_BIBLIOGRAPHY </w:instrText>
      </w:r>
      <w:r w:rsidR="00FB7C49" w:rsidRPr="00DA1123">
        <w:rPr>
          <w:b/>
          <w:color w:val="000000" w:themeColor="text1"/>
          <w:sz w:val="22"/>
          <w:szCs w:val="22"/>
        </w:rPr>
        <w:fldChar w:fldCharType="separate"/>
      </w:r>
    </w:p>
    <w:p w14:paraId="68D3292A" w14:textId="77777777" w:rsidR="0018068D" w:rsidRDefault="0018068D" w:rsidP="0018068D">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Yue, Feng, Yong Cheng, Alessandra Breschi, Jeff Vierstra, Weisheng Wu, Tyrone</w:t>
      </w:r>
      <w:r>
        <w:rPr>
          <w:rFonts w:ascii="Cambria" w:hAnsi="Cambria"/>
          <w:noProof/>
          <w:sz w:val="22"/>
        </w:rPr>
        <w:t xml:space="preserve"> Ryba, Richard Sandstrom, et al</w:t>
      </w:r>
      <w:r w:rsidRPr="007B64EE">
        <w:rPr>
          <w:rFonts w:ascii="Cambria" w:hAnsi="Cambria"/>
          <w:noProof/>
          <w:sz w:val="22"/>
        </w:rPr>
        <w:t xml:space="preserve">. “A Comparative Encyclopedia of DNA Elements in the Mouse Genome.” </w:t>
      </w:r>
      <w:r w:rsidRPr="007B64EE">
        <w:rPr>
          <w:rFonts w:ascii="Cambria" w:hAnsi="Cambria"/>
          <w:i/>
          <w:iCs/>
          <w:noProof/>
          <w:sz w:val="22"/>
        </w:rPr>
        <w:t>Nature</w:t>
      </w:r>
      <w:r w:rsidRPr="007B64EE">
        <w:rPr>
          <w:rFonts w:ascii="Cambria" w:hAnsi="Cambria"/>
          <w:noProof/>
          <w:sz w:val="22"/>
        </w:rPr>
        <w:t xml:space="preserve"> 515 (7527). Nature Publishing Group: 355–64. </w:t>
      </w:r>
      <w:r w:rsidRPr="0018068D">
        <w:rPr>
          <w:rFonts w:ascii="Cambria" w:hAnsi="Cambria"/>
          <w:b/>
          <w:sz w:val="22"/>
          <w:szCs w:val="22"/>
        </w:rPr>
        <w:t>GSE49847</w:t>
      </w:r>
      <w:r>
        <w:rPr>
          <w:rFonts w:ascii="Cambria" w:hAnsi="Cambria"/>
          <w:sz w:val="22"/>
          <w:szCs w:val="22"/>
        </w:rPr>
        <w:t xml:space="preserve">. </w:t>
      </w:r>
      <w:r>
        <w:rPr>
          <w:rFonts w:ascii="Cambria" w:hAnsi="Cambria"/>
          <w:noProof/>
          <w:color w:val="000000" w:themeColor="text1"/>
          <w:sz w:val="22"/>
          <w:szCs w:val="22"/>
        </w:rPr>
        <w:t>Gene Expression Omnibus</w:t>
      </w:r>
      <w:r>
        <w:rPr>
          <w:rFonts w:ascii="Cambria" w:hAnsi="Cambria"/>
          <w:sz w:val="22"/>
          <w:szCs w:val="22"/>
        </w:rPr>
        <w:t xml:space="preserve">. </w:t>
      </w:r>
      <w:hyperlink r:id="rId6" w:history="1">
        <w:r w:rsidRPr="00C309DA">
          <w:rPr>
            <w:rStyle w:val="Hyperlink"/>
            <w:rFonts w:ascii="Cambria" w:hAnsi="Cambria"/>
            <w:noProof/>
            <w:sz w:val="22"/>
          </w:rPr>
          <w:t>https://doi.org/10.1038/nature13992</w:t>
        </w:r>
      </w:hyperlink>
      <w:r w:rsidRPr="007B64EE">
        <w:rPr>
          <w:rFonts w:ascii="Cambria" w:hAnsi="Cambria"/>
          <w:noProof/>
          <w:sz w:val="22"/>
        </w:rPr>
        <w:t>.</w:t>
      </w:r>
      <w:r>
        <w:rPr>
          <w:rFonts w:ascii="Cambria" w:hAnsi="Cambria"/>
          <w:noProof/>
          <w:sz w:val="22"/>
        </w:rPr>
        <w:t xml:space="preserve"> (</w:t>
      </w:r>
      <w:r w:rsidRPr="007B64EE">
        <w:rPr>
          <w:rFonts w:ascii="Cambria" w:hAnsi="Cambria"/>
          <w:noProof/>
          <w:sz w:val="22"/>
        </w:rPr>
        <w:t>2014</w:t>
      </w:r>
      <w:r>
        <w:rPr>
          <w:rFonts w:ascii="Cambria" w:hAnsi="Cambria"/>
          <w:noProof/>
          <w:sz w:val="22"/>
        </w:rPr>
        <w:t>)</w:t>
      </w:r>
    </w:p>
    <w:p w14:paraId="47949790" w14:textId="7DA63A06" w:rsidR="00FB7C49" w:rsidRPr="007B64EE" w:rsidRDefault="00FB7C49" w:rsidP="00FB7C49">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 xml:space="preserve">Ku, Manching, Jacob D Jaffe, Richard P Koche, Esther Rheinbay, Mitsuhiro Endoh, Haruhiko Koseki, Steven </w:t>
      </w:r>
      <w:r>
        <w:rPr>
          <w:rFonts w:ascii="Cambria" w:hAnsi="Cambria"/>
          <w:noProof/>
          <w:sz w:val="22"/>
        </w:rPr>
        <w:t>A Carr, and Bradley E Bernstein</w:t>
      </w:r>
      <w:r w:rsidRPr="007B64EE">
        <w:rPr>
          <w:rFonts w:ascii="Cambria" w:hAnsi="Cambria"/>
          <w:noProof/>
          <w:sz w:val="22"/>
        </w:rPr>
        <w:t xml:space="preserve">. “H2A.Z Landscapes and Dual Modifications in Pluripotent and Multipotent Stem Cells Underlie Complex Genome Regulatory Functions.” </w:t>
      </w:r>
      <w:r w:rsidRPr="007B64EE">
        <w:rPr>
          <w:rFonts w:ascii="Cambria" w:hAnsi="Cambria"/>
          <w:i/>
          <w:iCs/>
          <w:noProof/>
          <w:sz w:val="22"/>
        </w:rPr>
        <w:t>Genome Biology</w:t>
      </w:r>
      <w:r w:rsidRPr="007B64EE">
        <w:rPr>
          <w:rFonts w:ascii="Cambria" w:hAnsi="Cambria"/>
          <w:noProof/>
          <w:sz w:val="22"/>
        </w:rPr>
        <w:t xml:space="preserve"> 13 (10): R85. </w:t>
      </w:r>
      <w:r w:rsidR="009868AC">
        <w:rPr>
          <w:rFonts w:ascii="Cambria" w:hAnsi="Cambria"/>
          <w:noProof/>
          <w:sz w:val="22"/>
        </w:rPr>
        <w:t xml:space="preserve"> </w:t>
      </w:r>
      <w:r w:rsidR="009868AC" w:rsidRPr="0018068D">
        <w:rPr>
          <w:rFonts w:ascii="Cambria" w:hAnsi="Cambria"/>
          <w:b/>
          <w:sz w:val="22"/>
          <w:szCs w:val="22"/>
        </w:rPr>
        <w:t>GSE39237</w:t>
      </w:r>
      <w:r w:rsidR="009868AC">
        <w:rPr>
          <w:rFonts w:ascii="Cambria" w:hAnsi="Cambria"/>
          <w:sz w:val="22"/>
          <w:szCs w:val="22"/>
        </w:rPr>
        <w:t xml:space="preserve">. </w:t>
      </w:r>
      <w:r w:rsidR="009039F0">
        <w:rPr>
          <w:rFonts w:ascii="Cambria" w:hAnsi="Cambria"/>
          <w:noProof/>
          <w:color w:val="000000" w:themeColor="text1"/>
          <w:sz w:val="22"/>
          <w:szCs w:val="22"/>
        </w:rPr>
        <w:t>Gene Expression Omnibus</w:t>
      </w:r>
      <w:r>
        <w:rPr>
          <w:rFonts w:ascii="Cambria" w:hAnsi="Cambria"/>
          <w:sz w:val="22"/>
          <w:szCs w:val="22"/>
        </w:rPr>
        <w:t xml:space="preserve">. </w:t>
      </w:r>
      <w:hyperlink r:id="rId7" w:history="1">
        <w:r w:rsidRPr="009C4BBB">
          <w:rPr>
            <w:rStyle w:val="Hyperlink"/>
            <w:rFonts w:ascii="Cambria" w:hAnsi="Cambria"/>
            <w:noProof/>
            <w:sz w:val="22"/>
          </w:rPr>
          <w:t>https://doi.org/10.1186/gb-2012-13-10-r85</w:t>
        </w:r>
      </w:hyperlink>
      <w:r w:rsidRPr="007B64EE">
        <w:rPr>
          <w:rFonts w:ascii="Cambria" w:hAnsi="Cambria"/>
          <w:noProof/>
          <w:sz w:val="22"/>
        </w:rPr>
        <w:t>.</w:t>
      </w:r>
      <w:r>
        <w:rPr>
          <w:rFonts w:ascii="Cambria" w:hAnsi="Cambria"/>
          <w:noProof/>
          <w:sz w:val="22"/>
        </w:rPr>
        <w:t xml:space="preserve"> (</w:t>
      </w:r>
      <w:r w:rsidRPr="007B64EE">
        <w:rPr>
          <w:rFonts w:ascii="Cambria" w:hAnsi="Cambria"/>
          <w:noProof/>
          <w:sz w:val="22"/>
        </w:rPr>
        <w:t>2012</w:t>
      </w:r>
      <w:r>
        <w:rPr>
          <w:rFonts w:ascii="Cambria" w:hAnsi="Cambria"/>
          <w:noProof/>
          <w:sz w:val="22"/>
        </w:rPr>
        <w:t>)</w:t>
      </w:r>
    </w:p>
    <w:p w14:paraId="2A875118" w14:textId="59941C8C" w:rsidR="00FB7C49" w:rsidRPr="007B64EE" w:rsidRDefault="00FB7C49" w:rsidP="00FB7C49">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Mikkelsen, Tarjei S., Manching Ku, David B. Jaffe, Biju Issac, Erez Lieberman, Georgia G</w:t>
      </w:r>
      <w:r>
        <w:rPr>
          <w:rFonts w:ascii="Cambria" w:hAnsi="Cambria"/>
          <w:noProof/>
          <w:sz w:val="22"/>
        </w:rPr>
        <w:t xml:space="preserve">iannoukos, Pablo Alvarez, </w:t>
      </w:r>
      <w:r w:rsidR="00C21B91" w:rsidRPr="00C21B91">
        <w:rPr>
          <w:rFonts w:ascii="Cambria" w:hAnsi="Cambria"/>
          <w:noProof/>
          <w:sz w:val="22"/>
        </w:rPr>
        <w:t>William Brockman, Tae-Kyung Kim, Richard P. Koche, William Lee, Eric Mendenhall, Aisling O’Donovan, Aviva Presser, Carsten Russ, Xiaohui Xie, Alexander Meissner, Marius Wernig, Rudolf Jaenisch, Chad Nusbaum, Eric S. Lander &amp; Bradley E. Bernstein</w:t>
      </w:r>
      <w:r w:rsidRPr="007B64EE">
        <w:rPr>
          <w:rFonts w:ascii="Cambria" w:hAnsi="Cambria"/>
          <w:noProof/>
          <w:sz w:val="22"/>
        </w:rPr>
        <w:t xml:space="preserve">. “Genome-Wide Maps of Chromatin State in Pluripotent and Lineage-Committed Cells.” </w:t>
      </w:r>
      <w:r w:rsidRPr="007B64EE">
        <w:rPr>
          <w:rFonts w:ascii="Cambria" w:hAnsi="Cambria"/>
          <w:i/>
          <w:iCs/>
          <w:noProof/>
          <w:sz w:val="22"/>
        </w:rPr>
        <w:t>Nature</w:t>
      </w:r>
      <w:r w:rsidRPr="007B64EE">
        <w:rPr>
          <w:rFonts w:ascii="Cambria" w:hAnsi="Cambria"/>
          <w:noProof/>
          <w:sz w:val="22"/>
        </w:rPr>
        <w:t xml:space="preserve"> 448 (7153). Nature Publishing Group: 553–60. </w:t>
      </w:r>
      <w:r w:rsidR="009868AC" w:rsidRPr="0018068D">
        <w:rPr>
          <w:rFonts w:ascii="Cambria" w:hAnsi="Cambria"/>
          <w:b/>
          <w:sz w:val="22"/>
          <w:szCs w:val="22"/>
        </w:rPr>
        <w:t>GSE12241</w:t>
      </w:r>
      <w:r w:rsidR="009868AC">
        <w:rPr>
          <w:rFonts w:ascii="Cambria" w:hAnsi="Cambria"/>
          <w:sz w:val="22"/>
          <w:szCs w:val="22"/>
        </w:rPr>
        <w:t xml:space="preserve">. </w:t>
      </w:r>
      <w:r>
        <w:rPr>
          <w:rFonts w:ascii="Cambria" w:hAnsi="Cambria"/>
          <w:noProof/>
          <w:color w:val="000000" w:themeColor="text1"/>
          <w:sz w:val="22"/>
          <w:szCs w:val="22"/>
        </w:rPr>
        <w:t>Gene Expression Omni</w:t>
      </w:r>
      <w:r w:rsidR="009039F0">
        <w:rPr>
          <w:rFonts w:ascii="Cambria" w:hAnsi="Cambria"/>
          <w:noProof/>
          <w:color w:val="000000" w:themeColor="text1"/>
          <w:sz w:val="22"/>
          <w:szCs w:val="22"/>
        </w:rPr>
        <w:t>bus</w:t>
      </w:r>
      <w:r>
        <w:rPr>
          <w:rFonts w:ascii="Cambria" w:hAnsi="Cambria"/>
          <w:sz w:val="22"/>
          <w:szCs w:val="22"/>
        </w:rPr>
        <w:t xml:space="preserve">. </w:t>
      </w:r>
      <w:hyperlink r:id="rId8" w:history="1">
        <w:r w:rsidRPr="009C4BBB">
          <w:rPr>
            <w:rStyle w:val="Hyperlink"/>
            <w:rFonts w:ascii="Cambria" w:hAnsi="Cambria"/>
            <w:noProof/>
            <w:sz w:val="22"/>
          </w:rPr>
          <w:t>https://doi.org/10.1038/nature06008</w:t>
        </w:r>
      </w:hyperlink>
      <w:r w:rsidRPr="007B64EE">
        <w:rPr>
          <w:rFonts w:ascii="Cambria" w:hAnsi="Cambria"/>
          <w:noProof/>
          <w:sz w:val="22"/>
        </w:rPr>
        <w:t>.</w:t>
      </w:r>
      <w:r>
        <w:rPr>
          <w:rFonts w:ascii="Cambria" w:hAnsi="Cambria"/>
          <w:noProof/>
          <w:sz w:val="22"/>
        </w:rPr>
        <w:t xml:space="preserve"> (</w:t>
      </w:r>
      <w:r w:rsidRPr="007B64EE">
        <w:rPr>
          <w:rFonts w:ascii="Cambria" w:hAnsi="Cambria"/>
          <w:noProof/>
          <w:sz w:val="22"/>
        </w:rPr>
        <w:t>2007</w:t>
      </w:r>
      <w:r>
        <w:rPr>
          <w:rFonts w:ascii="Cambria" w:hAnsi="Cambria"/>
          <w:noProof/>
          <w:sz w:val="22"/>
        </w:rPr>
        <w:t>)</w:t>
      </w:r>
    </w:p>
    <w:p w14:paraId="243EE122" w14:textId="0D889FBC" w:rsidR="00FB7C49" w:rsidRPr="007B64EE" w:rsidRDefault="00FB7C49" w:rsidP="00FB7C49">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Raccaud, Mahé, Elias T Friman, Andrea B Alber, Harsha Agarwal, Cédric Deluz, Timo Kuhn, J Christof M Gebha</w:t>
      </w:r>
      <w:r>
        <w:rPr>
          <w:rFonts w:ascii="Cambria" w:hAnsi="Cambria"/>
          <w:noProof/>
          <w:sz w:val="22"/>
        </w:rPr>
        <w:t>rdt, and David M Suter</w:t>
      </w:r>
      <w:r w:rsidRPr="007B64EE">
        <w:rPr>
          <w:rFonts w:ascii="Cambria" w:hAnsi="Cambria"/>
          <w:noProof/>
          <w:sz w:val="22"/>
        </w:rPr>
        <w:t xml:space="preserve">. “Mitotic Chromosome Binding Predicts Transcription Factor Properties in Interphase.” </w:t>
      </w:r>
      <w:r w:rsidRPr="007B64EE">
        <w:rPr>
          <w:rFonts w:ascii="Cambria" w:hAnsi="Cambria"/>
          <w:i/>
          <w:iCs/>
          <w:noProof/>
          <w:sz w:val="22"/>
        </w:rPr>
        <w:t>Nature Communications</w:t>
      </w:r>
      <w:r w:rsidRPr="007B64EE">
        <w:rPr>
          <w:rFonts w:ascii="Cambria" w:hAnsi="Cambria"/>
          <w:noProof/>
          <w:sz w:val="22"/>
        </w:rPr>
        <w:t xml:space="preserve"> 10 (1): 487. </w:t>
      </w:r>
      <w:r w:rsidR="009868AC" w:rsidRPr="0018068D">
        <w:rPr>
          <w:rFonts w:ascii="Cambria" w:hAnsi="Cambria"/>
          <w:b/>
          <w:sz w:val="22"/>
          <w:szCs w:val="22"/>
        </w:rPr>
        <w:t>GSE119784</w:t>
      </w:r>
      <w:r w:rsidR="009868AC">
        <w:rPr>
          <w:rFonts w:ascii="Cambria" w:hAnsi="Cambria"/>
          <w:sz w:val="22"/>
          <w:szCs w:val="22"/>
        </w:rPr>
        <w:t xml:space="preserve">. </w:t>
      </w:r>
      <w:r w:rsidR="009039F0">
        <w:rPr>
          <w:rFonts w:ascii="Cambria" w:hAnsi="Cambria"/>
          <w:noProof/>
          <w:color w:val="000000" w:themeColor="text1"/>
          <w:sz w:val="22"/>
          <w:szCs w:val="22"/>
        </w:rPr>
        <w:t>Gene Expression Omnibus</w:t>
      </w:r>
      <w:r>
        <w:rPr>
          <w:rFonts w:ascii="Cambria" w:hAnsi="Cambria"/>
          <w:sz w:val="22"/>
          <w:szCs w:val="22"/>
        </w:rPr>
        <w:t xml:space="preserve">. </w:t>
      </w:r>
      <w:hyperlink r:id="rId9" w:history="1">
        <w:r w:rsidRPr="009C4BBB">
          <w:rPr>
            <w:rStyle w:val="Hyperlink"/>
            <w:rFonts w:ascii="Cambria" w:hAnsi="Cambria"/>
            <w:noProof/>
            <w:sz w:val="22"/>
          </w:rPr>
          <w:t>https://doi.org/10.1038/s41467-019-08417-5</w:t>
        </w:r>
      </w:hyperlink>
      <w:r w:rsidRPr="007B64EE">
        <w:rPr>
          <w:rFonts w:ascii="Cambria" w:hAnsi="Cambria"/>
          <w:noProof/>
          <w:sz w:val="22"/>
        </w:rPr>
        <w:t>.</w:t>
      </w:r>
      <w:r>
        <w:rPr>
          <w:rFonts w:ascii="Cambria" w:hAnsi="Cambria"/>
          <w:noProof/>
          <w:sz w:val="22"/>
        </w:rPr>
        <w:t xml:space="preserve"> (</w:t>
      </w:r>
      <w:r w:rsidRPr="007B64EE">
        <w:rPr>
          <w:rFonts w:ascii="Cambria" w:hAnsi="Cambria"/>
          <w:noProof/>
          <w:sz w:val="22"/>
        </w:rPr>
        <w:t>2019</w:t>
      </w:r>
      <w:r>
        <w:rPr>
          <w:rFonts w:ascii="Cambria" w:hAnsi="Cambria"/>
          <w:noProof/>
          <w:sz w:val="22"/>
        </w:rPr>
        <w:t>)</w:t>
      </w:r>
    </w:p>
    <w:p w14:paraId="246A010F" w14:textId="18A5D564" w:rsidR="0018068D" w:rsidRPr="0018068D" w:rsidRDefault="0018068D" w:rsidP="0018068D">
      <w:pPr>
        <w:pStyle w:val="ListParagraph"/>
        <w:widowControl w:val="0"/>
        <w:numPr>
          <w:ilvl w:val="0"/>
          <w:numId w:val="2"/>
        </w:numPr>
        <w:autoSpaceDE w:val="0"/>
        <w:autoSpaceDN w:val="0"/>
        <w:adjustRightInd w:val="0"/>
        <w:spacing w:line="360" w:lineRule="auto"/>
        <w:ind w:left="360"/>
        <w:rPr>
          <w:rFonts w:ascii="Cambria" w:hAnsi="Cambria"/>
          <w:sz w:val="22"/>
          <w:szCs w:val="22"/>
        </w:rPr>
      </w:pPr>
      <w:r w:rsidRPr="00FB7C49">
        <w:rPr>
          <w:rFonts w:ascii="Cambria" w:hAnsi="Cambria"/>
          <w:noProof/>
          <w:sz w:val="22"/>
        </w:rPr>
        <w:t xml:space="preserve">Aydin, Begüm, Akshay Kakumanu, Mary Rossillo, Mireia Moreno-Estellés, Görkem Garipler, Niels Ringstad, Nuria Flames, Shaun Mahony, and Esteban O. Mazzoni. Proneural Factors Ascl1 and Neurog2 Contribute to Neuronal Subtype Identities by Establishing Distinct Chromatin Landscapes. </w:t>
      </w:r>
      <w:r w:rsidRPr="00FB7C49">
        <w:rPr>
          <w:rFonts w:ascii="Cambria" w:hAnsi="Cambria"/>
          <w:i/>
          <w:iCs/>
          <w:noProof/>
          <w:sz w:val="22"/>
        </w:rPr>
        <w:t>Nature Neuroscience</w:t>
      </w:r>
      <w:r w:rsidRPr="00FB7C49">
        <w:rPr>
          <w:rFonts w:ascii="Cambria" w:hAnsi="Cambria"/>
          <w:noProof/>
          <w:sz w:val="22"/>
        </w:rPr>
        <w:t xml:space="preserve"> 22 (6): 897–908. </w:t>
      </w:r>
      <w:r w:rsidRPr="0018068D">
        <w:rPr>
          <w:rFonts w:ascii="Cambria" w:hAnsi="Cambria"/>
          <w:b/>
          <w:sz w:val="22"/>
          <w:szCs w:val="22"/>
        </w:rPr>
        <w:t>GSE114176</w:t>
      </w:r>
      <w:r>
        <w:rPr>
          <w:rFonts w:ascii="Cambria" w:hAnsi="Cambria"/>
          <w:sz w:val="22"/>
          <w:szCs w:val="22"/>
        </w:rPr>
        <w:t xml:space="preserve">. </w:t>
      </w:r>
      <w:r w:rsidRPr="00FB7C49">
        <w:rPr>
          <w:rFonts w:ascii="Cambria" w:hAnsi="Cambria"/>
          <w:noProof/>
          <w:color w:val="000000" w:themeColor="text1"/>
          <w:sz w:val="22"/>
          <w:szCs w:val="22"/>
        </w:rPr>
        <w:t>Gene Expression Omnibus</w:t>
      </w:r>
      <w:r w:rsidRPr="00FB7C49">
        <w:rPr>
          <w:rFonts w:ascii="Cambria" w:hAnsi="Cambria"/>
          <w:sz w:val="22"/>
          <w:szCs w:val="22"/>
        </w:rPr>
        <w:t xml:space="preserve">.  </w:t>
      </w:r>
      <w:hyperlink r:id="rId10" w:history="1">
        <w:r w:rsidRPr="00FB7C49">
          <w:rPr>
            <w:rStyle w:val="Hyperlink"/>
            <w:rFonts w:ascii="Cambria" w:hAnsi="Cambria"/>
            <w:sz w:val="22"/>
            <w:szCs w:val="22"/>
          </w:rPr>
          <w:t>https://doi.org/10.1038/s41593-019-0399-y</w:t>
        </w:r>
      </w:hyperlink>
      <w:r w:rsidRPr="00FB7C49">
        <w:rPr>
          <w:rFonts w:ascii="Cambria" w:hAnsi="Cambria"/>
          <w:sz w:val="22"/>
          <w:szCs w:val="22"/>
        </w:rPr>
        <w:t xml:space="preserve">. </w:t>
      </w:r>
      <w:r w:rsidRPr="00FB7C49">
        <w:rPr>
          <w:rFonts w:ascii="Cambria" w:hAnsi="Cambria"/>
          <w:noProof/>
          <w:color w:val="000000" w:themeColor="text1"/>
          <w:sz w:val="22"/>
          <w:szCs w:val="22"/>
        </w:rPr>
        <w:t>(2019).</w:t>
      </w:r>
    </w:p>
    <w:p w14:paraId="17A9A013" w14:textId="7EF7D4FE" w:rsidR="0018068D" w:rsidRPr="0018068D" w:rsidRDefault="0018068D" w:rsidP="0018068D">
      <w:pPr>
        <w:pStyle w:val="ListParagraph"/>
        <w:widowControl w:val="0"/>
        <w:numPr>
          <w:ilvl w:val="0"/>
          <w:numId w:val="2"/>
        </w:numPr>
        <w:autoSpaceDE w:val="0"/>
        <w:autoSpaceDN w:val="0"/>
        <w:adjustRightInd w:val="0"/>
        <w:spacing w:line="360" w:lineRule="auto"/>
        <w:ind w:left="360"/>
        <w:rPr>
          <w:rFonts w:ascii="Cambria" w:hAnsi="Cambria"/>
          <w:noProof/>
          <w:sz w:val="22"/>
        </w:rPr>
      </w:pPr>
      <w:r w:rsidRPr="007B64EE">
        <w:rPr>
          <w:rFonts w:ascii="Cambria" w:hAnsi="Cambria"/>
          <w:noProof/>
          <w:sz w:val="22"/>
        </w:rPr>
        <w:t>Donaghey, Julie, Sudhir Thakurela, Jocelyn Charlton, Jennifer S Chen, Zachary D Smith, Hongcang Gu, Ramona Pop,</w:t>
      </w:r>
      <w:r>
        <w:rPr>
          <w:rFonts w:ascii="Cambria" w:hAnsi="Cambria"/>
          <w:noProof/>
          <w:sz w:val="22"/>
        </w:rPr>
        <w:t xml:space="preserve"> </w:t>
      </w:r>
      <w:r w:rsidRPr="00C21B91">
        <w:rPr>
          <w:rFonts w:ascii="Cambria" w:hAnsi="Cambria"/>
          <w:noProof/>
          <w:sz w:val="22"/>
        </w:rPr>
        <w:t>Kendell Clement, Elena K. Stamenova, Rahul Karnik, David R. Kelley, Casey A. Gifford, Davide Cacchiarelli, John L. Rinn, Andreas Gnirke, Michael J. Ziller &amp; Alexander Meissner</w:t>
      </w:r>
      <w:r w:rsidRPr="007B64EE">
        <w:rPr>
          <w:rFonts w:ascii="Cambria" w:hAnsi="Cambria"/>
          <w:noProof/>
          <w:sz w:val="22"/>
        </w:rPr>
        <w:t xml:space="preserve">. “Genetic Determinants and Epigenetic Effects of Pioneer-Factor Occupancy.” </w:t>
      </w:r>
      <w:r w:rsidRPr="007B64EE">
        <w:rPr>
          <w:rFonts w:ascii="Cambria" w:hAnsi="Cambria"/>
          <w:i/>
          <w:iCs/>
          <w:noProof/>
          <w:sz w:val="22"/>
        </w:rPr>
        <w:t>Nature Genetics</w:t>
      </w:r>
      <w:r w:rsidRPr="007B64EE">
        <w:rPr>
          <w:rFonts w:ascii="Cambria" w:hAnsi="Cambria"/>
          <w:noProof/>
          <w:sz w:val="22"/>
        </w:rPr>
        <w:t xml:space="preserve"> 50 (2): 250–58. </w:t>
      </w:r>
      <w:r w:rsidRPr="0018068D">
        <w:rPr>
          <w:rFonts w:ascii="Cambria" w:hAnsi="Cambria"/>
          <w:b/>
          <w:sz w:val="22"/>
          <w:szCs w:val="22"/>
        </w:rPr>
        <w:t>GSE90456</w:t>
      </w:r>
      <w:r>
        <w:rPr>
          <w:rFonts w:ascii="Cambria" w:hAnsi="Cambria"/>
          <w:sz w:val="22"/>
          <w:szCs w:val="22"/>
        </w:rPr>
        <w:t xml:space="preserve">. </w:t>
      </w:r>
      <w:r>
        <w:rPr>
          <w:rFonts w:ascii="Cambria" w:hAnsi="Cambria"/>
          <w:noProof/>
          <w:color w:val="000000" w:themeColor="text1"/>
          <w:sz w:val="22"/>
          <w:szCs w:val="22"/>
        </w:rPr>
        <w:t>Gene Expression Omnibus</w:t>
      </w:r>
      <w:r>
        <w:rPr>
          <w:rFonts w:ascii="Cambria" w:hAnsi="Cambria"/>
          <w:sz w:val="22"/>
          <w:szCs w:val="22"/>
        </w:rPr>
        <w:t xml:space="preserve">. </w:t>
      </w:r>
      <w:hyperlink r:id="rId11" w:history="1">
        <w:r w:rsidRPr="009C4BBB">
          <w:rPr>
            <w:rStyle w:val="Hyperlink"/>
            <w:rFonts w:ascii="Cambria" w:hAnsi="Cambria"/>
            <w:noProof/>
            <w:sz w:val="22"/>
          </w:rPr>
          <w:t>https://doi.org/10.1038/s41588-017-0034-3</w:t>
        </w:r>
      </w:hyperlink>
      <w:r w:rsidRPr="007B64EE">
        <w:rPr>
          <w:rFonts w:ascii="Cambria" w:hAnsi="Cambria"/>
          <w:noProof/>
          <w:sz w:val="22"/>
        </w:rPr>
        <w:t>.</w:t>
      </w:r>
      <w:r>
        <w:rPr>
          <w:rFonts w:ascii="Cambria" w:hAnsi="Cambria"/>
          <w:noProof/>
          <w:sz w:val="22"/>
        </w:rPr>
        <w:t xml:space="preserve"> (2018)</w:t>
      </w:r>
    </w:p>
    <w:p w14:paraId="0456E47D" w14:textId="3CEC3292" w:rsidR="00DE4C62" w:rsidRDefault="00FB7C49" w:rsidP="00383163">
      <w:pPr>
        <w:widowControl w:val="0"/>
        <w:autoSpaceDE w:val="0"/>
        <w:autoSpaceDN w:val="0"/>
        <w:adjustRightInd w:val="0"/>
        <w:spacing w:line="360" w:lineRule="auto"/>
        <w:ind w:left="640" w:hanging="640"/>
        <w:rPr>
          <w:color w:val="000000" w:themeColor="text1"/>
          <w:sz w:val="22"/>
          <w:szCs w:val="22"/>
        </w:rPr>
      </w:pPr>
      <w:r w:rsidRPr="00DA1123">
        <w:rPr>
          <w:b/>
          <w:color w:val="000000" w:themeColor="text1"/>
          <w:sz w:val="22"/>
          <w:szCs w:val="22"/>
        </w:rPr>
        <w:lastRenderedPageBreak/>
        <w:fldChar w:fldCharType="end"/>
      </w:r>
    </w:p>
    <w:p w14:paraId="620D2210" w14:textId="77777777" w:rsidR="00FB7C49" w:rsidRDefault="00FB7C49" w:rsidP="009422FD">
      <w:pPr>
        <w:widowControl w:val="0"/>
        <w:autoSpaceDE w:val="0"/>
        <w:autoSpaceDN w:val="0"/>
        <w:adjustRightInd w:val="0"/>
        <w:spacing w:line="360" w:lineRule="auto"/>
        <w:rPr>
          <w:b/>
          <w:color w:val="000000" w:themeColor="text1"/>
          <w:sz w:val="22"/>
          <w:szCs w:val="22"/>
        </w:rPr>
      </w:pPr>
    </w:p>
    <w:p w14:paraId="27920529" w14:textId="77777777" w:rsidR="007B64EE" w:rsidRDefault="00E20C40" w:rsidP="007B64EE">
      <w:pPr>
        <w:widowControl w:val="0"/>
        <w:autoSpaceDE w:val="0"/>
        <w:autoSpaceDN w:val="0"/>
        <w:adjustRightInd w:val="0"/>
        <w:spacing w:line="360" w:lineRule="auto"/>
        <w:ind w:left="640" w:hanging="640"/>
        <w:rPr>
          <w:b/>
          <w:color w:val="000000" w:themeColor="text1"/>
          <w:sz w:val="22"/>
          <w:szCs w:val="22"/>
        </w:rPr>
      </w:pPr>
      <w:r w:rsidRPr="00DA1123">
        <w:rPr>
          <w:b/>
          <w:color w:val="000000" w:themeColor="text1"/>
          <w:sz w:val="22"/>
          <w:szCs w:val="22"/>
        </w:rPr>
        <w:t xml:space="preserve">Supplementary </w:t>
      </w:r>
      <w:r>
        <w:rPr>
          <w:b/>
          <w:color w:val="000000" w:themeColor="text1"/>
          <w:sz w:val="22"/>
          <w:szCs w:val="22"/>
        </w:rPr>
        <w:t>Material</w:t>
      </w:r>
      <w:r w:rsidRPr="00DA1123">
        <w:rPr>
          <w:b/>
          <w:color w:val="000000" w:themeColor="text1"/>
          <w:sz w:val="22"/>
          <w:szCs w:val="22"/>
        </w:rPr>
        <w:t xml:space="preserve"> References</w:t>
      </w:r>
    </w:p>
    <w:p w14:paraId="27DCBD28"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Pr>
          <w:b/>
          <w:color w:val="000000" w:themeColor="text1"/>
          <w:sz w:val="22"/>
          <w:szCs w:val="22"/>
        </w:rPr>
        <w:fldChar w:fldCharType="begin" w:fldLock="1"/>
      </w:r>
      <w:r>
        <w:rPr>
          <w:b/>
          <w:color w:val="000000" w:themeColor="text1"/>
          <w:sz w:val="22"/>
          <w:szCs w:val="22"/>
        </w:rPr>
        <w:instrText xml:space="preserve">ADDIN Mendeley Bibliography CSL_BIBLIOGRAPHY </w:instrText>
      </w:r>
      <w:r>
        <w:rPr>
          <w:b/>
          <w:color w:val="000000" w:themeColor="text1"/>
          <w:sz w:val="22"/>
          <w:szCs w:val="22"/>
        </w:rPr>
        <w:fldChar w:fldCharType="separate"/>
      </w:r>
      <w:r w:rsidRPr="007B64EE">
        <w:rPr>
          <w:rFonts w:ascii="Cambria" w:hAnsi="Cambria"/>
          <w:noProof/>
          <w:sz w:val="22"/>
        </w:rPr>
        <w:t>1.</w:t>
      </w:r>
      <w:r w:rsidRPr="007B64EE">
        <w:rPr>
          <w:rFonts w:ascii="Cambria" w:hAnsi="Cambria"/>
          <w:noProof/>
          <w:sz w:val="22"/>
        </w:rPr>
        <w:tab/>
        <w:t xml:space="preserve">Velasco, S. </w:t>
      </w:r>
      <w:r w:rsidRPr="007B64EE">
        <w:rPr>
          <w:rFonts w:ascii="Cambria" w:hAnsi="Cambria"/>
          <w:i/>
          <w:iCs/>
          <w:noProof/>
          <w:sz w:val="22"/>
        </w:rPr>
        <w:t>et al.</w:t>
      </w:r>
      <w:r w:rsidRPr="007B64EE">
        <w:rPr>
          <w:rFonts w:ascii="Cambria" w:hAnsi="Cambria"/>
          <w:noProof/>
          <w:sz w:val="22"/>
        </w:rPr>
        <w:t xml:space="preserve"> A Multi-step Transcriptional and Chromatin State Cascade Underlies Motor Neuron Programming from Embryonic Stem Cells. </w:t>
      </w:r>
      <w:r w:rsidRPr="007B64EE">
        <w:rPr>
          <w:rFonts w:ascii="Cambria" w:hAnsi="Cambria"/>
          <w:i/>
          <w:iCs/>
          <w:noProof/>
          <w:sz w:val="22"/>
        </w:rPr>
        <w:t>Cell Stem Cell</w:t>
      </w:r>
      <w:r w:rsidRPr="007B64EE">
        <w:rPr>
          <w:rFonts w:ascii="Cambria" w:hAnsi="Cambria"/>
          <w:noProof/>
          <w:sz w:val="22"/>
        </w:rPr>
        <w:t xml:space="preserve"> </w:t>
      </w:r>
      <w:r w:rsidRPr="007B64EE">
        <w:rPr>
          <w:rFonts w:ascii="Cambria" w:hAnsi="Cambria"/>
          <w:b/>
          <w:bCs/>
          <w:noProof/>
          <w:sz w:val="22"/>
        </w:rPr>
        <w:t>20,</w:t>
      </w:r>
      <w:r w:rsidRPr="007B64EE">
        <w:rPr>
          <w:rFonts w:ascii="Cambria" w:hAnsi="Cambria"/>
          <w:noProof/>
          <w:sz w:val="22"/>
        </w:rPr>
        <w:t xml:space="preserve"> 205–217.e8 (2017).</w:t>
      </w:r>
    </w:p>
    <w:p w14:paraId="5A51680B"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2.</w:t>
      </w:r>
      <w:r w:rsidRPr="007B64EE">
        <w:rPr>
          <w:rFonts w:ascii="Cambria" w:hAnsi="Cambria"/>
          <w:noProof/>
          <w:sz w:val="22"/>
        </w:rPr>
        <w:tab/>
        <w:t xml:space="preserve">Yue, F. </w:t>
      </w:r>
      <w:r w:rsidRPr="007B64EE">
        <w:rPr>
          <w:rFonts w:ascii="Cambria" w:hAnsi="Cambria"/>
          <w:i/>
          <w:iCs/>
          <w:noProof/>
          <w:sz w:val="22"/>
        </w:rPr>
        <w:t>et al.</w:t>
      </w:r>
      <w:r w:rsidRPr="007B64EE">
        <w:rPr>
          <w:rFonts w:ascii="Cambria" w:hAnsi="Cambria"/>
          <w:noProof/>
          <w:sz w:val="22"/>
        </w:rPr>
        <w:t xml:space="preserve"> A comparative encyclopedia of DNA elements in the mouse genome. </w:t>
      </w:r>
      <w:r w:rsidRPr="007B64EE">
        <w:rPr>
          <w:rFonts w:ascii="Cambria" w:hAnsi="Cambria"/>
          <w:i/>
          <w:iCs/>
          <w:noProof/>
          <w:sz w:val="22"/>
        </w:rPr>
        <w:t>Nature</w:t>
      </w:r>
      <w:r w:rsidRPr="007B64EE">
        <w:rPr>
          <w:rFonts w:ascii="Cambria" w:hAnsi="Cambria"/>
          <w:noProof/>
          <w:sz w:val="22"/>
        </w:rPr>
        <w:t xml:space="preserve"> </w:t>
      </w:r>
      <w:r w:rsidRPr="007B64EE">
        <w:rPr>
          <w:rFonts w:ascii="Cambria" w:hAnsi="Cambria"/>
          <w:b/>
          <w:bCs/>
          <w:noProof/>
          <w:sz w:val="22"/>
        </w:rPr>
        <w:t>515,</w:t>
      </w:r>
      <w:r w:rsidRPr="007B64EE">
        <w:rPr>
          <w:rFonts w:ascii="Cambria" w:hAnsi="Cambria"/>
          <w:noProof/>
          <w:sz w:val="22"/>
        </w:rPr>
        <w:t xml:space="preserve"> 355–364 (2014).</w:t>
      </w:r>
    </w:p>
    <w:p w14:paraId="001156E6"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3.</w:t>
      </w:r>
      <w:r w:rsidRPr="007B64EE">
        <w:rPr>
          <w:rFonts w:ascii="Cambria" w:hAnsi="Cambria"/>
          <w:noProof/>
          <w:sz w:val="22"/>
        </w:rPr>
        <w:tab/>
        <w:t xml:space="preserve">Ku, M. </w:t>
      </w:r>
      <w:r w:rsidRPr="007B64EE">
        <w:rPr>
          <w:rFonts w:ascii="Cambria" w:hAnsi="Cambria"/>
          <w:i/>
          <w:iCs/>
          <w:noProof/>
          <w:sz w:val="22"/>
        </w:rPr>
        <w:t>et al.</w:t>
      </w:r>
      <w:r w:rsidRPr="007B64EE">
        <w:rPr>
          <w:rFonts w:ascii="Cambria" w:hAnsi="Cambria"/>
          <w:noProof/>
          <w:sz w:val="22"/>
        </w:rPr>
        <w:t xml:space="preserve"> H2A.Z landscapes and dual modifications in pluripotent and multipotent stem cells underlie complex genome regulatory functions. </w:t>
      </w:r>
      <w:r w:rsidRPr="007B64EE">
        <w:rPr>
          <w:rFonts w:ascii="Cambria" w:hAnsi="Cambria"/>
          <w:i/>
          <w:iCs/>
          <w:noProof/>
          <w:sz w:val="22"/>
        </w:rPr>
        <w:t>Genome Biol.</w:t>
      </w:r>
      <w:r w:rsidRPr="007B64EE">
        <w:rPr>
          <w:rFonts w:ascii="Cambria" w:hAnsi="Cambria"/>
          <w:noProof/>
          <w:sz w:val="22"/>
        </w:rPr>
        <w:t xml:space="preserve"> </w:t>
      </w:r>
      <w:r w:rsidRPr="007B64EE">
        <w:rPr>
          <w:rFonts w:ascii="Cambria" w:hAnsi="Cambria"/>
          <w:b/>
          <w:bCs/>
          <w:noProof/>
          <w:sz w:val="22"/>
        </w:rPr>
        <w:t>13,</w:t>
      </w:r>
      <w:r w:rsidRPr="007B64EE">
        <w:rPr>
          <w:rFonts w:ascii="Cambria" w:hAnsi="Cambria"/>
          <w:noProof/>
          <w:sz w:val="22"/>
        </w:rPr>
        <w:t xml:space="preserve"> R85 (2012).</w:t>
      </w:r>
    </w:p>
    <w:p w14:paraId="343F746C"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4.</w:t>
      </w:r>
      <w:r w:rsidRPr="007B64EE">
        <w:rPr>
          <w:rFonts w:ascii="Cambria" w:hAnsi="Cambria"/>
          <w:noProof/>
          <w:sz w:val="22"/>
        </w:rPr>
        <w:tab/>
        <w:t xml:space="preserve">Mikkelsen, T. S. </w:t>
      </w:r>
      <w:r w:rsidRPr="007B64EE">
        <w:rPr>
          <w:rFonts w:ascii="Cambria" w:hAnsi="Cambria"/>
          <w:i/>
          <w:iCs/>
          <w:noProof/>
          <w:sz w:val="22"/>
        </w:rPr>
        <w:t>et al.</w:t>
      </w:r>
      <w:r w:rsidRPr="007B64EE">
        <w:rPr>
          <w:rFonts w:ascii="Cambria" w:hAnsi="Cambria"/>
          <w:noProof/>
          <w:sz w:val="22"/>
        </w:rPr>
        <w:t xml:space="preserve"> Genome-wide maps of chromatin state in pluripotent and lineage-committed cells. </w:t>
      </w:r>
      <w:r w:rsidRPr="007B64EE">
        <w:rPr>
          <w:rFonts w:ascii="Cambria" w:hAnsi="Cambria"/>
          <w:i/>
          <w:iCs/>
          <w:noProof/>
          <w:sz w:val="22"/>
        </w:rPr>
        <w:t>Nature</w:t>
      </w:r>
      <w:r w:rsidRPr="007B64EE">
        <w:rPr>
          <w:rFonts w:ascii="Cambria" w:hAnsi="Cambria"/>
          <w:noProof/>
          <w:sz w:val="22"/>
        </w:rPr>
        <w:t xml:space="preserve"> </w:t>
      </w:r>
      <w:r w:rsidRPr="007B64EE">
        <w:rPr>
          <w:rFonts w:ascii="Cambria" w:hAnsi="Cambria"/>
          <w:b/>
          <w:bCs/>
          <w:noProof/>
          <w:sz w:val="22"/>
        </w:rPr>
        <w:t>448,</w:t>
      </w:r>
      <w:r w:rsidRPr="007B64EE">
        <w:rPr>
          <w:rFonts w:ascii="Cambria" w:hAnsi="Cambria"/>
          <w:noProof/>
          <w:sz w:val="22"/>
        </w:rPr>
        <w:t xml:space="preserve"> 553–560 (2007).</w:t>
      </w:r>
    </w:p>
    <w:p w14:paraId="016215ED"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5.</w:t>
      </w:r>
      <w:r w:rsidRPr="007B64EE">
        <w:rPr>
          <w:rFonts w:ascii="Cambria" w:hAnsi="Cambria"/>
          <w:noProof/>
          <w:sz w:val="22"/>
        </w:rPr>
        <w:tab/>
        <w:t xml:space="preserve">Raccaud, M. </w:t>
      </w:r>
      <w:r w:rsidRPr="007B64EE">
        <w:rPr>
          <w:rFonts w:ascii="Cambria" w:hAnsi="Cambria"/>
          <w:i/>
          <w:iCs/>
          <w:noProof/>
          <w:sz w:val="22"/>
        </w:rPr>
        <w:t>et al.</w:t>
      </w:r>
      <w:r w:rsidRPr="007B64EE">
        <w:rPr>
          <w:rFonts w:ascii="Cambria" w:hAnsi="Cambria"/>
          <w:noProof/>
          <w:sz w:val="22"/>
        </w:rPr>
        <w:t xml:space="preserve"> Mitotic chromosome binding predicts transcription factor properties in interphase. </w:t>
      </w:r>
      <w:r w:rsidRPr="007B64EE">
        <w:rPr>
          <w:rFonts w:ascii="Cambria" w:hAnsi="Cambria"/>
          <w:i/>
          <w:iCs/>
          <w:noProof/>
          <w:sz w:val="22"/>
        </w:rPr>
        <w:t>Nat. Commun.</w:t>
      </w:r>
      <w:r w:rsidRPr="007B64EE">
        <w:rPr>
          <w:rFonts w:ascii="Cambria" w:hAnsi="Cambria"/>
          <w:noProof/>
          <w:sz w:val="22"/>
        </w:rPr>
        <w:t xml:space="preserve"> </w:t>
      </w:r>
      <w:r w:rsidRPr="007B64EE">
        <w:rPr>
          <w:rFonts w:ascii="Cambria" w:hAnsi="Cambria"/>
          <w:b/>
          <w:bCs/>
          <w:noProof/>
          <w:sz w:val="22"/>
        </w:rPr>
        <w:t>10,</w:t>
      </w:r>
      <w:r w:rsidRPr="007B64EE">
        <w:rPr>
          <w:rFonts w:ascii="Cambria" w:hAnsi="Cambria"/>
          <w:noProof/>
          <w:sz w:val="22"/>
        </w:rPr>
        <w:t xml:space="preserve"> 487 (2019).</w:t>
      </w:r>
    </w:p>
    <w:p w14:paraId="2AEFD92D"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6.</w:t>
      </w:r>
      <w:r w:rsidRPr="007B64EE">
        <w:rPr>
          <w:rFonts w:ascii="Cambria" w:hAnsi="Cambria"/>
          <w:noProof/>
          <w:sz w:val="22"/>
        </w:rPr>
        <w:tab/>
        <w:t xml:space="preserve">Aydin, B. </w:t>
      </w:r>
      <w:r w:rsidRPr="007B64EE">
        <w:rPr>
          <w:rFonts w:ascii="Cambria" w:hAnsi="Cambria"/>
          <w:i/>
          <w:iCs/>
          <w:noProof/>
          <w:sz w:val="22"/>
        </w:rPr>
        <w:t>et al.</w:t>
      </w:r>
      <w:r w:rsidRPr="007B64EE">
        <w:rPr>
          <w:rFonts w:ascii="Cambria" w:hAnsi="Cambria"/>
          <w:noProof/>
          <w:sz w:val="22"/>
        </w:rPr>
        <w:t xml:space="preserve"> Proneural factors Ascl1 and Neurog2 contribute to neuronal subtype identities by establishing distinct chromatin landscapes. </w:t>
      </w:r>
      <w:r w:rsidRPr="007B64EE">
        <w:rPr>
          <w:rFonts w:ascii="Cambria" w:hAnsi="Cambria"/>
          <w:i/>
          <w:iCs/>
          <w:noProof/>
          <w:sz w:val="22"/>
        </w:rPr>
        <w:t>Nat. Neurosci.</w:t>
      </w:r>
      <w:r w:rsidRPr="007B64EE">
        <w:rPr>
          <w:rFonts w:ascii="Cambria" w:hAnsi="Cambria"/>
          <w:noProof/>
          <w:sz w:val="22"/>
        </w:rPr>
        <w:t xml:space="preserve"> </w:t>
      </w:r>
      <w:r w:rsidRPr="007B64EE">
        <w:rPr>
          <w:rFonts w:ascii="Cambria" w:hAnsi="Cambria"/>
          <w:b/>
          <w:bCs/>
          <w:noProof/>
          <w:sz w:val="22"/>
        </w:rPr>
        <w:t>22,</w:t>
      </w:r>
      <w:r w:rsidRPr="007B64EE">
        <w:rPr>
          <w:rFonts w:ascii="Cambria" w:hAnsi="Cambria"/>
          <w:noProof/>
          <w:sz w:val="22"/>
        </w:rPr>
        <w:t xml:space="preserve"> 897–908 (2019).</w:t>
      </w:r>
    </w:p>
    <w:p w14:paraId="4E6B500A"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sidRPr="007B64EE">
        <w:rPr>
          <w:rFonts w:ascii="Cambria" w:hAnsi="Cambria"/>
          <w:noProof/>
          <w:sz w:val="22"/>
        </w:rPr>
        <w:t>7.</w:t>
      </w:r>
      <w:r w:rsidRPr="007B64EE">
        <w:rPr>
          <w:rFonts w:ascii="Cambria" w:hAnsi="Cambria"/>
          <w:noProof/>
          <w:sz w:val="22"/>
        </w:rPr>
        <w:tab/>
        <w:t xml:space="preserve">Donaghey, J. </w:t>
      </w:r>
      <w:r w:rsidRPr="007B64EE">
        <w:rPr>
          <w:rFonts w:ascii="Cambria" w:hAnsi="Cambria"/>
          <w:i/>
          <w:iCs/>
          <w:noProof/>
          <w:sz w:val="22"/>
        </w:rPr>
        <w:t>et al.</w:t>
      </w:r>
      <w:r w:rsidRPr="007B64EE">
        <w:rPr>
          <w:rFonts w:ascii="Cambria" w:hAnsi="Cambria"/>
          <w:noProof/>
          <w:sz w:val="22"/>
        </w:rPr>
        <w:t xml:space="preserve"> Genetic determinants and epigenetic effects of pioneer-factor occupancy. </w:t>
      </w:r>
      <w:r w:rsidRPr="007B64EE">
        <w:rPr>
          <w:rFonts w:ascii="Cambria" w:hAnsi="Cambria"/>
          <w:i/>
          <w:iCs/>
          <w:noProof/>
          <w:sz w:val="22"/>
        </w:rPr>
        <w:t>Nat. Genet.</w:t>
      </w:r>
      <w:r w:rsidRPr="007B64EE">
        <w:rPr>
          <w:rFonts w:ascii="Cambria" w:hAnsi="Cambria"/>
          <w:noProof/>
          <w:sz w:val="22"/>
        </w:rPr>
        <w:t xml:space="preserve"> </w:t>
      </w:r>
      <w:r w:rsidRPr="007B64EE">
        <w:rPr>
          <w:rFonts w:ascii="Cambria" w:hAnsi="Cambria"/>
          <w:b/>
          <w:bCs/>
          <w:noProof/>
          <w:sz w:val="22"/>
        </w:rPr>
        <w:t>50,</w:t>
      </w:r>
      <w:r w:rsidRPr="007B64EE">
        <w:rPr>
          <w:rFonts w:ascii="Cambria" w:hAnsi="Cambria"/>
          <w:noProof/>
          <w:sz w:val="22"/>
        </w:rPr>
        <w:t xml:space="preserve"> 250–258 (2018).</w:t>
      </w:r>
    </w:p>
    <w:p w14:paraId="05EA79EC" w14:textId="77777777" w:rsidR="007B64EE" w:rsidRPr="007B64EE" w:rsidRDefault="007B64EE" w:rsidP="007B64EE">
      <w:pPr>
        <w:widowControl w:val="0"/>
        <w:autoSpaceDE w:val="0"/>
        <w:autoSpaceDN w:val="0"/>
        <w:adjustRightInd w:val="0"/>
        <w:spacing w:line="360" w:lineRule="auto"/>
        <w:ind w:left="640" w:hanging="640"/>
        <w:rPr>
          <w:rFonts w:ascii="Cambria" w:hAnsi="Cambria"/>
          <w:noProof/>
          <w:sz w:val="22"/>
        </w:rPr>
      </w:pPr>
      <w:r>
        <w:rPr>
          <w:b/>
          <w:color w:val="000000" w:themeColor="text1"/>
          <w:sz w:val="22"/>
          <w:szCs w:val="22"/>
        </w:rPr>
        <w:fldChar w:fldCharType="end"/>
      </w:r>
    </w:p>
    <w:p w14:paraId="0F540C48" w14:textId="77777777" w:rsidR="007B64EE" w:rsidRDefault="007B64EE" w:rsidP="007B64EE">
      <w:pPr>
        <w:widowControl w:val="0"/>
        <w:autoSpaceDE w:val="0"/>
        <w:autoSpaceDN w:val="0"/>
        <w:adjustRightInd w:val="0"/>
        <w:spacing w:line="360" w:lineRule="auto"/>
        <w:ind w:left="640" w:hanging="640"/>
      </w:pPr>
    </w:p>
    <w:p w14:paraId="2667ECD1" w14:textId="77777777" w:rsidR="0069284E" w:rsidRDefault="0069284E" w:rsidP="007B64EE">
      <w:pPr>
        <w:widowControl w:val="0"/>
        <w:autoSpaceDE w:val="0"/>
        <w:autoSpaceDN w:val="0"/>
        <w:adjustRightInd w:val="0"/>
        <w:spacing w:line="360" w:lineRule="auto"/>
        <w:ind w:left="640" w:hanging="640"/>
      </w:pPr>
    </w:p>
    <w:sectPr w:rsidR="0069284E" w:rsidSect="00E20C4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81680"/>
    <w:multiLevelType w:val="hybridMultilevel"/>
    <w:tmpl w:val="32E84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10147C"/>
    <w:multiLevelType w:val="hybridMultilevel"/>
    <w:tmpl w:val="2DC091C4"/>
    <w:lvl w:ilvl="0" w:tplc="0409000F">
      <w:start w:val="1"/>
      <w:numFmt w:val="decimal"/>
      <w:lvlText w:val="%1."/>
      <w:lvlJc w:val="left"/>
      <w:pPr>
        <w:ind w:left="1360" w:hanging="360"/>
      </w:p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2" w15:restartNumberingAfterBreak="0">
    <w:nsid w:val="4CE53125"/>
    <w:multiLevelType w:val="hybridMultilevel"/>
    <w:tmpl w:val="117AE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0C40"/>
    <w:rsid w:val="0018068D"/>
    <w:rsid w:val="00186631"/>
    <w:rsid w:val="00383163"/>
    <w:rsid w:val="00421D92"/>
    <w:rsid w:val="005761AA"/>
    <w:rsid w:val="006202FA"/>
    <w:rsid w:val="0069284E"/>
    <w:rsid w:val="006A2855"/>
    <w:rsid w:val="007B64EE"/>
    <w:rsid w:val="009039F0"/>
    <w:rsid w:val="009422FD"/>
    <w:rsid w:val="009868AC"/>
    <w:rsid w:val="009C4BBB"/>
    <w:rsid w:val="00C14B53"/>
    <w:rsid w:val="00C21B91"/>
    <w:rsid w:val="00C309DA"/>
    <w:rsid w:val="00D2795F"/>
    <w:rsid w:val="00DE4C62"/>
    <w:rsid w:val="00E20C40"/>
    <w:rsid w:val="00F903FC"/>
    <w:rsid w:val="00F93B7E"/>
    <w:rsid w:val="00FB7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52EB13"/>
  <w14:defaultImageDpi w14:val="300"/>
  <w15:docId w15:val="{4AD8F4EC-118D-6545-9FEB-63B100A6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0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0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0C40"/>
    <w:rPr>
      <w:color w:val="0000FF" w:themeColor="hyperlink"/>
      <w:u w:val="single"/>
    </w:rPr>
  </w:style>
  <w:style w:type="paragraph" w:styleId="BalloonText">
    <w:name w:val="Balloon Text"/>
    <w:basedOn w:val="Normal"/>
    <w:link w:val="BalloonTextChar"/>
    <w:uiPriority w:val="99"/>
    <w:semiHidden/>
    <w:unhideWhenUsed/>
    <w:rsid w:val="007B64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64EE"/>
    <w:rPr>
      <w:rFonts w:ascii="Lucida Grande" w:hAnsi="Lucida Grande" w:cs="Lucida Grande"/>
      <w:sz w:val="18"/>
      <w:szCs w:val="18"/>
    </w:rPr>
  </w:style>
  <w:style w:type="paragraph" w:styleId="ListParagraph">
    <w:name w:val="List Paragraph"/>
    <w:basedOn w:val="Normal"/>
    <w:uiPriority w:val="34"/>
    <w:qFormat/>
    <w:rsid w:val="007B64EE"/>
    <w:pPr>
      <w:ind w:left="720"/>
      <w:contextualSpacing/>
    </w:pPr>
  </w:style>
  <w:style w:type="paragraph" w:styleId="HTMLPreformatted">
    <w:name w:val="HTML Preformatted"/>
    <w:basedOn w:val="Normal"/>
    <w:link w:val="HTMLPreformattedChar"/>
    <w:uiPriority w:val="99"/>
    <w:semiHidden/>
    <w:unhideWhenUsed/>
    <w:rsid w:val="00DE4C62"/>
    <w:rPr>
      <w:rFonts w:ascii="Courier" w:hAnsi="Courier"/>
      <w:sz w:val="20"/>
      <w:szCs w:val="20"/>
    </w:rPr>
  </w:style>
  <w:style w:type="character" w:customStyle="1" w:styleId="HTMLPreformattedChar">
    <w:name w:val="HTML Preformatted Char"/>
    <w:basedOn w:val="DefaultParagraphFont"/>
    <w:link w:val="HTMLPreformatted"/>
    <w:uiPriority w:val="99"/>
    <w:semiHidden/>
    <w:rsid w:val="00DE4C62"/>
    <w:rPr>
      <w:rFonts w:ascii="Courier" w:hAnsi="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8534">
      <w:bodyDiv w:val="1"/>
      <w:marLeft w:val="0"/>
      <w:marRight w:val="0"/>
      <w:marTop w:val="0"/>
      <w:marBottom w:val="0"/>
      <w:divBdr>
        <w:top w:val="none" w:sz="0" w:space="0" w:color="auto"/>
        <w:left w:val="none" w:sz="0" w:space="0" w:color="auto"/>
        <w:bottom w:val="none" w:sz="0" w:space="0" w:color="auto"/>
        <w:right w:val="none" w:sz="0" w:space="0" w:color="auto"/>
      </w:divBdr>
    </w:div>
    <w:div w:id="216863868">
      <w:bodyDiv w:val="1"/>
      <w:marLeft w:val="0"/>
      <w:marRight w:val="0"/>
      <w:marTop w:val="0"/>
      <w:marBottom w:val="0"/>
      <w:divBdr>
        <w:top w:val="none" w:sz="0" w:space="0" w:color="auto"/>
        <w:left w:val="none" w:sz="0" w:space="0" w:color="auto"/>
        <w:bottom w:val="none" w:sz="0" w:space="0" w:color="auto"/>
        <w:right w:val="none" w:sz="0" w:space="0" w:color="auto"/>
      </w:divBdr>
      <w:divsChild>
        <w:div w:id="2114550166">
          <w:marLeft w:val="0"/>
          <w:marRight w:val="0"/>
          <w:marTop w:val="0"/>
          <w:marBottom w:val="0"/>
          <w:divBdr>
            <w:top w:val="none" w:sz="0" w:space="0" w:color="auto"/>
            <w:left w:val="none" w:sz="0" w:space="0" w:color="auto"/>
            <w:bottom w:val="none" w:sz="0" w:space="0" w:color="auto"/>
            <w:right w:val="none" w:sz="0" w:space="0" w:color="auto"/>
          </w:divBdr>
          <w:divsChild>
            <w:div w:id="580406014">
              <w:marLeft w:val="0"/>
              <w:marRight w:val="0"/>
              <w:marTop w:val="450"/>
              <w:marBottom w:val="450"/>
              <w:divBdr>
                <w:top w:val="none" w:sz="0" w:space="0" w:color="auto"/>
                <w:left w:val="none" w:sz="0" w:space="0" w:color="auto"/>
                <w:bottom w:val="none" w:sz="0" w:space="0" w:color="auto"/>
                <w:right w:val="none" w:sz="0" w:space="0" w:color="auto"/>
              </w:divBdr>
              <w:divsChild>
                <w:div w:id="2068795191">
                  <w:marLeft w:val="0"/>
                  <w:marRight w:val="0"/>
                  <w:marTop w:val="0"/>
                  <w:marBottom w:val="0"/>
                  <w:divBdr>
                    <w:top w:val="none" w:sz="0" w:space="0" w:color="auto"/>
                    <w:left w:val="none" w:sz="0" w:space="0" w:color="auto"/>
                    <w:bottom w:val="none" w:sz="0" w:space="0" w:color="auto"/>
                    <w:right w:val="none" w:sz="0" w:space="0" w:color="auto"/>
                  </w:divBdr>
                  <w:divsChild>
                    <w:div w:id="4415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447271">
      <w:bodyDiv w:val="1"/>
      <w:marLeft w:val="0"/>
      <w:marRight w:val="0"/>
      <w:marTop w:val="0"/>
      <w:marBottom w:val="0"/>
      <w:divBdr>
        <w:top w:val="none" w:sz="0" w:space="0" w:color="auto"/>
        <w:left w:val="none" w:sz="0" w:space="0" w:color="auto"/>
        <w:bottom w:val="none" w:sz="0" w:space="0" w:color="auto"/>
        <w:right w:val="none" w:sz="0" w:space="0" w:color="auto"/>
      </w:divBdr>
      <w:divsChild>
        <w:div w:id="1812214798">
          <w:marLeft w:val="0"/>
          <w:marRight w:val="0"/>
          <w:marTop w:val="0"/>
          <w:marBottom w:val="0"/>
          <w:divBdr>
            <w:top w:val="none" w:sz="0" w:space="0" w:color="auto"/>
            <w:left w:val="none" w:sz="0" w:space="0" w:color="auto"/>
            <w:bottom w:val="none" w:sz="0" w:space="0" w:color="auto"/>
            <w:right w:val="none" w:sz="0" w:space="0" w:color="auto"/>
          </w:divBdr>
          <w:divsChild>
            <w:div w:id="550308207">
              <w:marLeft w:val="0"/>
              <w:marRight w:val="0"/>
              <w:marTop w:val="450"/>
              <w:marBottom w:val="450"/>
              <w:divBdr>
                <w:top w:val="none" w:sz="0" w:space="0" w:color="auto"/>
                <w:left w:val="none" w:sz="0" w:space="0" w:color="auto"/>
                <w:bottom w:val="none" w:sz="0" w:space="0" w:color="auto"/>
                <w:right w:val="none" w:sz="0" w:space="0" w:color="auto"/>
              </w:divBdr>
              <w:divsChild>
                <w:div w:id="1259870147">
                  <w:marLeft w:val="0"/>
                  <w:marRight w:val="0"/>
                  <w:marTop w:val="0"/>
                  <w:marBottom w:val="0"/>
                  <w:divBdr>
                    <w:top w:val="none" w:sz="0" w:space="0" w:color="auto"/>
                    <w:left w:val="none" w:sz="0" w:space="0" w:color="auto"/>
                    <w:bottom w:val="none" w:sz="0" w:space="0" w:color="auto"/>
                    <w:right w:val="none" w:sz="0" w:space="0" w:color="auto"/>
                  </w:divBdr>
                  <w:divsChild>
                    <w:div w:id="7239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382378">
      <w:bodyDiv w:val="1"/>
      <w:marLeft w:val="0"/>
      <w:marRight w:val="0"/>
      <w:marTop w:val="0"/>
      <w:marBottom w:val="0"/>
      <w:divBdr>
        <w:top w:val="none" w:sz="0" w:space="0" w:color="auto"/>
        <w:left w:val="none" w:sz="0" w:space="0" w:color="auto"/>
        <w:bottom w:val="none" w:sz="0" w:space="0" w:color="auto"/>
        <w:right w:val="none" w:sz="0" w:space="0" w:color="auto"/>
      </w:divBdr>
    </w:div>
    <w:div w:id="20730416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nature0600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gb-2012-13-10-r8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8/nature13992" TargetMode="External"/><Relationship Id="rId11" Type="http://schemas.openxmlformats.org/officeDocument/2006/relationships/hyperlink" Target="https://doi.org/10.1038/s41588-017-0034-3" TargetMode="External"/><Relationship Id="rId5" Type="http://schemas.openxmlformats.org/officeDocument/2006/relationships/hyperlink" Target="https://doi.org/10.1016/j.stem.2016.11.006" TargetMode="External"/><Relationship Id="rId10" Type="http://schemas.openxmlformats.org/officeDocument/2006/relationships/hyperlink" Target="https://doi.org/10.1038/s41593-019-0399-y" TargetMode="External"/><Relationship Id="rId4" Type="http://schemas.openxmlformats.org/officeDocument/2006/relationships/webSettings" Target="webSettings.xml"/><Relationship Id="rId9" Type="http://schemas.openxmlformats.org/officeDocument/2006/relationships/hyperlink" Target="https://doi.org/10.1038/s41467-019-0841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5</Pages>
  <Words>15577</Words>
  <Characters>88789</Characters>
  <Application>Microsoft Office Word</Application>
  <DocSecurity>0</DocSecurity>
  <Lines>739</Lines>
  <Paragraphs>208</Paragraphs>
  <ScaleCrop>false</ScaleCrop>
  <Company/>
  <LinksUpToDate>false</LinksUpToDate>
  <CharactersWithSpaces>104158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Divyanshi</dc:creator>
  <cp:keywords/>
  <dc:description/>
  <cp:lastModifiedBy>Shaun Mahony</cp:lastModifiedBy>
  <cp:revision>18</cp:revision>
  <dcterms:created xsi:type="dcterms:W3CDTF">2020-11-12T19:22:00Z</dcterms:created>
  <dcterms:modified xsi:type="dcterms:W3CDTF">2020-11-14T02:40:00Z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http://www.zotero.org/styles/nature</vt:lpwstr>
  </property>
  <property fmtid="{D5CDD505-2E9C-101B-9397-08002B2CF9AE}" pid="3" name="Mendeley Document_1">
    <vt:lpwstr>True</vt:lpwstr>
  </property>
  <property fmtid="{D5CDD505-2E9C-101B-9397-08002B2CF9AE}" pid="4" name="Mendeley Unique User Id_1">
    <vt:lpwstr>1731f87f-79f6-3438-a688-879f68807d61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