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6E3C84" w14:textId="12DF819B" w:rsidR="00CD56D1" w:rsidRPr="0090790E" w:rsidRDefault="00CD56D1" w:rsidP="0090790E">
      <w:pPr>
        <w:spacing w:after="0" w:line="480" w:lineRule="auto"/>
        <w:jc w:val="both"/>
        <w:rPr>
          <w:rFonts w:ascii="Arial" w:hAnsi="Arial" w:cs="Arial"/>
          <w:b/>
          <w:bCs/>
          <w:sz w:val="24"/>
          <w:szCs w:val="24"/>
          <w:u w:val="single"/>
        </w:rPr>
      </w:pPr>
      <w:r w:rsidRPr="0090790E">
        <w:rPr>
          <w:rFonts w:ascii="Arial" w:hAnsi="Arial" w:cs="Arial"/>
          <w:b/>
          <w:bCs/>
          <w:sz w:val="24"/>
          <w:szCs w:val="24"/>
          <w:u w:val="single"/>
        </w:rPr>
        <w:t>Supplemental Results</w:t>
      </w:r>
    </w:p>
    <w:p w14:paraId="6F30EDD0" w14:textId="33CADC32" w:rsidR="00444D86" w:rsidRPr="0090790E" w:rsidRDefault="0010485F" w:rsidP="0090790E">
      <w:pPr>
        <w:spacing w:after="0" w:line="480" w:lineRule="auto"/>
        <w:jc w:val="both"/>
        <w:rPr>
          <w:rFonts w:ascii="Arial" w:hAnsi="Arial" w:cs="Arial"/>
          <w:i/>
          <w:iCs/>
          <w:sz w:val="24"/>
          <w:szCs w:val="24"/>
        </w:rPr>
      </w:pPr>
      <w:r w:rsidRPr="0090790E">
        <w:rPr>
          <w:rFonts w:ascii="Arial" w:hAnsi="Arial" w:cs="Arial"/>
          <w:i/>
          <w:iCs/>
          <w:sz w:val="24"/>
          <w:szCs w:val="24"/>
        </w:rPr>
        <w:t>Admixture and genotype principal components correlate with self-reported race</w:t>
      </w:r>
    </w:p>
    <w:p w14:paraId="34AA155B" w14:textId="46CAE644" w:rsidR="0010485F" w:rsidRPr="0090790E" w:rsidRDefault="0010485F" w:rsidP="0090790E">
      <w:pPr>
        <w:spacing w:after="0" w:line="480" w:lineRule="auto"/>
        <w:jc w:val="both"/>
        <w:rPr>
          <w:rFonts w:ascii="Arial" w:hAnsi="Arial" w:cs="Arial"/>
          <w:sz w:val="24"/>
          <w:szCs w:val="24"/>
        </w:rPr>
      </w:pPr>
      <w:r w:rsidRPr="0090790E">
        <w:rPr>
          <w:rFonts w:ascii="Arial" w:hAnsi="Arial" w:cs="Arial"/>
          <w:sz w:val="24"/>
          <w:szCs w:val="24"/>
        </w:rPr>
        <w:t>In downstream analyses (</w:t>
      </w:r>
      <w:proofErr w:type="spellStart"/>
      <w:r w:rsidRPr="0090790E">
        <w:rPr>
          <w:rFonts w:ascii="Arial" w:hAnsi="Arial" w:cs="Arial"/>
          <w:sz w:val="24"/>
          <w:szCs w:val="24"/>
        </w:rPr>
        <w:t>eQTL</w:t>
      </w:r>
      <w:proofErr w:type="spellEnd"/>
      <w:r w:rsidRPr="0090790E">
        <w:rPr>
          <w:rFonts w:ascii="Arial" w:hAnsi="Arial" w:cs="Arial"/>
          <w:sz w:val="24"/>
          <w:szCs w:val="24"/>
        </w:rPr>
        <w:t xml:space="preserve"> analysis and training of predictive tumor expression), we stratify on self-reported race. We understand that self-reported race is not fully reflective of genetic ancestry. However, </w:t>
      </w:r>
      <w:r w:rsidR="008735B5">
        <w:rPr>
          <w:rFonts w:ascii="Arial" w:hAnsi="Arial" w:cs="Arial"/>
          <w:b/>
          <w:bCs/>
          <w:sz w:val="24"/>
          <w:szCs w:val="24"/>
        </w:rPr>
        <w:t xml:space="preserve">Additional File 2: </w:t>
      </w:r>
      <w:r w:rsidRPr="00073AB2">
        <w:rPr>
          <w:rFonts w:ascii="Arial" w:hAnsi="Arial" w:cs="Arial"/>
          <w:b/>
          <w:bCs/>
          <w:sz w:val="24"/>
          <w:szCs w:val="24"/>
        </w:rPr>
        <w:t xml:space="preserve">Figure </w:t>
      </w:r>
      <w:r w:rsidR="008735B5">
        <w:rPr>
          <w:rFonts w:ascii="Arial" w:hAnsi="Arial" w:cs="Arial"/>
          <w:b/>
          <w:bCs/>
          <w:sz w:val="24"/>
          <w:szCs w:val="24"/>
        </w:rPr>
        <w:t>S</w:t>
      </w:r>
      <w:r w:rsidRPr="00073AB2">
        <w:rPr>
          <w:rFonts w:ascii="Arial" w:hAnsi="Arial" w:cs="Arial"/>
          <w:b/>
          <w:bCs/>
          <w:sz w:val="24"/>
          <w:szCs w:val="24"/>
        </w:rPr>
        <w:t>1</w:t>
      </w:r>
      <w:r w:rsidR="00073AB2">
        <w:rPr>
          <w:rFonts w:ascii="Arial" w:hAnsi="Arial" w:cs="Arial"/>
          <w:b/>
          <w:bCs/>
          <w:sz w:val="24"/>
          <w:szCs w:val="24"/>
        </w:rPr>
        <w:t xml:space="preserve"> </w:t>
      </w:r>
      <w:r w:rsidRPr="0090790E">
        <w:rPr>
          <w:rFonts w:ascii="Arial" w:hAnsi="Arial" w:cs="Arial"/>
          <w:sz w:val="24"/>
          <w:szCs w:val="24"/>
        </w:rPr>
        <w:t>show</w:t>
      </w:r>
      <w:r w:rsidR="00073AB2">
        <w:rPr>
          <w:rFonts w:ascii="Arial" w:hAnsi="Arial" w:cs="Arial"/>
          <w:sz w:val="24"/>
          <w:szCs w:val="24"/>
        </w:rPr>
        <w:t>s</w:t>
      </w:r>
      <w:r w:rsidRPr="0090790E">
        <w:rPr>
          <w:rFonts w:ascii="Arial" w:hAnsi="Arial" w:cs="Arial"/>
          <w:sz w:val="24"/>
          <w:szCs w:val="24"/>
        </w:rPr>
        <w:t xml:space="preserve"> that self-reported race </w:t>
      </w:r>
      <w:r w:rsidR="00461B3E">
        <w:rPr>
          <w:rFonts w:ascii="Arial" w:hAnsi="Arial" w:cs="Arial"/>
          <w:sz w:val="24"/>
          <w:szCs w:val="24"/>
        </w:rPr>
        <w:t xml:space="preserve">correlates strongly </w:t>
      </w:r>
      <w:r w:rsidRPr="0090790E">
        <w:rPr>
          <w:rFonts w:ascii="Arial" w:hAnsi="Arial" w:cs="Arial"/>
          <w:sz w:val="24"/>
          <w:szCs w:val="24"/>
        </w:rPr>
        <w:t>with population stratification in the CBCS. Furthermore, we see a linear relationship between African admixture estimate</w:t>
      </w:r>
      <w:r w:rsidR="00461B3E">
        <w:rPr>
          <w:rFonts w:ascii="Arial" w:hAnsi="Arial" w:cs="Arial"/>
          <w:sz w:val="24"/>
          <w:szCs w:val="24"/>
        </w:rPr>
        <w:t>s</w:t>
      </w:r>
      <w:r w:rsidRPr="0090790E">
        <w:rPr>
          <w:rFonts w:ascii="Arial" w:hAnsi="Arial" w:cs="Arial"/>
          <w:sz w:val="24"/>
          <w:szCs w:val="24"/>
        </w:rPr>
        <w:t xml:space="preserve"> and the first genotype principal component of representative samples from the CBCS cohort that are included in the Alberta Moving Beyond Breast Cancer (AMBER)</w:t>
      </w:r>
      <w:r w:rsidR="00A50F7E" w:rsidRPr="0090790E">
        <w:rPr>
          <w:rFonts w:ascii="Arial" w:hAnsi="Arial" w:cs="Arial"/>
          <w:sz w:val="24"/>
          <w:szCs w:val="24"/>
        </w:rPr>
        <w:t xml:space="preserve"> Cohort Study</w:t>
      </w:r>
      <w:r w:rsidR="00F75C82">
        <w:rPr>
          <w:rFonts w:ascii="Arial" w:hAnsi="Arial" w:cs="Arial"/>
          <w:sz w:val="24"/>
          <w:szCs w:val="24"/>
        </w:rPr>
        <w:t xml:space="preserve"> </w:t>
      </w:r>
      <w:r w:rsidRPr="0090790E">
        <w:rPr>
          <w:rFonts w:ascii="Arial" w:hAnsi="Arial" w:cs="Arial"/>
          <w:sz w:val="24"/>
          <w:szCs w:val="24"/>
        </w:rPr>
        <w:fldChar w:fldCharType="begin" w:fldLock="1"/>
      </w:r>
      <w:r w:rsidR="00BE3EA8">
        <w:rPr>
          <w:rFonts w:ascii="Arial" w:hAnsi="Arial" w:cs="Arial"/>
          <w:sz w:val="24"/>
          <w:szCs w:val="24"/>
        </w:rPr>
        <w:instrText>ADDIN CSL_CITATION {"citationItems":[{"id":"ITEM-1","itemData":{"DOI":"10.3389/fgene.2016.00170","ISSN":"1664-8021","PMID":"27708667","abstract":"Recent genetic admixture coupled with striking differences in incidence of estrogen receptor (ER) breast cancer subtypes, as well as severity, between women of African and European ancestry, provides an excellent rationale for performing admixture mapping in African American women with breast cancer risk. We performed the largest breast cancer admixture mapping study with in African American women to identify novel genomic regions associated with the disease. We conducted a genome-wide admixture scan using 2,624 autosomal ancestry informative markers (AIMs) in 3,629 breast cancer cases (including 1,968 ER-positive, 1093 ER-negative, and 601 triple-negative) and 4,658 controls from the African American Breast Cancer Epidemiology and Risk (AMBER) Consortium, a collaborative study of four large geographically different epidemiological studies of breast cancer in African American women. We used an independent case-control study to test for SNP association in regions with genome-wide significant admixture signals. We found two novel genome-wide significant regions of excess African ancestry, 4p16.1 and 17q25.1, associated with ER-positive breast cancer. Two regions known to harbor breast cancer variants, 10q26 and 11q13, were also identified with excess of African ancestry. Fine-mapping of the identified genome-wide significant regions suggests the presence of significant genetic associations with ER-positive breast cancer in 4p16.1 and 11q13. In summary, we identified three novel genomic regions associated with breast cancer risk by ER status, suggesting that additional previously unidentified variants may contribute to the racial differences in breast cancer risk in the African American population.","author":[{"dropping-particle":"","family":"Ruiz-Narváez","given":"Edward A","non-dropping-particle":"","parse-names":false,"suffix":""},{"dropping-particle":"","family":"Sucheston-Campbell","given":"Lara","non-dropping-particle":"","parse-names":false,"suffix":""},{"dropping-particle":"","family":"Bensen","given":"Jeannette T","non-dropping-particle":"","parse-names":false,"suffix":""},{"dropping-particle":"","family":"Yao","given":"Song","non-dropping-particle":"","parse-names":false,"suffix":""},{"dropping-particle":"","family":"Haddad","given":"Stephen","non-dropping-particle":"","parse-names":false,"suffix":""},{"dropping-particle":"","family":"Haiman","given":"Christopher A","non-dropping-particle":"","parse-names":false,"suffix":""},{"dropping-particle":"V","family":"Bandera","given":"Elisa","non-dropping-particle":"","parse-names":false,"suffix":""},{"dropping-particle":"","family":"John","given":"Esther M","non-dropping-particle":"","parse-names":false,"suffix":""},{"dropping-particle":"","family":"Bernstein","given":"Leslie","non-dropping-particle":"","parse-names":false,"suffix":""},{"dropping-particle":"","family":"Hu","given":"Jennifer J","non-dropping-particle":"","parse-names":false,"suffix":""},{"dropping-particle":"","family":"Ziegler","given":"Regina G","non-dropping-particle":"","parse-names":false,"suffix":""},{"dropping-particle":"","family":"Deming","given":"Sandra L","non-dropping-particle":"","parse-names":false,"suffix":""},{"dropping-particle":"","family":"Olshan","given":"Andrew F","non-dropping-particle":"","parse-names":false,"suffix":""},{"dropping-particle":"","family":"Ambrosone","given":"Christine B","non-dropping-particle":"","parse-names":false,"suffix":""},{"dropping-particle":"","family":"Palmer","given":"Julie R","non-dropping-particle":"","parse-names":false,"suffix":""},{"dropping-particle":"","family":"Lunetta","given":"Kathryn L","non-dropping-particle":"","parse-names":false,"suffix":""}],"container-title":"Frontiers in genetics","id":"ITEM-1","issued":{"date-parts":[["2016"]]},"page":"170","publisher":"Frontiers Media SA","title":"Admixture Mapping of African-American Women in the AMBER Consortium Identifies New Loci for Breast Cancer and Estrogen-Receptor Subtypes.","type":"article-journal","volume":"7"},"uris":["http://www.mendeley.com/documents/?uuid=3871aba3-913a-3687-b429-a3cf8b17b12e"]}],"mendeley":{"formattedCitation":"[1]","plainTextFormattedCitation":"[1]","previouslyFormattedCitation":"[1]"},"properties":{"noteIndex":0},"schema":"https://github.com/citation-style-language/schema/raw/master/csl-citation.json"}</w:instrText>
      </w:r>
      <w:r w:rsidRPr="0090790E">
        <w:rPr>
          <w:rFonts w:ascii="Arial" w:hAnsi="Arial" w:cs="Arial"/>
          <w:sz w:val="24"/>
          <w:szCs w:val="24"/>
        </w:rPr>
        <w:fldChar w:fldCharType="separate"/>
      </w:r>
      <w:r w:rsidR="00F75C82" w:rsidRPr="00F75C82">
        <w:rPr>
          <w:rFonts w:ascii="Arial" w:hAnsi="Arial" w:cs="Arial"/>
          <w:noProof/>
          <w:sz w:val="24"/>
          <w:szCs w:val="24"/>
        </w:rPr>
        <w:t>[1]</w:t>
      </w:r>
      <w:r w:rsidRPr="0090790E">
        <w:rPr>
          <w:rFonts w:ascii="Arial" w:hAnsi="Arial" w:cs="Arial"/>
          <w:sz w:val="24"/>
          <w:szCs w:val="24"/>
        </w:rPr>
        <w:fldChar w:fldCharType="end"/>
      </w:r>
      <w:r w:rsidR="00A50F7E" w:rsidRPr="0090790E">
        <w:rPr>
          <w:rFonts w:ascii="Arial" w:hAnsi="Arial" w:cs="Arial"/>
          <w:sz w:val="24"/>
          <w:szCs w:val="24"/>
        </w:rPr>
        <w:t xml:space="preserve">. For all downstream </w:t>
      </w:r>
      <w:proofErr w:type="spellStart"/>
      <w:r w:rsidR="00A50F7E" w:rsidRPr="0090790E">
        <w:rPr>
          <w:rFonts w:ascii="Arial" w:hAnsi="Arial" w:cs="Arial"/>
          <w:sz w:val="24"/>
          <w:szCs w:val="24"/>
        </w:rPr>
        <w:t>eQTL</w:t>
      </w:r>
      <w:proofErr w:type="spellEnd"/>
      <w:r w:rsidR="00A50F7E" w:rsidRPr="0090790E">
        <w:rPr>
          <w:rFonts w:ascii="Arial" w:hAnsi="Arial" w:cs="Arial"/>
          <w:sz w:val="24"/>
          <w:szCs w:val="24"/>
        </w:rPr>
        <w:t xml:space="preserve"> analysis and tests of associations, we control for the first five principal components of the combined self-reported African American (AA) and self-reported white (WW) genotype matrix, accounting for differences in ancestry prior to stratification by self-reported race. We refer to self-reported race as race throughout this work.</w:t>
      </w:r>
    </w:p>
    <w:p w14:paraId="6613637C" w14:textId="10DC7A0B" w:rsidR="00A50F7E" w:rsidRPr="0090790E" w:rsidRDefault="00A50F7E" w:rsidP="0090790E">
      <w:pPr>
        <w:spacing w:after="0" w:line="480" w:lineRule="auto"/>
        <w:jc w:val="both"/>
        <w:rPr>
          <w:rFonts w:ascii="Arial" w:hAnsi="Arial" w:cs="Arial"/>
          <w:sz w:val="24"/>
          <w:szCs w:val="24"/>
        </w:rPr>
      </w:pPr>
    </w:p>
    <w:p w14:paraId="7542C458" w14:textId="04456309" w:rsidR="00A50F7E" w:rsidRPr="0090790E" w:rsidRDefault="00A50F7E" w:rsidP="0090790E">
      <w:pPr>
        <w:spacing w:after="0" w:line="480" w:lineRule="auto"/>
        <w:jc w:val="both"/>
        <w:rPr>
          <w:rFonts w:ascii="Arial" w:hAnsi="Arial" w:cs="Arial"/>
          <w:sz w:val="24"/>
          <w:szCs w:val="24"/>
        </w:rPr>
      </w:pPr>
      <w:r w:rsidRPr="0090790E">
        <w:rPr>
          <w:rFonts w:ascii="Arial" w:hAnsi="Arial" w:cs="Arial"/>
          <w:i/>
          <w:iCs/>
          <w:sz w:val="24"/>
          <w:szCs w:val="24"/>
        </w:rPr>
        <w:t>Tumor purity adjustment and overlap with healthy tissue eQTLs</w:t>
      </w:r>
    </w:p>
    <w:p w14:paraId="74F4F43C" w14:textId="07A03995" w:rsidR="00A50F7E" w:rsidRPr="0090790E" w:rsidRDefault="00A50F7E" w:rsidP="0090790E">
      <w:pPr>
        <w:spacing w:after="0" w:line="480" w:lineRule="auto"/>
        <w:jc w:val="both"/>
        <w:rPr>
          <w:rFonts w:ascii="Arial" w:hAnsi="Arial" w:cs="Arial"/>
          <w:sz w:val="24"/>
          <w:szCs w:val="24"/>
        </w:rPr>
      </w:pPr>
      <w:proofErr w:type="spellStart"/>
      <w:r w:rsidRPr="0090790E">
        <w:rPr>
          <w:rFonts w:ascii="Arial" w:hAnsi="Arial" w:cs="Arial"/>
          <w:sz w:val="24"/>
          <w:szCs w:val="24"/>
        </w:rPr>
        <w:t>Geeleher</w:t>
      </w:r>
      <w:proofErr w:type="spellEnd"/>
      <w:r w:rsidRPr="0090790E">
        <w:rPr>
          <w:rFonts w:ascii="Arial" w:hAnsi="Arial" w:cs="Arial"/>
          <w:sz w:val="24"/>
          <w:szCs w:val="24"/>
        </w:rPr>
        <w:t xml:space="preserve"> et al. show that only a third of conventional eQTLs in bulk breast cancer tumor expression could be attributed to cancer cells in TCGA</w:t>
      </w:r>
      <w:r w:rsidR="00F75C82">
        <w:rPr>
          <w:rFonts w:ascii="Arial" w:hAnsi="Arial" w:cs="Arial"/>
          <w:sz w:val="24"/>
          <w:szCs w:val="24"/>
        </w:rPr>
        <w:t xml:space="preserve"> </w:t>
      </w:r>
      <w:r w:rsidRPr="0090790E">
        <w:rPr>
          <w:rFonts w:ascii="Arial" w:hAnsi="Arial" w:cs="Arial"/>
          <w:sz w:val="24"/>
          <w:szCs w:val="24"/>
        </w:rPr>
        <w:fldChar w:fldCharType="begin" w:fldLock="1"/>
      </w:r>
      <w:r w:rsidR="00BE3EA8">
        <w:rPr>
          <w:rFonts w:ascii="Arial" w:hAnsi="Arial" w:cs="Arial"/>
          <w:sz w:val="24"/>
          <w:szCs w:val="24"/>
        </w:rPr>
        <w:instrText>ADDIN CSL_CITATION {"citationItems":[{"id":"ITEM-1","itemData":{"DOI":"10.1186/s13059-018-1507-0","ISSN":"1474-760X","abstract":"Expression quantitative trait loci (eQTLs) identified using tumor gene expression data could affect gene expression in cancer cells, tumor-associated normal cells, or both. Here, we have demonstrated a method to identify eQTLs affecting expression in cancer cells by modeling the statistical interaction between genotype and tumor purity. Only one third of breast cancer risk variants, identified as eQTLs from a conventional analysis, could be confidently attributed to cancer cells. The remaining variants could affect cells of the tumor microenvironment, such as immune cells and fibroblasts. Deconvolution of tumor eQTLs will help determine how inherited polymorphisms influence cancer risk, development, and treatment response.","author":[{"dropping-particle":"","family":"Geeleher","given":"Paul","non-dropping-particle":"","parse-names":false,"suffix":""},{"dropping-particle":"","family":"Nath","given":"Aritro","non-dropping-particle":"","parse-names":false,"suffix":""},{"dropping-particle":"","family":"Wang","given":"Fan","non-dropping-particle":"","parse-names":false,"suffix":""},{"dropping-particle":"","family":"Zhang","given":"Zhenyu","non-dropping-particle":"","parse-names":false,"suffix":""},{"dropping-particle":"","family":"Barbeira","given":"Alvaro N.","non-dropping-particle":"","parse-names":false,"suffix":""},{"dropping-particle":"","family":"Fessler","given":"Jessica","non-dropping-particle":"","parse-names":false,"suffix":""},{"dropping-particle":"","family":"Grossman","given":"Robert L.","non-dropping-particle":"","parse-names":false,"suffix":""},{"dropping-particle":"","family":"Seoighe","given":"Cathal","non-dropping-particle":"","parse-names":false,"suffix":""},{"dropping-particle":"","family":"Stephanie Huang","given":"R.","non-dropping-particle":"","parse-names":false,"suffix":""}],"container-title":"Genome Biology","id":"ITEM-1","issue":"1","issued":{"date-parts":[["2018","12","11"]]},"page":"130","publisher":"BioMed Central","title":"Cancer expression quantitative trait loci (eQTLs) can be determined from heterogeneous tumor gene expression data by modeling variation in tumor purity","type":"article-journal","volume":"19"},"uris":["http://www.mendeley.com/documents/?uuid=ad8152f2-18fd-3d08-9312-7905c2a0ef03"]}],"mendeley":{"formattedCitation":"[2]","plainTextFormattedCitation":"[2]","previouslyFormattedCitation":"[2]"},"properties":{"noteIndex":0},"schema":"https://github.com/citation-style-language/schema/raw/master/csl-citation.json"}</w:instrText>
      </w:r>
      <w:r w:rsidRPr="0090790E">
        <w:rPr>
          <w:rFonts w:ascii="Arial" w:hAnsi="Arial" w:cs="Arial"/>
          <w:sz w:val="24"/>
          <w:szCs w:val="24"/>
        </w:rPr>
        <w:fldChar w:fldCharType="separate"/>
      </w:r>
      <w:r w:rsidR="00F75C82" w:rsidRPr="00F75C82">
        <w:rPr>
          <w:rFonts w:ascii="Arial" w:hAnsi="Arial" w:cs="Arial"/>
          <w:noProof/>
          <w:sz w:val="24"/>
          <w:szCs w:val="24"/>
        </w:rPr>
        <w:t>[2]</w:t>
      </w:r>
      <w:r w:rsidRPr="0090790E">
        <w:rPr>
          <w:rFonts w:ascii="Arial" w:hAnsi="Arial" w:cs="Arial"/>
          <w:sz w:val="24"/>
          <w:szCs w:val="24"/>
        </w:rPr>
        <w:fldChar w:fldCharType="end"/>
      </w:r>
      <w:r w:rsidRPr="0090790E">
        <w:rPr>
          <w:rFonts w:ascii="Arial" w:hAnsi="Arial" w:cs="Arial"/>
          <w:sz w:val="24"/>
          <w:szCs w:val="24"/>
        </w:rPr>
        <w:t xml:space="preserve">. We wished to assess the extent to which this observation bore out in CBCS. For this reason, we developed an estimate of tumor purity to use as an adjustment covariate for our </w:t>
      </w:r>
      <w:proofErr w:type="spellStart"/>
      <w:r w:rsidRPr="0090790E">
        <w:rPr>
          <w:rFonts w:ascii="Arial" w:hAnsi="Arial" w:cs="Arial"/>
          <w:sz w:val="24"/>
          <w:szCs w:val="24"/>
        </w:rPr>
        <w:t>eQTL</w:t>
      </w:r>
      <w:proofErr w:type="spellEnd"/>
      <w:r w:rsidRPr="0090790E">
        <w:rPr>
          <w:rFonts w:ascii="Arial" w:hAnsi="Arial" w:cs="Arial"/>
          <w:sz w:val="24"/>
          <w:szCs w:val="24"/>
        </w:rPr>
        <w:t xml:space="preserve"> analysis (see </w:t>
      </w:r>
      <w:r w:rsidRPr="0090790E">
        <w:rPr>
          <w:rFonts w:ascii="Arial" w:hAnsi="Arial" w:cs="Arial"/>
          <w:b/>
          <w:bCs/>
          <w:sz w:val="24"/>
          <w:szCs w:val="24"/>
        </w:rPr>
        <w:t>Methods</w:t>
      </w:r>
      <w:r w:rsidRPr="0090790E">
        <w:rPr>
          <w:rFonts w:ascii="Arial" w:hAnsi="Arial" w:cs="Arial"/>
          <w:sz w:val="24"/>
          <w:szCs w:val="24"/>
        </w:rPr>
        <w:t>). In general, we do not see significant differences in the strength and location of significant eQTLs, as shown in comparative cis-trans plots of all eQTLs across race and adjustment for tumor purity (</w:t>
      </w:r>
      <w:r w:rsidR="008735B5">
        <w:rPr>
          <w:rFonts w:ascii="Arial" w:hAnsi="Arial" w:cs="Arial"/>
          <w:b/>
          <w:bCs/>
          <w:sz w:val="24"/>
          <w:szCs w:val="24"/>
        </w:rPr>
        <w:t xml:space="preserve">Additional File 2: </w:t>
      </w:r>
      <w:r w:rsidRPr="00073AB2">
        <w:rPr>
          <w:rFonts w:ascii="Arial" w:hAnsi="Arial" w:cs="Arial"/>
          <w:b/>
          <w:bCs/>
          <w:sz w:val="24"/>
          <w:szCs w:val="24"/>
        </w:rPr>
        <w:t>Figure</w:t>
      </w:r>
      <w:r w:rsidR="005526E7" w:rsidRPr="00073AB2">
        <w:rPr>
          <w:rFonts w:ascii="Arial" w:hAnsi="Arial" w:cs="Arial"/>
          <w:b/>
          <w:bCs/>
          <w:sz w:val="24"/>
          <w:szCs w:val="24"/>
        </w:rPr>
        <w:t>s</w:t>
      </w:r>
      <w:r w:rsidRPr="00073AB2">
        <w:rPr>
          <w:rFonts w:ascii="Arial" w:hAnsi="Arial" w:cs="Arial"/>
          <w:b/>
          <w:bCs/>
          <w:sz w:val="24"/>
          <w:szCs w:val="24"/>
        </w:rPr>
        <w:t xml:space="preserve"> </w:t>
      </w:r>
      <w:r w:rsidR="008735B5">
        <w:rPr>
          <w:rFonts w:ascii="Arial" w:hAnsi="Arial" w:cs="Arial"/>
          <w:b/>
          <w:bCs/>
          <w:sz w:val="24"/>
          <w:szCs w:val="24"/>
        </w:rPr>
        <w:t>S</w:t>
      </w:r>
      <w:r w:rsidR="00832CFF">
        <w:rPr>
          <w:rFonts w:ascii="Arial" w:hAnsi="Arial" w:cs="Arial"/>
          <w:b/>
          <w:bCs/>
          <w:sz w:val="24"/>
          <w:szCs w:val="24"/>
        </w:rPr>
        <w:t>4</w:t>
      </w:r>
      <w:r w:rsidR="005526E7" w:rsidRPr="00073AB2">
        <w:rPr>
          <w:rFonts w:ascii="Arial" w:hAnsi="Arial" w:cs="Arial"/>
          <w:b/>
          <w:bCs/>
          <w:sz w:val="24"/>
          <w:szCs w:val="24"/>
        </w:rPr>
        <w:t xml:space="preserve"> and </w:t>
      </w:r>
      <w:r w:rsidR="008735B5">
        <w:rPr>
          <w:rFonts w:ascii="Arial" w:hAnsi="Arial" w:cs="Arial"/>
          <w:b/>
          <w:bCs/>
          <w:sz w:val="24"/>
          <w:szCs w:val="24"/>
        </w:rPr>
        <w:t>S</w:t>
      </w:r>
      <w:r w:rsidR="00832CFF">
        <w:rPr>
          <w:rFonts w:ascii="Arial" w:hAnsi="Arial" w:cs="Arial"/>
          <w:b/>
          <w:bCs/>
          <w:sz w:val="24"/>
          <w:szCs w:val="24"/>
        </w:rPr>
        <w:t>5</w:t>
      </w:r>
      <w:r w:rsidRPr="0090790E">
        <w:rPr>
          <w:rFonts w:ascii="Arial" w:hAnsi="Arial" w:cs="Arial"/>
          <w:sz w:val="24"/>
          <w:szCs w:val="24"/>
        </w:rPr>
        <w:t xml:space="preserve">). For most </w:t>
      </w:r>
      <w:r w:rsidRPr="0090790E">
        <w:rPr>
          <w:rFonts w:ascii="Arial" w:hAnsi="Arial" w:cs="Arial"/>
          <w:sz w:val="24"/>
          <w:szCs w:val="24"/>
        </w:rPr>
        <w:lastRenderedPageBreak/>
        <w:t xml:space="preserve">genes, top </w:t>
      </w:r>
      <w:proofErr w:type="spellStart"/>
      <w:r w:rsidRPr="0090790E">
        <w:rPr>
          <w:rFonts w:ascii="Arial" w:hAnsi="Arial" w:cs="Arial"/>
          <w:sz w:val="24"/>
          <w:szCs w:val="24"/>
        </w:rPr>
        <w:t>eQTL</w:t>
      </w:r>
      <w:proofErr w:type="spellEnd"/>
      <w:r w:rsidRPr="0090790E">
        <w:rPr>
          <w:rFonts w:ascii="Arial" w:hAnsi="Arial" w:cs="Arial"/>
          <w:sz w:val="24"/>
          <w:szCs w:val="24"/>
        </w:rPr>
        <w:t xml:space="preserve"> regions</w:t>
      </w:r>
      <w:r w:rsidR="00CD56D1" w:rsidRPr="0090790E">
        <w:rPr>
          <w:rFonts w:ascii="Arial" w:hAnsi="Arial" w:cs="Arial"/>
          <w:sz w:val="24"/>
          <w:szCs w:val="24"/>
        </w:rPr>
        <w:t xml:space="preserve"> with </w:t>
      </w:r>
      <w:r w:rsidR="003E13DD">
        <w:rPr>
          <w:rFonts w:ascii="Arial" w:hAnsi="Arial" w:cs="Arial"/>
          <w:sz w:val="24"/>
          <w:szCs w:val="24"/>
        </w:rPr>
        <w:t>linkage disequilibrium (LD)</w:t>
      </w:r>
      <w:r w:rsidR="00CD56D1" w:rsidRPr="0090790E">
        <w:rPr>
          <w:rFonts w:ascii="Arial" w:hAnsi="Arial" w:cs="Arial"/>
          <w:sz w:val="24"/>
          <w:szCs w:val="24"/>
        </w:rPr>
        <w:t xml:space="preserve"> support had small differences in strength of </w:t>
      </w:r>
      <w:r w:rsidR="00CD56D1" w:rsidRPr="00C144CB">
        <w:rPr>
          <w:rFonts w:ascii="Arial" w:hAnsi="Arial" w:cs="Arial"/>
          <w:sz w:val="24"/>
          <w:szCs w:val="24"/>
        </w:rPr>
        <w:t xml:space="preserve">effect size (Manhattan plot for a representative gene shown in </w:t>
      </w:r>
      <w:r w:rsidR="008735B5">
        <w:rPr>
          <w:rFonts w:ascii="Arial" w:hAnsi="Arial" w:cs="Arial"/>
          <w:b/>
          <w:bCs/>
          <w:sz w:val="24"/>
          <w:szCs w:val="24"/>
        </w:rPr>
        <w:t xml:space="preserve">Additional File 2: </w:t>
      </w:r>
      <w:r w:rsidR="008735B5" w:rsidRPr="00073AB2">
        <w:rPr>
          <w:rFonts w:ascii="Arial" w:hAnsi="Arial" w:cs="Arial"/>
          <w:b/>
          <w:bCs/>
          <w:sz w:val="24"/>
          <w:szCs w:val="24"/>
        </w:rPr>
        <w:t>Figure</w:t>
      </w:r>
      <w:r w:rsidR="008735B5">
        <w:rPr>
          <w:rFonts w:ascii="Arial" w:hAnsi="Arial" w:cs="Arial"/>
          <w:b/>
          <w:bCs/>
          <w:sz w:val="24"/>
          <w:szCs w:val="24"/>
        </w:rPr>
        <w:t xml:space="preserve"> S</w:t>
      </w:r>
      <w:r w:rsidR="009520DF">
        <w:rPr>
          <w:rFonts w:ascii="Arial" w:hAnsi="Arial" w:cs="Arial"/>
          <w:b/>
          <w:bCs/>
          <w:sz w:val="24"/>
          <w:szCs w:val="24"/>
        </w:rPr>
        <w:t>4</w:t>
      </w:r>
      <w:r w:rsidR="00CD56D1" w:rsidRPr="00C144CB">
        <w:rPr>
          <w:rFonts w:ascii="Arial" w:hAnsi="Arial" w:cs="Arial"/>
          <w:sz w:val="24"/>
          <w:szCs w:val="24"/>
        </w:rPr>
        <w:t xml:space="preserve">). Adjusting for tumor purity, at </w:t>
      </w:r>
      <m:oMath>
        <m:r>
          <m:rPr>
            <m:sty m:val="p"/>
          </m:rPr>
          <w:rPr>
            <w:rFonts w:ascii="Cambria Math" w:hAnsi="Cambria Math" w:cs="Arial"/>
            <w:sz w:val="24"/>
            <w:szCs w:val="24"/>
          </w:rPr>
          <m:t>BBFDR&lt;0.05</m:t>
        </m:r>
      </m:oMath>
      <w:r w:rsidR="00A44EC2">
        <w:rPr>
          <w:rFonts w:ascii="Arial" w:eastAsiaTheme="minorEastAsia" w:hAnsi="Arial" w:cs="Arial"/>
          <w:sz w:val="24"/>
          <w:szCs w:val="24"/>
        </w:rPr>
        <w:t xml:space="preserve"> and after quality control (see </w:t>
      </w:r>
      <w:r w:rsidR="00A44EC2" w:rsidRPr="00B90857">
        <w:rPr>
          <w:rFonts w:ascii="Arial" w:eastAsiaTheme="minorEastAsia" w:hAnsi="Arial" w:cs="Arial"/>
          <w:b/>
          <w:bCs/>
          <w:sz w:val="24"/>
          <w:szCs w:val="24"/>
        </w:rPr>
        <w:t>Methods</w:t>
      </w:r>
      <w:r w:rsidR="00A44EC2">
        <w:rPr>
          <w:rFonts w:ascii="Arial" w:eastAsiaTheme="minorEastAsia" w:hAnsi="Arial" w:cs="Arial"/>
          <w:sz w:val="24"/>
          <w:szCs w:val="24"/>
        </w:rPr>
        <w:t>)</w:t>
      </w:r>
      <w:r w:rsidR="00CD56D1" w:rsidRPr="00C144CB">
        <w:rPr>
          <w:rFonts w:ascii="Arial" w:eastAsiaTheme="minorEastAsia" w:hAnsi="Arial" w:cs="Arial"/>
          <w:sz w:val="24"/>
          <w:szCs w:val="24"/>
        </w:rPr>
        <w:t xml:space="preserve">, we identified </w:t>
      </w:r>
      <w:r w:rsidR="006F48D5" w:rsidRPr="00C144CB">
        <w:rPr>
          <w:rFonts w:ascii="Arial" w:eastAsiaTheme="minorEastAsia" w:hAnsi="Arial" w:cs="Arial"/>
          <w:sz w:val="24"/>
          <w:szCs w:val="24"/>
        </w:rPr>
        <w:t xml:space="preserve">266 </w:t>
      </w:r>
      <w:r w:rsidR="00CD56D1" w:rsidRPr="00C144CB">
        <w:rPr>
          <w:rFonts w:ascii="Arial" w:eastAsiaTheme="minorEastAsia" w:hAnsi="Arial" w:cs="Arial"/>
          <w:sz w:val="24"/>
          <w:szCs w:val="24"/>
        </w:rPr>
        <w:t xml:space="preserve">cis-eQTLs and </w:t>
      </w:r>
      <w:r w:rsidR="006F48D5" w:rsidRPr="00C144CB">
        <w:rPr>
          <w:rFonts w:ascii="Arial" w:eastAsiaTheme="minorEastAsia" w:hAnsi="Arial" w:cs="Arial"/>
          <w:sz w:val="24"/>
          <w:szCs w:val="24"/>
        </w:rPr>
        <w:t>84</w:t>
      </w:r>
      <w:r w:rsidR="00CD56D1" w:rsidRPr="00C144CB">
        <w:rPr>
          <w:rFonts w:ascii="Arial" w:eastAsiaTheme="minorEastAsia" w:hAnsi="Arial" w:cs="Arial"/>
          <w:sz w:val="24"/>
          <w:szCs w:val="24"/>
        </w:rPr>
        <w:t xml:space="preserve"> trans-eQTLs in the AA sample across </w:t>
      </w:r>
      <w:r w:rsidR="005C5056" w:rsidRPr="00C144CB">
        <w:rPr>
          <w:rFonts w:ascii="Arial" w:eastAsiaTheme="minorEastAsia" w:hAnsi="Arial" w:cs="Arial"/>
          <w:sz w:val="24"/>
          <w:szCs w:val="24"/>
        </w:rPr>
        <w:t>3</w:t>
      </w:r>
      <w:r w:rsidR="00C84433" w:rsidRPr="00C144CB">
        <w:rPr>
          <w:rFonts w:ascii="Arial" w:eastAsiaTheme="minorEastAsia" w:hAnsi="Arial" w:cs="Arial"/>
          <w:sz w:val="24"/>
          <w:szCs w:val="24"/>
        </w:rPr>
        <w:t>6</w:t>
      </w:r>
      <w:r w:rsidR="00CD56D1" w:rsidRPr="00C144CB">
        <w:rPr>
          <w:rFonts w:ascii="Arial" w:eastAsiaTheme="minorEastAsia" w:hAnsi="Arial" w:cs="Arial"/>
          <w:sz w:val="24"/>
          <w:szCs w:val="24"/>
        </w:rPr>
        <w:t xml:space="preserve"> eGenes, and 63</w:t>
      </w:r>
      <w:r w:rsidR="0084258D" w:rsidRPr="00C144CB">
        <w:rPr>
          <w:rFonts w:ascii="Arial" w:eastAsiaTheme="minorEastAsia" w:hAnsi="Arial" w:cs="Arial"/>
          <w:sz w:val="24"/>
          <w:szCs w:val="24"/>
        </w:rPr>
        <w:t>4</w:t>
      </w:r>
      <w:r w:rsidR="00CD56D1" w:rsidRPr="00C144CB">
        <w:rPr>
          <w:rFonts w:ascii="Arial" w:eastAsiaTheme="minorEastAsia" w:hAnsi="Arial" w:cs="Arial"/>
          <w:sz w:val="24"/>
          <w:szCs w:val="24"/>
        </w:rPr>
        <w:t xml:space="preserve"> cis-eQTLs and </w:t>
      </w:r>
      <w:r w:rsidR="0084258D" w:rsidRPr="00C144CB">
        <w:rPr>
          <w:rFonts w:ascii="Arial" w:eastAsiaTheme="minorEastAsia" w:hAnsi="Arial" w:cs="Arial"/>
          <w:sz w:val="24"/>
          <w:szCs w:val="24"/>
        </w:rPr>
        <w:t>14</w:t>
      </w:r>
      <w:r w:rsidR="00CD56D1" w:rsidRPr="00C144CB">
        <w:rPr>
          <w:rFonts w:ascii="Arial" w:eastAsiaTheme="minorEastAsia" w:hAnsi="Arial" w:cs="Arial"/>
          <w:sz w:val="24"/>
          <w:szCs w:val="24"/>
        </w:rPr>
        <w:t xml:space="preserve"> trans-eQTLs in the WW sample across </w:t>
      </w:r>
      <w:r w:rsidR="005C5056" w:rsidRPr="00C144CB">
        <w:rPr>
          <w:rFonts w:ascii="Arial" w:eastAsiaTheme="minorEastAsia" w:hAnsi="Arial" w:cs="Arial"/>
          <w:sz w:val="24"/>
          <w:szCs w:val="24"/>
        </w:rPr>
        <w:t>2</w:t>
      </w:r>
      <w:r w:rsidR="0084258D" w:rsidRPr="00C144CB">
        <w:rPr>
          <w:rFonts w:ascii="Arial" w:eastAsiaTheme="minorEastAsia" w:hAnsi="Arial" w:cs="Arial"/>
          <w:sz w:val="24"/>
          <w:szCs w:val="24"/>
        </w:rPr>
        <w:t>3</w:t>
      </w:r>
      <w:r w:rsidR="00CD56D1" w:rsidRPr="00C144CB">
        <w:rPr>
          <w:rFonts w:ascii="Arial" w:eastAsiaTheme="minorEastAsia" w:hAnsi="Arial" w:cs="Arial"/>
          <w:sz w:val="24"/>
          <w:szCs w:val="24"/>
        </w:rPr>
        <w:t xml:space="preserve"> eGenes, shown in </w:t>
      </w:r>
      <w:r w:rsidR="008735B5">
        <w:rPr>
          <w:rFonts w:ascii="Arial" w:hAnsi="Arial" w:cs="Arial"/>
          <w:b/>
          <w:bCs/>
          <w:sz w:val="24"/>
          <w:szCs w:val="24"/>
        </w:rPr>
        <w:t xml:space="preserve">Additional File 2: </w:t>
      </w:r>
      <w:r w:rsidR="008735B5" w:rsidRPr="00073AB2">
        <w:rPr>
          <w:rFonts w:ascii="Arial" w:hAnsi="Arial" w:cs="Arial"/>
          <w:b/>
          <w:bCs/>
          <w:sz w:val="24"/>
          <w:szCs w:val="24"/>
        </w:rPr>
        <w:t xml:space="preserve">Figure </w:t>
      </w:r>
      <w:r w:rsidR="008735B5">
        <w:rPr>
          <w:rFonts w:ascii="Arial" w:hAnsi="Arial" w:cs="Arial"/>
          <w:b/>
          <w:bCs/>
          <w:sz w:val="24"/>
          <w:szCs w:val="24"/>
        </w:rPr>
        <w:t>S</w:t>
      </w:r>
      <w:r w:rsidR="009520DF">
        <w:rPr>
          <w:rFonts w:ascii="Arial" w:hAnsi="Arial" w:cs="Arial"/>
          <w:b/>
          <w:bCs/>
          <w:sz w:val="24"/>
          <w:szCs w:val="24"/>
        </w:rPr>
        <w:t>5</w:t>
      </w:r>
      <w:r w:rsidR="00CD56D1" w:rsidRPr="00C144CB">
        <w:rPr>
          <w:rFonts w:ascii="Arial" w:hAnsi="Arial" w:cs="Arial"/>
          <w:sz w:val="24"/>
          <w:szCs w:val="24"/>
        </w:rPr>
        <w:t xml:space="preserve">. </w:t>
      </w:r>
      <w:r w:rsidR="00C144CB" w:rsidRPr="00C144CB">
        <w:rPr>
          <w:rFonts w:ascii="Arial" w:hAnsi="Arial" w:cs="Arial"/>
          <w:sz w:val="24"/>
          <w:szCs w:val="24"/>
        </w:rPr>
        <w:t>All</w:t>
      </w:r>
      <w:r w:rsidR="00CD56D1" w:rsidRPr="00C144CB">
        <w:rPr>
          <w:rFonts w:ascii="Arial" w:hAnsi="Arial" w:cs="Arial"/>
          <w:sz w:val="24"/>
          <w:szCs w:val="24"/>
        </w:rPr>
        <w:t xml:space="preserve"> WW eGenes, adjusting for tumor purity, are in common with WW eGenes from bulk tumor expression, and 3</w:t>
      </w:r>
      <w:r w:rsidR="00C144CB" w:rsidRPr="00C144CB">
        <w:rPr>
          <w:rFonts w:ascii="Arial" w:hAnsi="Arial" w:cs="Arial"/>
          <w:sz w:val="24"/>
          <w:szCs w:val="24"/>
        </w:rPr>
        <w:t>2</w:t>
      </w:r>
      <w:r w:rsidR="00CD56D1" w:rsidRPr="00C144CB">
        <w:rPr>
          <w:rFonts w:ascii="Arial" w:hAnsi="Arial" w:cs="Arial"/>
          <w:sz w:val="24"/>
          <w:szCs w:val="24"/>
        </w:rPr>
        <w:t xml:space="preserve"> of </w:t>
      </w:r>
      <w:r w:rsidR="00C144CB" w:rsidRPr="00C144CB">
        <w:rPr>
          <w:rFonts w:ascii="Arial" w:hAnsi="Arial" w:cs="Arial"/>
          <w:sz w:val="24"/>
          <w:szCs w:val="24"/>
        </w:rPr>
        <w:t xml:space="preserve">36 </w:t>
      </w:r>
      <w:r w:rsidR="00CD56D1" w:rsidRPr="00C144CB">
        <w:rPr>
          <w:rFonts w:ascii="Arial" w:hAnsi="Arial" w:cs="Arial"/>
          <w:sz w:val="24"/>
          <w:szCs w:val="24"/>
        </w:rPr>
        <w:t>AA eGenes, adjusting for tumor purity, are in common with AA eGenes from bulk tumor expression.</w:t>
      </w:r>
      <w:r w:rsidR="00E21706">
        <w:rPr>
          <w:rFonts w:ascii="Arial" w:hAnsi="Arial" w:cs="Arial"/>
          <w:sz w:val="24"/>
          <w:szCs w:val="24"/>
        </w:rPr>
        <w:t xml:space="preserve"> </w:t>
      </w:r>
      <w:r w:rsidR="00CD56D1" w:rsidRPr="00C144CB">
        <w:rPr>
          <w:rFonts w:ascii="Arial" w:hAnsi="Arial" w:cs="Arial"/>
          <w:sz w:val="24"/>
          <w:szCs w:val="24"/>
        </w:rPr>
        <w:t xml:space="preserve">Top eQTLs for eGenes remain largely the same across adjustment for tumor purity. </w:t>
      </w:r>
      <w:r w:rsidR="00FE5C6A">
        <w:rPr>
          <w:rFonts w:ascii="Arial" w:hAnsi="Arial" w:cs="Arial"/>
          <w:sz w:val="24"/>
          <w:szCs w:val="24"/>
        </w:rPr>
        <w:t xml:space="preserve">Summary statistics for these </w:t>
      </w:r>
      <w:r w:rsidR="00CD56D1" w:rsidRPr="00C144CB">
        <w:rPr>
          <w:rFonts w:ascii="Arial" w:hAnsi="Arial" w:cs="Arial"/>
          <w:sz w:val="24"/>
          <w:szCs w:val="24"/>
        </w:rPr>
        <w:t>eQTLs are provided</w:t>
      </w:r>
      <w:r w:rsidR="00FE5C6A">
        <w:rPr>
          <w:rFonts w:ascii="Arial" w:hAnsi="Arial" w:cs="Arial"/>
          <w:sz w:val="24"/>
          <w:szCs w:val="24"/>
        </w:rPr>
        <w:t xml:space="preserve">, as mentioned in </w:t>
      </w:r>
      <w:r w:rsidR="00FE5C6A">
        <w:rPr>
          <w:rFonts w:ascii="Arial" w:hAnsi="Arial" w:cs="Arial"/>
          <w:b/>
          <w:bCs/>
          <w:sz w:val="24"/>
          <w:szCs w:val="24"/>
        </w:rPr>
        <w:t>Availability of data and materials</w:t>
      </w:r>
      <w:r w:rsidR="00CD56D1" w:rsidRPr="0090790E">
        <w:rPr>
          <w:rFonts w:ascii="Arial" w:hAnsi="Arial" w:cs="Arial"/>
          <w:sz w:val="24"/>
          <w:szCs w:val="24"/>
        </w:rPr>
        <w:t>.</w:t>
      </w:r>
      <w:r w:rsidR="002B2D0D">
        <w:rPr>
          <w:rFonts w:ascii="Arial" w:hAnsi="Arial" w:cs="Arial"/>
          <w:sz w:val="24"/>
          <w:szCs w:val="24"/>
        </w:rPr>
        <w:t xml:space="preserve"> Due to limited differences when we adjust for tumor purity, all downstream analyses do not involve our computational estimate of tumor purity.</w:t>
      </w:r>
    </w:p>
    <w:p w14:paraId="08860A13" w14:textId="193D2BFC" w:rsidR="00CD56D1" w:rsidRPr="0090790E" w:rsidRDefault="00CD56D1" w:rsidP="0090790E">
      <w:pPr>
        <w:spacing w:after="0" w:line="480" w:lineRule="auto"/>
        <w:jc w:val="both"/>
        <w:rPr>
          <w:rFonts w:ascii="Arial" w:hAnsi="Arial" w:cs="Arial"/>
          <w:sz w:val="24"/>
          <w:szCs w:val="24"/>
        </w:rPr>
      </w:pPr>
    </w:p>
    <w:p w14:paraId="696564DB" w14:textId="4F0F7FB4" w:rsidR="002C257D" w:rsidRDefault="00CD56D1" w:rsidP="0035598A">
      <w:pPr>
        <w:autoSpaceDE w:val="0"/>
        <w:autoSpaceDN w:val="0"/>
        <w:adjustRightInd w:val="0"/>
        <w:spacing w:after="0" w:line="480" w:lineRule="auto"/>
        <w:jc w:val="both"/>
        <w:rPr>
          <w:rFonts w:ascii="Arial" w:hAnsi="Arial" w:cs="Arial"/>
          <w:sz w:val="24"/>
          <w:szCs w:val="24"/>
        </w:rPr>
      </w:pPr>
      <w:r w:rsidRPr="0090790E">
        <w:rPr>
          <w:rFonts w:ascii="Arial" w:hAnsi="Arial" w:cs="Arial"/>
          <w:sz w:val="24"/>
          <w:szCs w:val="24"/>
        </w:rPr>
        <w:t xml:space="preserve">We do not observe the same difference in eQTLs </w:t>
      </w:r>
      <w:r w:rsidR="005526E7">
        <w:rPr>
          <w:rFonts w:ascii="Arial" w:hAnsi="Arial" w:cs="Arial"/>
          <w:sz w:val="24"/>
          <w:szCs w:val="24"/>
        </w:rPr>
        <w:t xml:space="preserve">across adjustment for tumor purity </w:t>
      </w:r>
      <w:r w:rsidRPr="0090790E">
        <w:rPr>
          <w:rFonts w:ascii="Arial" w:hAnsi="Arial" w:cs="Arial"/>
          <w:sz w:val="24"/>
          <w:szCs w:val="24"/>
        </w:rPr>
        <w:t xml:space="preserve">as </w:t>
      </w:r>
      <w:r w:rsidR="005526E7">
        <w:rPr>
          <w:rFonts w:ascii="Arial" w:hAnsi="Arial" w:cs="Arial"/>
          <w:sz w:val="24"/>
          <w:szCs w:val="24"/>
        </w:rPr>
        <w:t xml:space="preserve">in </w:t>
      </w:r>
      <w:proofErr w:type="spellStart"/>
      <w:r w:rsidRPr="0090790E">
        <w:rPr>
          <w:rFonts w:ascii="Arial" w:hAnsi="Arial" w:cs="Arial"/>
          <w:sz w:val="24"/>
          <w:szCs w:val="24"/>
        </w:rPr>
        <w:t>Geeleher</w:t>
      </w:r>
      <w:proofErr w:type="spellEnd"/>
      <w:r w:rsidRPr="0090790E">
        <w:rPr>
          <w:rFonts w:ascii="Arial" w:hAnsi="Arial" w:cs="Arial"/>
          <w:sz w:val="24"/>
          <w:szCs w:val="24"/>
        </w:rPr>
        <w:t xml:space="preserve"> et al</w:t>
      </w:r>
      <w:r w:rsidR="00F75C82">
        <w:rPr>
          <w:rFonts w:ascii="Arial" w:hAnsi="Arial" w:cs="Arial"/>
          <w:sz w:val="24"/>
          <w:szCs w:val="24"/>
        </w:rPr>
        <w:t xml:space="preserve"> </w:t>
      </w:r>
      <w:r w:rsidRPr="0090790E">
        <w:rPr>
          <w:rFonts w:ascii="Arial" w:hAnsi="Arial" w:cs="Arial"/>
          <w:sz w:val="24"/>
          <w:szCs w:val="24"/>
        </w:rPr>
        <w:fldChar w:fldCharType="begin" w:fldLock="1"/>
      </w:r>
      <w:r w:rsidR="00BE3EA8">
        <w:rPr>
          <w:rFonts w:ascii="Arial" w:hAnsi="Arial" w:cs="Arial"/>
          <w:sz w:val="24"/>
          <w:szCs w:val="24"/>
        </w:rPr>
        <w:instrText>ADDIN CSL_CITATION {"citationItems":[{"id":"ITEM-1","itemData":{"DOI":"10.1186/s13059-018-1507-0","ISSN":"1474-760X","abstract":"Expression quantitative trait loci (eQTLs) identified using tumor gene expression data could affect gene expression in cancer cells, tumor-associated normal cells, or both. Here, we have demonstrated a method to identify eQTLs affecting expression in cancer cells by modeling the statistical interaction between genotype and tumor purity. Only one third of breast cancer risk variants, identified as eQTLs from a conventional analysis, could be confidently attributed to cancer cells. The remaining variants could affect cells of the tumor microenvironment, such as immune cells and fibroblasts. Deconvolution of tumor eQTLs will help determine how inherited polymorphisms influence cancer risk, development, and treatment response.","author":[{"dropping-particle":"","family":"Geeleher","given":"Paul","non-dropping-particle":"","parse-names":false,"suffix":""},{"dropping-particle":"","family":"Nath","given":"Aritro","non-dropping-particle":"","parse-names":false,"suffix":""},{"dropping-particle":"","family":"Wang","given":"Fan","non-dropping-particle":"","parse-names":false,"suffix":""},{"dropping-particle":"","family":"Zhang","given":"Zhenyu","non-dropping-particle":"","parse-names":false,"suffix":""},{"dropping-particle":"","family":"Barbeira","given":"Alvaro N.","non-dropping-particle":"","parse-names":false,"suffix":""},{"dropping-particle":"","family":"Fessler","given":"Jessica","non-dropping-particle":"","parse-names":false,"suffix":""},{"dropping-particle":"","family":"Grossman","given":"Robert L.","non-dropping-particle":"","parse-names":false,"suffix":""},{"dropping-particle":"","family":"Seoighe","given":"Cathal","non-dropping-particle":"","parse-names":false,"suffix":""},{"dropping-particle":"","family":"Stephanie Huang","given":"R.","non-dropping-particle":"","parse-names":false,"suffix":""}],"container-title":"Genome Biology","id":"ITEM-1","issue":"1","issued":{"date-parts":[["2018","12","11"]]},"page":"130","publisher":"BioMed Central","title":"Cancer expression quantitative trait loci (eQTLs) can be determined from heterogeneous tumor gene expression data by modeling variation in tumor purity","type":"article-journal","volume":"19"},"uris":["http://www.mendeley.com/documents/?uuid=ad8152f2-18fd-3d08-9312-7905c2a0ef03"]}],"mendeley":{"formattedCitation":"[2]","plainTextFormattedCitation":"[2]","previouslyFormattedCitation":"[2]"},"properties":{"noteIndex":0},"schema":"https://github.com/citation-style-language/schema/raw/master/csl-citation.json"}</w:instrText>
      </w:r>
      <w:r w:rsidRPr="0090790E">
        <w:rPr>
          <w:rFonts w:ascii="Arial" w:hAnsi="Arial" w:cs="Arial"/>
          <w:sz w:val="24"/>
          <w:szCs w:val="24"/>
        </w:rPr>
        <w:fldChar w:fldCharType="separate"/>
      </w:r>
      <w:r w:rsidR="00F75C82" w:rsidRPr="00F75C82">
        <w:rPr>
          <w:rFonts w:ascii="Arial" w:hAnsi="Arial" w:cs="Arial"/>
          <w:noProof/>
          <w:sz w:val="24"/>
          <w:szCs w:val="24"/>
        </w:rPr>
        <w:t>[2]</w:t>
      </w:r>
      <w:r w:rsidRPr="0090790E">
        <w:rPr>
          <w:rFonts w:ascii="Arial" w:hAnsi="Arial" w:cs="Arial"/>
          <w:sz w:val="24"/>
          <w:szCs w:val="24"/>
        </w:rPr>
        <w:fldChar w:fldCharType="end"/>
      </w:r>
      <w:r w:rsidRPr="0090790E">
        <w:rPr>
          <w:rFonts w:ascii="Arial" w:hAnsi="Arial" w:cs="Arial"/>
          <w:sz w:val="24"/>
          <w:szCs w:val="24"/>
        </w:rPr>
        <w:t xml:space="preserve">. The </w:t>
      </w:r>
      <w:proofErr w:type="spellStart"/>
      <w:r w:rsidRPr="0090790E">
        <w:rPr>
          <w:rFonts w:ascii="Arial" w:hAnsi="Arial" w:cs="Arial"/>
          <w:sz w:val="24"/>
          <w:szCs w:val="24"/>
        </w:rPr>
        <w:t>Nanostring</w:t>
      </w:r>
      <w:proofErr w:type="spellEnd"/>
      <w:r w:rsidRPr="0090790E">
        <w:rPr>
          <w:rFonts w:ascii="Arial" w:hAnsi="Arial" w:cs="Arial"/>
          <w:sz w:val="24"/>
          <w:szCs w:val="24"/>
        </w:rPr>
        <w:t xml:space="preserve"> expression data from CBCS includes only 417 genes, all of which were selected for the panel because of their involvement in breast cancer tumorigenesis, biology, or outcome disparities due to race. Furthermore, our normalization procedure involves the RUV method, which accounts for unwanted technical and biological variation, estimated from the distributions of housekeeping negative controls</w:t>
      </w:r>
      <w:r w:rsidR="00285E45">
        <w:rPr>
          <w:rFonts w:ascii="Arial" w:hAnsi="Arial" w:cs="Arial"/>
          <w:sz w:val="24"/>
          <w:szCs w:val="24"/>
        </w:rPr>
        <w:t xml:space="preserve"> </w:t>
      </w:r>
      <w:r w:rsidRPr="0090790E">
        <w:rPr>
          <w:rFonts w:ascii="Arial" w:hAnsi="Arial" w:cs="Arial"/>
          <w:sz w:val="24"/>
          <w:szCs w:val="24"/>
        </w:rPr>
        <w:fldChar w:fldCharType="begin" w:fldLock="1"/>
      </w:r>
      <w:r w:rsidR="00BE3EA8">
        <w:rPr>
          <w:rFonts w:ascii="Arial" w:hAnsi="Arial" w:cs="Arial"/>
          <w:sz w:val="24"/>
          <w:szCs w:val="24"/>
        </w:rPr>
        <w:instrText>ADDIN CSL_CITATION {"citationItems":[{"id":"ITEM-1","itemData":{"DOI":"10.1093/jnci/djx135","ISSN":"1460-2105","PMID":"28859290","abstract":"Background African American breast cancer patients have lower frequency of hormone receptor-positive (HR+)/human epidermal growth factor receptor 2 (HER2)-negative disease and higher subtype-specific mortality. Racial differences in molecular subtype within clinically defined subgroups are not well understood. Methods Using data and biospecimens from the population-based Carolina Breast Cancer Study (CBCS) Phase 3 (2008-2013), we classified 980 invasive breast cancers using RNA expression-based PAM50 subtype and recurrence (ROR) score that reflects proliferation and tumor size. Molecular subtypes (Luminal A, Luminal B, HER2-enriched, and Basal-like) and ROR scores (high vs low/medium) were compared by race (blacks vs whites) and age (≤50 years vs &gt; 50 years) using chi-square tests and analysis of variance tests. Results Black women of all ages had a statistically significantly lower frequency of Luminal A breast cancer (25.4% and 33.6% in blacks vs 42.8% and 52.1% in whites; younger and older, respectively). All other subtype frequencies were higher in black women (case-only odds ratio [OR] = 3.11, 95% confidence interval [CI] = 2.22 to 4.37, for Basal-like; OR = 1.45, 95% CI = 1.02 to 2.06, for Luminal B; OR = 2.04, 95% CI = 1.33 to 3.13, for HER2-enriched). Among clinically HR+/HER2- cases, Luminal A subtype was less common and ROR scores were statistically significantly higher among black women. Conclusions Multigene assays highlight racial disparities in tumor subtype distribution that persist even in clinically defined subgroups. Differences in tumor biology (eg, HER2-enriched status) may be targetable to reduce disparities among clinically ER+/HER2- cases.","author":[{"dropping-particle":"","family":"Troester","given":"Melissa A","non-dropping-particle":"","parse-names":false,"suffix":""},{"dropping-particle":"","family":"Sun","given":"Xuezheng","non-dropping-particle":"","parse-names":false,"suffix":""},{"dropping-particle":"","family":"Allott","given":"Emma H","non-dropping-particle":"","parse-names":false,"suffix":""},{"dropping-particle":"","family":"Geradts","given":"Joseph","non-dropping-particle":"","parse-names":false,"suffix":""},{"dropping-particle":"","family":"Cohen","given":"Stephanie M","non-dropping-particle":"","parse-names":false,"suffix":""},{"dropping-particle":"","family":"Tse","given":"Chiu-Kit","non-dropping-particle":"","parse-names":false,"suffix":""},{"dropping-particle":"","family":"Kirk","given":"Erin L","non-dropping-particle":"","parse-names":false,"suffix":""},{"dropping-particle":"","family":"Thorne","given":"Leigh B","non-dropping-particle":"","parse-names":false,"suffix":""},{"dropping-particle":"","family":"Mathews","given":"Michelle","non-dropping-particle":"","parse-names":false,"suffix":""},{"dropping-particle":"","family":"Li","given":"Yan","non-dropping-particle":"","parse-names":false,"suffix":""},{"dropping-particle":"","family":"Hu","given":"Zhiyuan","non-dropping-particle":"","parse-names":false,"suffix":""},{"dropping-particle":"","family":"Robinson","given":"Whitney R","non-dropping-particle":"","parse-names":false,"suffix":""},{"dropping-particle":"","family":"Hoadley","given":"Katherine A","non-dropping-particle":"","parse-names":false,"suffix":""},{"dropping-particle":"","family":"Olopade","given":"Olufunmilayo I","non-dropping-particle":"","parse-names":false,"suffix":""},{"dropping-particle":"","family":"Reeder-Hayes","given":"Katherine E","non-dropping-particle":"","parse-names":false,"suffix":""},{"dropping-particle":"","family":"Earp","given":"H Shelton","non-dropping-particle":"","parse-names":false,"suffix":""},{"dropping-particle":"","family":"Olshan","given":"Andrew F","non-dropping-particle":"","parse-names":false,"suffix":""},{"dropping-particle":"","family":"Carey","given":"Lisa A","non-dropping-particle":"","parse-names":false,"suffix":""},{"dropping-particle":"","family":"Perou","given":"Charles M","non-dropping-particle":"","parse-names":false,"suffix":""}],"container-title":"Journal of the National Cancer Institute","id":"ITEM-1","issue":"2","issued":{"date-parts":[["2018"]]},"page":"176","publisher":"Oxford University Press","title":"Racial Differences in PAM50 Subtypes in the Carolina Breast Cancer Study.","type":"article-journal","volume":"110"},"uris":["http://www.mendeley.com/documents/?uuid=9ac11f9d-bb36-3294-8063-5807f7df19a8"]},{"id":"ITEM-2","itemData":{"DOI":"10.1038/nbt.2931","ISSN":"1087-0156","abstract":"Remove unwanted variation (RUV) is a new statistical method for RNA-seq data normalization that uses control genes or samples to improve differential expression analysis.","author":[{"dropping-particle":"","family":"Risso","given":"Davide","non-dropping-particle":"","parse-names":false,"suffix":""},{"dropping-particle":"","family":"Ngai","given":"John","non-dropping-particle":"","parse-names":false,"suffix":""},{"dropping-particle":"","family":"Speed","given":"Terence P","non-dropping-particle":"","parse-names":false,"suffix":""},{"dropping-particle":"","family":"Dudoit","given":"Sandrine","non-dropping-particle":"","parse-names":false,"suffix":""}],"container-title":"Nature Biotechnology","id":"ITEM-2","issue":"9","issued":{"date-parts":[["2014","9","24"]]},"page":"896-902","publisher":"Nature Publishing Group","title":"Normalization of RNA-seq data using factor analysis of control genes or samples","type":"article-journal","volume":"32"},"uris":["http://www.mendeley.com/documents/?uuid=f8fb5203-6949-3958-97b5-17079b7b1544"]}],"mendeley":{"formattedCitation":"[3,4]","plainTextFormattedCitation":"[3,4]","previouslyFormattedCitation":"[3,4]"},"properties":{"noteIndex":0},"schema":"https://github.com/citation-style-language/schema/raw/master/csl-citation.json"}</w:instrText>
      </w:r>
      <w:r w:rsidRPr="0090790E">
        <w:rPr>
          <w:rFonts w:ascii="Arial" w:hAnsi="Arial" w:cs="Arial"/>
          <w:sz w:val="24"/>
          <w:szCs w:val="24"/>
        </w:rPr>
        <w:fldChar w:fldCharType="separate"/>
      </w:r>
      <w:r w:rsidR="00F75C82" w:rsidRPr="00F75C82">
        <w:rPr>
          <w:rFonts w:ascii="Arial" w:hAnsi="Arial" w:cs="Arial"/>
          <w:noProof/>
          <w:sz w:val="24"/>
          <w:szCs w:val="24"/>
        </w:rPr>
        <w:t>[3,4]</w:t>
      </w:r>
      <w:r w:rsidRPr="0090790E">
        <w:rPr>
          <w:rFonts w:ascii="Arial" w:hAnsi="Arial" w:cs="Arial"/>
          <w:sz w:val="24"/>
          <w:szCs w:val="24"/>
        </w:rPr>
        <w:fldChar w:fldCharType="end"/>
      </w:r>
      <w:r w:rsidRPr="0090790E">
        <w:rPr>
          <w:rFonts w:ascii="Arial" w:hAnsi="Arial" w:cs="Arial"/>
          <w:sz w:val="24"/>
          <w:szCs w:val="24"/>
        </w:rPr>
        <w:t xml:space="preserve"> with an unsupervised method. We hypothesize that the RUV method accounts for a significant percentage of the variability from cell-type heterogeneity that may confound traditional </w:t>
      </w:r>
      <w:proofErr w:type="spellStart"/>
      <w:r w:rsidRPr="0090790E">
        <w:rPr>
          <w:rFonts w:ascii="Arial" w:hAnsi="Arial" w:cs="Arial"/>
          <w:sz w:val="24"/>
          <w:szCs w:val="24"/>
        </w:rPr>
        <w:t>eQTL</w:t>
      </w:r>
      <w:proofErr w:type="spellEnd"/>
      <w:r w:rsidRPr="0090790E">
        <w:rPr>
          <w:rFonts w:ascii="Arial" w:hAnsi="Arial" w:cs="Arial"/>
          <w:sz w:val="24"/>
          <w:szCs w:val="24"/>
        </w:rPr>
        <w:t xml:space="preserve"> analysis in bulk tumor RNA </w:t>
      </w:r>
      <w:r w:rsidRPr="0090790E">
        <w:rPr>
          <w:rFonts w:ascii="Arial" w:hAnsi="Arial" w:cs="Arial"/>
          <w:sz w:val="24"/>
          <w:szCs w:val="24"/>
        </w:rPr>
        <w:lastRenderedPageBreak/>
        <w:t xml:space="preserve">expression. Further implementations of deconvolution algorithms specialized for expression measured for targeted panels of genes, as in </w:t>
      </w:r>
      <w:proofErr w:type="spellStart"/>
      <w:r w:rsidRPr="0090790E">
        <w:rPr>
          <w:rFonts w:ascii="Arial" w:hAnsi="Arial" w:cs="Arial"/>
          <w:sz w:val="24"/>
          <w:szCs w:val="24"/>
        </w:rPr>
        <w:t>Nanostring</w:t>
      </w:r>
      <w:proofErr w:type="spellEnd"/>
      <w:r w:rsidRPr="0090790E">
        <w:rPr>
          <w:rFonts w:ascii="Arial" w:hAnsi="Arial" w:cs="Arial"/>
          <w:sz w:val="24"/>
          <w:szCs w:val="24"/>
        </w:rPr>
        <w:t>, would aid in distinguishing the source cell types or tissues for various breast tumor eQTLs. Accurate bulk expression deconvolution may also be important in future TWAS to consider sources of variation in tumor expression due to tissue heterogeneity and how deconvoluted tumor expression signals contribute to outcomes of interest.</w:t>
      </w:r>
    </w:p>
    <w:p w14:paraId="58FC04C5" w14:textId="4CD8BB54" w:rsidR="009B51CD" w:rsidRDefault="009B51CD" w:rsidP="0035598A">
      <w:pPr>
        <w:autoSpaceDE w:val="0"/>
        <w:autoSpaceDN w:val="0"/>
        <w:adjustRightInd w:val="0"/>
        <w:spacing w:after="0" w:line="480" w:lineRule="auto"/>
        <w:jc w:val="both"/>
        <w:rPr>
          <w:rFonts w:ascii="Arial" w:hAnsi="Arial" w:cs="Arial"/>
          <w:sz w:val="24"/>
          <w:szCs w:val="24"/>
        </w:rPr>
      </w:pPr>
    </w:p>
    <w:p w14:paraId="742AB1F3" w14:textId="0373DADA" w:rsidR="009B51CD" w:rsidRDefault="009B51CD" w:rsidP="0035598A">
      <w:pPr>
        <w:autoSpaceDE w:val="0"/>
        <w:autoSpaceDN w:val="0"/>
        <w:adjustRightInd w:val="0"/>
        <w:spacing w:after="0" w:line="480" w:lineRule="auto"/>
        <w:jc w:val="both"/>
        <w:rPr>
          <w:rFonts w:ascii="Arial" w:hAnsi="Arial" w:cs="Arial"/>
          <w:i/>
          <w:sz w:val="24"/>
          <w:szCs w:val="24"/>
        </w:rPr>
      </w:pPr>
      <w:r>
        <w:rPr>
          <w:rFonts w:ascii="Arial" w:hAnsi="Arial" w:cs="Arial"/>
          <w:i/>
          <w:sz w:val="24"/>
          <w:szCs w:val="24"/>
        </w:rPr>
        <w:t>Local ancestry adjustments for race-specific cis-eQTLs</w:t>
      </w:r>
    </w:p>
    <w:p w14:paraId="0E9FA129" w14:textId="169212EB" w:rsidR="009B51CD" w:rsidRDefault="009B51CD" w:rsidP="009B51CD">
      <w:pPr>
        <w:autoSpaceDE w:val="0"/>
        <w:autoSpaceDN w:val="0"/>
        <w:adjustRightInd w:val="0"/>
        <w:spacing w:after="0" w:line="480" w:lineRule="auto"/>
        <w:jc w:val="both"/>
        <w:rPr>
          <w:rFonts w:ascii="Arial" w:hAnsi="Arial" w:cs="Arial"/>
          <w:sz w:val="24"/>
          <w:szCs w:val="24"/>
        </w:rPr>
      </w:pPr>
      <w:r>
        <w:rPr>
          <w:rFonts w:ascii="Arial" w:hAnsi="Arial" w:cs="Arial"/>
          <w:sz w:val="24"/>
          <w:szCs w:val="24"/>
        </w:rPr>
        <w:t xml:space="preserve">For cis-eGenes identified in only one of AA or WW women, we followed up and controlled for estimated local ancestry, as inferred from source populations of Northern and Western European (CEU) and </w:t>
      </w:r>
      <w:proofErr w:type="spellStart"/>
      <w:r>
        <w:rPr>
          <w:rFonts w:ascii="Arial" w:hAnsi="Arial" w:cs="Arial"/>
          <w:sz w:val="24"/>
          <w:szCs w:val="24"/>
        </w:rPr>
        <w:t>Yoruban</w:t>
      </w:r>
      <w:proofErr w:type="spellEnd"/>
      <w:r>
        <w:rPr>
          <w:rFonts w:ascii="Arial" w:hAnsi="Arial" w:cs="Arial"/>
          <w:sz w:val="24"/>
          <w:szCs w:val="24"/>
        </w:rPr>
        <w:t xml:space="preserve"> (YRI) descent from the 1000 Genomes Project</w:t>
      </w:r>
      <w:r w:rsidR="00BE3EA8">
        <w:rPr>
          <w:rFonts w:ascii="Arial" w:hAnsi="Arial" w:cs="Arial"/>
          <w:sz w:val="24"/>
          <w:szCs w:val="24"/>
        </w:rPr>
        <w:t xml:space="preserve"> </w:t>
      </w:r>
      <w:r w:rsidR="00BE3EA8">
        <w:rPr>
          <w:rFonts w:ascii="Arial" w:hAnsi="Arial" w:cs="Arial"/>
          <w:sz w:val="24"/>
          <w:szCs w:val="24"/>
        </w:rPr>
        <w:fldChar w:fldCharType="begin" w:fldLock="1"/>
      </w:r>
      <w:r w:rsidR="00BE3EA8">
        <w:rPr>
          <w:rFonts w:ascii="Arial" w:hAnsi="Arial" w:cs="Arial"/>
          <w:sz w:val="24"/>
          <w:szCs w:val="24"/>
        </w:rPr>
        <w:instrText>ADDIN CSL_CITATION {"citationItems":[{"id":"ITEM-1","itemData":{"DOI":"10.1038/nature15393","ISSN":"14764687","PMID":"26432245","abstract":"The 1000 Genomes Project set out to provide a comprehensive description of common human genetic variation by applying whole-genome sequencing to a diverse set of individuals from multiple populations. Here we report completion of the project, having reconstructed the genomes of 2,504 individuals from 26 populations using a combination of low-coverage whole-genome sequencing, deep exome sequencing, and dense microarray genotyping. We characterized a broad spectrum of genetic variation, in total over 88 million variants (84.7 million single nucleotide polymorphisms (SNPs), 3.6 million short insertions/deletions (indels), and 60,000 structural variants), all phased onto high-quality haplotypes. This resource includes &gt;99% of SNP variants with a frequency of &gt;1% for a variety of ancestries. We describe the distribution of genetic variation across the global sample, and discuss the implications for common disease studies.","author":[{"dropping-particle":"","family":"Auton","given":"Adam","non-dropping-particle":"","parse-names":false,"suffix":""},{"dropping-particle":"","family":"Abecasis","given":"Gonçalo R.","non-dropping-particle":"","parse-names":false,"suffix":""},{"dropping-particle":"","family":"Altshuler","given":"David M.","non-dropping-particle":"","parse-names":false,"suffix":""},{"dropping-particle":"","family":"Durbin","given":"Richard M.","non-dropping-particle":"","parse-names":false,"suffix":""},{"dropping-particle":"","family":"Bentley","given":"David R.","non-dropping-particle":"","parse-names":false,"suffix":""},{"dropping-particle":"","family":"Chakravarti","given":"Aravinda","non-dropping-particle":"","parse-names":false,"suffix":""},{"dropping-particle":"","family":"Clark","given":"Andrew G.","non-dropping-particle":"","parse-names":false,"suffix":""},{"dropping-particle":"","family":"Donnelly","given":"Peter","non-dropping-particle":"","parse-names":false,"suffix":""},{"dropping-particle":"","family":"Eichler","given":"Evan E.","non-dropping-particle":"","parse-names":false,"suffix":""},{"dropping-particle":"","family":"Flicek","given":"Paul","non-dropping-particle":"","parse-names":false,"suffix":""},{"dropping-particle":"","family":"Gabriel","given":"Stacey B.","non-dropping-particle":"","parse-names":false,"suffix":""},{"dropping-particle":"","family":"Gibbs","given":"Richard A.","non-dropping-particle":"","parse-names":false,"suffix":""},{"dropping-particle":"","family":"Green","given":"Eric D.","non-dropping-particle":"","parse-names":false,"suffix":""},{"dropping-particle":"","family":"Hurles","given":"Matthew E.","non-dropping-particle":"","parse-names":false,"suffix":""},{"dropping-particle":"","family":"Knoppers","given":"Bartha M.","non-dropping-particle":"","parse-names":false,"suffix":""},{"dropping-particle":"","family":"Korbel","given":"Jan O.","non-dropping-particle":"","parse-names":false,"suffix":""},{"dropping-particle":"","family":"Lander","given":"Eric S.","non-dropping-particle":"","parse-names":false,"suffix":""},{"dropping-particle":"","family":"Lee","given":"Charles","non-dropping-particle":"","parse-names":false,"suffix":""},{"dropping-particle":"","family":"Lehrach","given":"Hans","non-dropping-particle":"","parse-names":false,"suffix":""},{"dropping-particle":"","family":"Mardis","given":"Elaine R.","non-dropping-particle":"","parse-names":false,"suffix":""},{"dropping-particle":"","family":"Marth","given":"Gabor T.","non-dropping-particle":"","parse-names":false,"suffix":""},{"dropping-particle":"","family":"McVean","given":"Gil A.","non-dropping-particle":"","parse-names":false,"suffix":""},{"dropping-particle":"","family":"Nickerson","given":"Deborah A.","non-dropping-particle":"","parse-names":false,"suffix":""},{"dropping-particle":"","family":"Schmidt","given":"Jeanette P.","non-dropping-particle":"","parse-names":false,"suffix":""},{"dropping-particle":"","family":"Sherry","given":"Stephen T.","non-dropping-particle":"","parse-names":false,"suffix":""},{"dropping-particle":"","family":"Wang","given":"Jun","non-dropping-particle":"","parse-names":false,"suffix":""},{"dropping-particle":"","family":"Wilson","given":"Richard K.","non-dropping-particle":"","parse-names":false,"suffix":""},{"dropping-particle":"","family":"Boerwinkle","given":"Eric","non-dropping-particle":"","parse-names":false,"suffix":""},{"dropping-particle":"","family":"Doddapaneni","given":"Harsha","non-dropping-particle":"","parse-names":false,"suffix":""},{"dropping-particle":"","family":"Han","given":"Yi","non-dropping-particle":"","parse-names":false,"suffix":""},{"dropping-particle":"","family":"Korchina","given":"Viktoriya","non-dropping-particle":"","parse-names":false,"suffix":""},{"dropping-particle":"","family":"Kovar","given":"Christie","non-dropping-particle":"","parse-names":false,"suffix":""},{"dropping-particle":"","family":"Lee","given":"Sandra","non-dropping-particle":"","parse-names":false,"suffix":""},{"dropping-particle":"","family":"Muzny","given":"Donna","non-dropping-particle":"","parse-names":false,"suffix":""},{"dropping-particle":"","family":"Reid","given":"Jeffrey G.","non-dropping-particle":"","parse-names":false,"suffix":""},{"dropping-particle":"","family":"Zhu","given":"Yiming","non-dropping-particle":"","parse-names":false,"suffix":""},{"dropping-particle":"","family":"Chang","given":"Yuqi","non-dropping-particle":"","parse-names":false,"suffix":""},{"dropping-particle":"","family":"Feng","given":"Qiang","non-dropping-particle":"","parse-names":false,"suffix":""},{"dropping-particle":"","family":"Fang","given":"Xiaodong","non-dropping-particle":"","parse-names":false,"suffix":""},{"dropping-particle":"","family":"Guo","given":"Xiaosen","non-dropping-particle":"","parse-names":false,"suffix":""},{"dropping-particle":"","family":"Jian","given":"Min","non-dropping-particle":"","parse-names":false,"suffix":""},{"dropping-particle":"","family":"Jiang","given":"Hui","non-dropping-particle":"","parse-names":false,"suffix":""},{"dropping-particle":"","family":"Jin","given":"Xin","non-dropping-particle":"","parse-names":false,"suffix":""},{"dropping-particle":"","family":"Lan","given":"Tianming","non-dropping-particle":"","parse-names":false,"suffix":""},{"dropping-particle":"","family":"Li","given":"Guoqing","non-dropping-particle":"","parse-names":false,"suffix":""},{"dropping-particle":"","family":"Li","given":"Jingxiang","non-dropping-particle":"","parse-names":false,"suffix":""},{"dropping-particle":"","family":"Li","given":"Yingrui","non-dropping-particle":"","parse-names":false,"suffix":""},{"dropping-particle":"","family":"Liu","given":"Shengmao","non-dropping-particle":"","parse-names":false,"suffix":""},{"dropping-particle":"","family":"Liu","given":"Xiao","non-dropping-particle":"","parse-names":false,"suffix":""},{"dropping-particle":"","family":"Lu","given":"Yao","non-dropping-particle":"","parse-names":false,"suffix":""},{"dropping-particle":"","family":"Ma","given":"Xuedi","non-dropping-particle":"","parse-names":false,"suffix":""},{"dropping-particle":"","family":"Tang","given":"Meifang","non-dropping-particle":"","parse-names":false,"suffix":""},{"dropping-particle":"","family":"Wang","given":"Bo","non-dropping-particle":"","parse-names":false,"suffix":""},{"dropping-particle":"","family":"Wang","given":"Guangbiao","non-dropping-particle":"","parse-names":false,"suffix":""},{"dropping-particle":"","family":"Wu","given":"Honglong","non-dropping-particle":"","parse-names":false,"suffix":""},{"dropping-particle":"","family":"Wu","given":"Renhua","non-dropping-particle":"","parse-names":false,"suffix":""},{"dropping-particle":"","family":"Xu","given":"Xun","non-dropping-particle":"","parse-names":false,"suffix":""},{"dropping-particle":"","family":"Yin","given":"Ye","non-dropping-particle":"","parse-names":false,"suffix":""},{"dropping-particle":"","family":"Zhang","given":"Dandan","non-dropping-particle":"","parse-names":false,"suffix":""},{"dropping-particle":"","family":"Zhang","given":"Wenwei","non-dropping-particle":"","parse-names":false,"suffix":""},{"dropping-particle":"","family":"Zhao","given":"Jiao","non-dropping-particle":"","parse-names":false,"suffix":""},{"dropping-particle":"","family":"Zhao","given":"Meiru","non-dropping-particle":"","parse-names":false,"suffix":""},{"dropping-particle":"","family":"Zheng","given":"Xiaole","non-dropping-particle":"","parse-names":false,"suffix":""},{"dropping-particle":"","family":"Gupta","given":"Namrata","non-dropping-particle":"","parse-names":false,"suffix":""},{"dropping-particle":"","family":"Gharani","given":"Neda","non-dropping-particle":"","parse-names":false,"suffix":""},{"dropping-particle":"","family":"Toji","given":"Lorraine H.","non-dropping-particle":"","parse-names":false,"suffix":""},{"dropping-particle":"","family":"Gerry","given":"Norman P.","non-dropping-particle":"","parse-names":false,"suffix":""},{"dropping-particle":"","family":"Resch","given":"Alissa M.","non-dropping-particle":"","parse-names":false,"suffix":""},{"dropping-particle":"","family":"Barker","given":"Jonathan","non-dropping-particle":"","parse-names":false,"suffix":""},{"dropping-particle":"","family":"Clarke","given":"Laura","non-dropping-particle":"","parse-names":false,"suffix":""},{"dropping-particle":"","family":"Gil","given":"Laurent","non-dropping-particle":"","parse-names":false,"suffix":""},{"dropping-particle":"","family":"Hunt","given":"Sarah E.","non-dropping-particle":"","parse-names":false,"suffix":""},{"dropping-particle":"","family":"Kelman","given":"Gavin","non-dropping-particle":"","parse-names":false,"suffix":""},{"dropping-particle":"","family":"Kulesha","given":"Eugene","non-dropping-particle":"","parse-names":false,"suffix":""},{"dropping-particle":"","family":"Leinonen","given":"Rasko","non-dropping-particle":"","parse-names":false,"suffix":""},{"dropping-particle":"","family":"McLaren","given":"William M.","non-dropping-particle":"","parse-names":false,"suffix":""},{"dropping-particle":"","family":"Radhakrishnan","given":"Rajesh","non-dropping-particle":"","parse-names":false,"suffix":""},{"dropping-particle":"","family":"Roa","given":"Asier","non-dropping-particle":"","parse-names":false,"suffix":""},{"dropping-particle":"","family":"Smirnov","given":"Dmitriy","non-dropping-particle":"","parse-names":false,"suffix":""},{"dropping-particle":"","family":"Smith","given":"Richard E.","non-dropping-particle":"","parse-names":false,"suffix":""},{"dropping-particle":"","family":"Streeter","given":"Ian","non-dropping-particle":"","parse-names":false,"suffix":""},{"dropping-particle":"","family":"Thormann","given":"Anja","non-dropping-particle":"","parse-names":false,"suffix":""},{"dropping-particle":"","family":"Toneva","given":"Iliana","non-dropping-particle":"","parse-names":false,"suffix":""},{"dropping-particle":"","family":"Vaughan","given":"Brendan","non-dropping-particle":"","parse-names":false,"suffix":""},{"dropping-particle":"","family":"Zheng-Bradley","given":"Xiangqun","non-dropping-particle":"","parse-names":false,"suffix":""},{"dropping-particle":"","family":"Grocock","given":"Russell","non-dropping-particle":"","parse-names":false,"suffix":""},{"dropping-particle":"","family":"Humphray","given":"Sean","non-dropping-particle":"","parse-names":false,"suffix":""},{"dropping-particle":"","family":"James","given":"Terena","non-dropping-particle":"","parse-names":false,"suffix":""},{"dropping-particle":"","family":"Kingsbury","given":"Zoya","non-dropping-particle":"","parse-names":false,"suffix":""},{"dropping-particle":"","family":"Sudbrak","given":"Ralf","non-dropping-particle":"","parse-names":false,"suffix":""},{"dropping-particle":"","family":"Albrecht","given":"Marcus W.","non-dropping-particle":"","parse-names":false,"suffix":""},{"dropping-particle":"","family":"Amstislavskiy","given":"Vyacheslav S.","non-dropping-particle":"","parse-names":false,"suffix":""},{"dropping-particle":"","family":"Borodina","given":"Tatiana A.","non-dropping-particle":"","parse-names":false,"suffix":""},{"dropping-particle":"","family":"Lienhard","given":"Matthias","non-dropping-particle":"","parse-names":false,"suffix":""},{"dropping-particle":"","family":"Mertes","given":"Florian","non-dropping-particle":"","parse-names":false,"suffix":""},{"dropping-particle":"","family":"Sultan","given":"Marc","non-dropping-particle":"","parse-names":false,"suffix":""},{"dropping-particle":"","family":"Timmermann","given":"Bernd","non-dropping-particle":"","parse-names":false,"suffix":""},{"dropping-particle":"","family":"Yaspo","given":"Marie Laure","non-dropping-particle":"","parse-names":false,"suffix":""},{"dropping-particle":"","family":"Fulton","given":"Lucinda","non-dropping-particle":"","parse-names":false,"suffix":""},{"dropping-particle":"","family":"Ananiev","given":"Victor","non-dropping-particle":"","parse-names":false,"suffix":""},{"dropping-particle":"","family":"Belaia","given":"Zinaida","non-dropping-particle":"","parse-names":false,"suffix":""},{"dropping-particle":"","family":"Beloslyudtsev","given":"Dimitriy","non-dropping-particle":"","parse-names":false,"suffix":""},{"dropping-particle":"","family":"Bouk","given":"Nathan","non-dropping-particle":"","parse-names":false,"suffix":""},{"dropping-particle":"","family":"Chen","given":"Chao","non-dropping-particle":"","parse-names":false,"suffix":""},{"dropping-particle":"","family":"Church","given":"Deanna","non-dropping-particle":"","parse-names":false,"suffix":""},{"dropping-particle":"","family":"Cohen","given":"Robert","non-dropping-particle":"","parse-names":false,"suffix":""},{"dropping-particle":"","family":"Cook","given":"Charles","non-dropping-particle":"","parse-names":false,"suffix":""},{"dropping-particle":"","family":"Garner","given":"John","non-dropping-particle":"","parse-names":false,"suffix":""},{"dropping-particle":"","family":"Hefferon","given":"Timothy","non-dropping-particle":"","parse-names":false,"suffix":""},{"dropping-particle":"","family":"Kimelman","given":"Mikhail","non-dropping-particle":"","parse-names":false,"suffix":""},{"dropping-particle":"","family":"Liu","given":"Chunlei","non-dropping-particle":"","parse-names":false,"suffix":""},{"dropping-particle":"","family":"Lopez","given":"John","non-dropping-particle":"","parse-names":false,"suffix":""},{"dropping-particle":"","family":"Meric","given":"Peter","non-dropping-particle":"","parse-names":false,"suffix":""},{"dropping-particle":"","family":"O'Sullivan","given":"Chris","non-dropping-particle":"","parse-names":false,"suffix":""},{"dropping-particle":"","family":"Ostapchuk","given":"Yuri","non-dropping-particle":"","parse-names":false,"suffix":""},{"dropping-particle":"","family":"Phan","given":"Lon","non-dropping-particle":"","parse-names":false,"suffix":""},{"dropping-particle":"","family":"Ponomarov","given":"Sergiy","non-dropping-particle":"","parse-names":false,"suffix":""},{"dropping-particle":"","family":"Schneider","given":"Valerie","non-dropping-particle":"","parse-names":false,"suffix":""},{"dropping-particle":"","family":"Shekhtman","given":"Eugene","non-dropping-particle":"","parse-names":false,"suffix":""},{"dropping-particle":"","family":"Sirotkin","given":"Karl","non-dropping-particle":"","parse-names":false,"suffix":""},{"dropping-particle":"","family":"Slotta","given":"Douglas","non-dropping-particle":"","parse-names":false,"suffix":""},{"dropping-particle":"","family":"Zhang","given":"Hua","non-dropping-particle":"","parse-names":false,"suffix":""},{"dropping-particle":"","family":"Balasubramaniam","given":"Senduran","non-dropping-particle":"","parse-names":false,"suffix":""},{"dropping-particle":"","family":"Burton","given":"John","non-dropping-particle":"","parse-names":false,"suffix":""},{"dropping-particle":"","family":"Danecek","given":"Petr","non-dropping-particle":"","parse-names":false,"suffix":""},{"dropping-particle":"","family":"Keane","given":"Thomas M.","non-dropping-particle":"","parse-names":false,"suffix":""},{"dropping-particle":"","family":"Kolb-Kokocinski","given":"Anja","non-dropping-particle":"","parse-names":false,"suffix":""},{"dropping-particle":"","family":"McCarthy","given":"Shane","non-dropping-particle":"","parse-names":false,"suffix":""},{"dropping-particle":"","family":"Stalker","given":"James","non-dropping-particle":"","parse-names":false,"suffix":""},{"dropping-particle":"","family":"Quail","given":"Michael","non-dropping-particle":"","parse-names":false,"suffix":""},{"dropping-particle":"","family":"Davies","given":"Christopher J.","non-dropping-particle":"","parse-names":false,"suffix":""},{"dropping-particle":"","family":"Gollub","given":"Jeremy","non-dropping-particle":"","parse-names":false,"suffix":""},{"dropping-particle":"","family":"Webster","given":"Teresa","non-dropping-particle":"","parse-names":false,"suffix":""},{"dropping-particle":"","family":"Wong","given":"Brant","non-dropping-particle":"","parse-names":false,"suffix":""},{"dropping-particle":"","family":"Zhan","given":"Yiping","non-dropping-particle":"","parse-names":false,"suffix":""},{"dropping-particle":"","family":"Campbell","given":"Christopher L.","non-dropping-particle":"","parse-names":false,"suffix":""},{"dropping-particle":"","family":"Kong","given":"Yu","non-dropping-particle":"","parse-names":false,"suffix":""},{"dropping-particle":"","family":"Marcketta","given":"Anthony","non-dropping-particle":"","parse-names":false,"suffix":""},{"dropping-particle":"","family":"Yu","given":"Fuli","non-dropping-particle":"","parse-names":false,"suffix":""},{"dropping-particle":"","family":"Antunes","given":"Lilian","non-dropping-particle":"","parse-names":false,"suffix":""},{"dropping-particle":"","family":"Bainbridge","given":"Matthew","non-dropping-particle":"","parse-names":false,"suffix":""},{"dropping-particle":"","family":"Sabo","given":"Aniko","non-dropping-particle":"","parse-names":false,"suffix":""},{"dropping-particle":"","family":"Huang","given":"Zhuoyi","non-dropping-particle":"","parse-names":false,"suffix":""},{"dropping-particle":"","family":"Coin","given":"Lachlan J.M.","non-dropping-particle":"","parse-names":false,"suffix":""},{"dropping-particle":"","family":"Fang","given":"Lin","non-dropping-particle":"","parse-names":false,"suffix":""},{"dropping-particle":"","family":"Li","given":"Qibin","non-dropping-particle":"","parse-names":false,"suffix":""},{"dropping-particle":"","family":"Li","given":"Zhenyu","non-dropping-particle":"","parse-names":false,"suffix":""},{"dropping-particle":"","family":"Lin","given":"Haoxiang","non-dropping-particle":"","parse-names":false,"suffix":""},{"dropping-particle":"","family":"Liu","given":"Binghang","non-dropping-particle":"","parse-names":false,"suffix":""},{"dropping-particle":"","family":"Luo","given":"Ruibang","non-dropping-particle":"","parse-names":false,"suffix":""},{"dropping-particle":"","family":"Shao","given":"Haojing","non-dropping-particle":"","parse-names":false,"suffix":""},{"dropping-particle":"","family":"Xie","given":"Yinlong","non-dropping-particle":"","parse-names":false,"suffix":""},{"dropping-particle":"","family":"Ye","given":"Chen","non-dropping-particle":"","parse-names":false,"suffix":""},{"dropping-particle":"","family":"Yu","given":"Chang","non-dropping-particle":"","parse-names":false,"suffix":""},{"dropping-particle":"","family":"Zhang","given":"Fan","non-dropping-particle":"","parse-names":false,"suffix":""},{"dropping-particle":"","family":"Zheng","given":"Hancheng","non-dropping-particle":"","parse-names":false,"suffix":""},{"dropping-particle":"","family":"Zhu","given":"Hongmei","non-dropping-particle":"","parse-names":false,"suffix":""},{"dropping-particle":"","family":"Alkan","given":"Can","non-dropping-particle":"","parse-names":false,"suffix":""},{"dropping-particle":"","family":"Dal","given":"Elif","non-dropping-particle":"","parse-names":false,"suffix":""},{"dropping-particle":"","family":"Kahveci","given":"Fatma","non-dropping-particle":"","parse-names":false,"suffix":""},{"dropping-particle":"","family":"Garrison","given":"Erik P.","non-dropping-particle":"","parse-names":false,"suffix":""},{"dropping-particle":"","family":"Kural","given":"Deniz","non-dropping-particle":"","parse-names":false,"suffix":""},{"dropping-particle":"","family":"Lee","given":"Wan Ping","non-dropping-particle":"","parse-names":false,"suffix":""},{"dropping-particle":"","family":"Leong","given":"Wen Fung","non-dropping-particle":"","parse-names":false,"suffix":""},{"dropping-particle":"","family":"Stromberg","given":"Michael","non-dropping-particle":"","parse-names":false,"suffix":""},{"dropping-particle":"","family":"Ward","given":"Alistair N.","non-dropping-particle":"","parse-names":false,"suffix":""},{"dropping-particle":"","family":"Wu","given":"Jiantao","non-dropping-particle":"","parse-names":false,"suffix":""},{"dropping-particle":"","family":"Zhang","given":"Mengyao","non-dropping-particle":"","parse-names":false,"suffix":""},{"dropping-particle":"","family":"Daly","given":"Mark J.","non-dropping-particle":"","parse-names":false,"suffix":""},{"dropping-particle":"","family":"DePristo","given":"Mark A.","non-dropping-particle":"","parse-names":false,"suffix":""},{"dropping-particle":"","family":"Handsaker","given":"Robert E.","non-dropping-particle":"","parse-names":false,"suffix":""},{"dropping-particle":"","family":"Banks","given":"Eric","non-dropping-particle":"","parse-names":false,"suffix":""},{"dropping-particle":"","family":"Bhatia","given":"Gaurav","non-dropping-particle":"","parse-names":false,"suffix":""},{"dropping-particle":"","family":"Angel","given":"Guillermo","non-dropping-particle":"Del","parse-names":false,"suffix":""},{"dropping-particle":"","family":"Genovese","given":"Giulio","non-dropping-particle":"","parse-names":false,"suffix":""},{"dropping-particle":"","family":"Li","given":"Heng","non-dropping-particle":"","parse-names":false,"suffix":""},{"dropping-particle":"","family":"Kashin","given":"Seva","non-dropping-particle":"","parse-names":false,"suffix":""},{"dropping-particle":"","family":"McCarroll","given":"Steven A.","non-dropping-particle":"","parse-names":false,"suffix":""},{"dropping-particle":"","family":"Nemesh","given":"James C.","non-dropping-particle":"","parse-names":false,"suffix":""},{"dropping-particle":"","family":"Poplin","given":"Ryan E.","non-dropping-particle":"","parse-names":false,"suffix":""},{"dropping-particle":"","family":"Yoon","given":"Seungtai C.","non-dropping-particle":"","parse-names":false,"suffix":""},{"dropping-particle":"","family":"Lihm","given":"Jayon","non-dropping-particle":"","parse-names":false,"suffix":""},{"dropping-particle":"","family":"Makarov","given":"Vladimir","non-dropping-particle":"","parse-names":false,"suffix":""},{"dropping-particle":"","family":"Gottipati","given":"Srikanth","non-dropping-particle":"","parse-names":false,"suffix":""},{"dropping-particle":"","family":"Keinan","given":"Alon","non-dropping-particle":"","parse-names":false,"suffix":""},{"dropping-particle":"","family":"Rodriguez-Flores","given":"Juan L.","non-dropping-particle":"","parse-names":false,"suffix":""},{"dropping-particle":"","family":"Rausch","given":"Tobias","non-dropping-particle":"","parse-names":false,"suffix":""},{"dropping-particle":"","family":"Fritz","given":"Markus H.","non-dropping-particle":"","parse-names":false,"suffix":""},{"dropping-particle":"","family":"Stütz","given":"Adrian M.","non-dropping-particle":"","parse-names":false,"suffix":""},{"dropping-particle":"","family":"Beal","given":"Kathryn","non-dropping-particle":"","parse-names":false,"suffix":""},{"dropping-particle":"","family":"Datta","given":"Avik","non-dropping-particle":"","parse-names":false,"suffix":""},{"dropping-particle":"","family":"Herrero","given":"Javier","non-dropping-particle":"","parse-names":false,"suffix":""},{"dropping-particle":"","family":"Ritchie","given":"Graham R.S.","non-dropping-particle":"","parse-names":false,"suffix":""},{"dropping-particle":"","family":"Zerbino","given":"Daniel","non-dropping-particle":"","parse-names":false,"suffix":""},{"dropping-particle":"","family":"Sabeti","given":"Pardis C.","non-dropping-particle":"","parse-names":false,"suffix":""},{"dropping-particle":"","family":"Shlyakhter","given":"Ilya","non-dropping-particle":"","parse-names":false,"suffix":""},{"dropping-particle":"","family":"Schaffner","given":"Stephen F.","non-dropping-particle":"","parse-names":false,"suffix":""},{"dropping-particle":"","family":"Vitti","given":"Joseph","non-dropping-particle":"","parse-names":false,"suffix":""},{"dropping-particle":"","family":"Cooper","given":"David N.","non-dropping-particle":"","parse-names":false,"suffix":""},{"dropping-particle":"V.","family":"Ball","given":"Edward","non-dropping-particle":"","parse-names":false,"suffix":""},{"dropping-particle":"","family":"Stenson","given":"Peter D.","non-dropping-particle":"","parse-names":false,"suffix":""},{"dropping-particle":"","family":"Barnes","given":"Bret","non-dropping-particle":"","parse-names":false,"suffix":""},{"dropping-particle":"","family":"Bauer","given":"Markus","non-dropping-particle":"","parse-names":false,"suffix":""},{"dropping-particle":"","family":"Cheetham","given":"R. Keira","non-dropping-particle":"","parse-names":false,"suffix":""},{"dropping-particle":"","family":"Cox","given":"Anthony","non-dropping-particle":"","parse-names":false,"suffix":""},{"dropping-particle":"","family":"Eberle","given":"Michael","non-dropping-particle":"","parse-names":false,"suffix":""},{"dropping-particle":"","family":"Kahn","given":"Scott","non-dropping-particle":"","parse-names":false,"suffix":""},{"dropping-particle":"","family":"Murray","given":"Lisa","non-dropping-particle":"","parse-names":false,"suffix":""},{"dropping-particle":"","family":"Peden","given":"John","non-dropping-particle":"","parse-names":false,"suffix":""},{"dropping-particle":"","family":"Shaw","given":"Richard","non-dropping-particle":"","parse-names":false,"suffix":""},{"dropping-particle":"","family":"Kenny","given":"Eimear E.","non-dropping-particle":"","parse-names":false,"suffix":""},{"dropping-particle":"","family":"Batzer","given":"Mark A.","non-dropping-particle":"","parse-names":false,"suffix":""},{"dropping-particle":"","family":"Konkel","given":"Miriam K.","non-dropping-particle":"","parse-names":false,"suffix":""},{"dropping-particle":"","family":"Walker","given":"Jerilyn A.","non-dropping-particle":"","parse-names":false,"suffix":""},{"dropping-particle":"","family":"MacArthur","given":"Daniel G.","non-dropping-particle":"","parse-names":false,"suffix":""},{"dropping-particle":"","family":"Lek","given":"Monkol","non-dropping-particle":"","parse-names":false,"suffix":""},{"dropping-particle":"","family":"Herwig","given":"Ralf","non-dropping-particle":"","parse-names":false,"suffix":""},{"dropping-particle":"","family":"Ding","given":"Li","non-dropping-particle":"","parse-names":false,"suffix":""},{"dropping-particle":"","family":"Koboldt","given":"Daniel C.","non-dropping-particle":"","parse-names":false,"suffix":""},{"dropping-particle":"","family":"Larson","given":"David","non-dropping-particle":"","parse-names":false,"suffix":""},{"dropping-particle":"","family":"Ye","given":"Kai","non-dropping-particle":"","parse-names":false,"suffix":""},{"dropping-particle":"","family":"Gravel","given":"Simon","non-dropping-particle":"","parse-names":false,"suffix":""},{"dropping-particle":"","family":"Swaroop","given":"Anand","non-dropping-particle":"","parse-names":false,"suffix":""},{"dropping-particle":"","family":"Chew","given":"Emily","non-dropping-particle":"","parse-names":false,"suffix":""},{"dropping-particle":"","family":"Lappalainen","given":"Tuuli","non-dropping-particle":"","parse-names":false,"suffix":""},{"dropping-particle":"","family":"Erlich","given":"Yaniv","non-dropping-particle":"","parse-names":false,"suffix":""},{"dropping-particle":"","family":"Gymrek","given":"Melissa","non-dropping-particle":"","parse-names":false,"suffix":""},{"dropping-particle":"","family":"Willems","given":"Thomas Frederick","non-dropping-particle":"","parse-names":false,"suffix":""},{"dropping-particle":"","family":"Simpson","given":"Jared T.","non-dropping-particle":"","parse-names":false,"suffix":""},{"dropping-particle":"","family":"Shriver","given":"Mark D.","non-dropping-particle":"","parse-names":false,"suffix":""},{"dropping-particle":"","family":"Rosenfeld","given":"Jeffrey A.","non-dropping-particle":"","parse-names":false,"suffix":""},{"dropping-particle":"","family":"Bustamante","given":"Carlos D.","non-dropping-particle":"","parse-names":false,"suffix":""},{"dropping-particle":"","family":"Montgomery","given":"Stephen B.","non-dropping-particle":"","parse-names":false,"suffix":""},{"dropping-particle":"","family":"La Vega","given":"Francisco M.","non-dropping-particle":"De","parse-names":false,"suffix":""},{"dropping-particle":"","family":"Byrnes","given":"Jake K.","non-dropping-particle":"","parse-names":false,"suffix":""},{"dropping-particle":"","family":"Carroll","given":"Andrew W.","non-dropping-particle":"","parse-names":false,"suffix":""},{"dropping-particle":"","family":"DeGorter","given":"Marianne K.","non-dropping-particle":"","parse-names":false,"suffix":""},{"dropping-particle":"","family":"Lacroute","given":"Phil","non-dropping-particle":"","parse-names":false,"suffix":""},{"dropping-particle":"","family":"Maples","given":"Brian K.","non-dropping-particle":"","parse-names":false,"suffix":""},{"dropping-particle":"","family":"Martin","given":"Alicia R.","non-dropping-particle":"","parse-names":false,"suffix":""},{"dropping-particle":"","family":"Moreno-Estrada","given":"Andres","non-dropping-particle":"","parse-names":false,"suffix":""},{"dropping-particle":"","family":"Shringarpure","given":"Suyash S.","non-dropping-particle":"","parse-names":false,"suffix":""},{"dropping-particle":"","family":"Zakharia","given":"Fouad","non-dropping-particle":"","parse-names":false,"suffix":""},{"dropping-particle":"","family":"Halperin","given":"Eran","non-dropping-particle":"","parse-names":false,"suffix":""},{"dropping-particle":"","family":"Baran","given":"Yael","non-dropping-particle":"","parse-names":false,"suffix":""},{"dropping-particle":"","family":"Cerveira","given":"Eliza","non-dropping-particle":"","parse-names":false,"suffix":""},{"dropping-particle":"","family":"Hwang","given":"Jaeho","non-dropping-particle":"","parse-names":false,"suffix":""},{"dropping-particle":"","family":"Malhotra","given":"Ankit","non-dropping-particle":"","parse-names":false,"suffix":""},{"dropping-particle":"","family":"Plewczynski","given":"Dariusz","non-dropping-particle":"","parse-names":false,"suffix":""},{"dropping-particle":"","family":"Radew","given":"Kamen","non-dropping-particle":"","parse-names":false,"suffix":""},{"dropping-particle":"","family":"Romanovitch","given":"Mallory","non-dropping-particle":"","parse-names":false,"suffix":""},{"dropping-particle":"","family":"Zhang","given":"Chengsheng","non-dropping-particle":"","parse-names":false,"suffix":""},{"dropping-particle":"","family":"Hyland","given":"Fiona C.L.","non-dropping-particle":"","parse-names":false,"suffix":""},{"dropping-particle":"","family":"Craig","given":"David W.","non-dropping-particle":"","parse-names":false,"suffix":""},{"dropping-particle":"","family":"Christoforides","given":"Alexis","non-dropping-particle":"","parse-names":false,"suffix":""},{"dropping-particle":"","family":"Homer","given":"Nils","non-dropping-particle":"","parse-names":false,"suffix":""},{"dropping-particle":"","family":"Izatt","given":"Tyler","non-dropping-particle":"","parse-names":false,"suffix":""},{"dropping-particle":"","family":"Kurdoglu","given":"Ahmet A.","non-dropping-particle":"","parse-names":false,"suffix":""},{"dropping-particle":"","family":"Sinari","given":"Shripad A.","non-dropping-particle":"","parse-names":false,"suffix":""},{"dropping-particle":"","family":"Squire","given":"Kevin","non-dropping-particle":"","parse-names":false,"suffix":""},{"dropping-particle":"","family":"Xiao","given":"Chunlin","non-dropping-particle":"","parse-names":false,"suffix":""},{"dropping-particle":"","family":"Sebat","given":"Jonathan","non-dropping-particle":"","parse-names":false,"suffix":""},{"dropping-particle":"","family":"Antaki","given":"Danny","non-dropping-particle":"","parse-names":false,"suffix":""},{"dropping-particle":"","family":"Gujral","given":"Madhusudan","non-dropping-particle":"","parse-names":false,"suffix":""},{"dropping-particle":"","family":"Noor","given":"Amina","non-dropping-particle":"","parse-names":false,"suffix":""},{"dropping-particle":"","family":"Ye","given":"Kenny","non-dropping-particle":"","parse-names":false,"suffix":""},{"dropping-particle":"","family":"Burchard","given":"Esteban G.","non-dropping-particle":"","parse-names":false,"suffix":""},{"dropping-particle":"","family":"Hernandez","given":"Ryan D.","non-dropping-particle":"","parse-names":false,"suffix":""},{"dropping-particle":"","family":"Gignoux","given":"Christopher R.","non-dropping-particle":"","parse-names":false,"suffix":""},{"dropping-particle":"","family":"Haussler","given":"David","non-dropping-particle":"","parse-names":false,"suffix":""},{"dropping-particle":"","family":"Katzman","given":"Sol J.","non-dropping-particle":"","parse-names":false,"suffix":""},{"dropping-particle":"","family":"Kent","given":"W. James","non-dropping-particle":"","parse-names":false,"suffix":""},{"dropping-particle":"","family":"Howie","given":"Bryan","non-dropping-particle":"","parse-names":false,"suffix":""},{"dropping-particle":"","family":"Ruiz-Linares","given":"Andres","non-dropping-particle":"","parse-names":false,"suffix":""},{"dropping-particle":"","family":"Dermitzakis","given":"Emmanouil T.","non-dropping-particle":"","parse-names":false,"suffix":""},{"dropping-particle":"","family":"Devine","given":"Scott E.","non-dropping-particle":"","parse-names":false,"suffix":""},{"dropping-particle":"","family":"Kang","given":"Hyun Min","non-dropping-particle":"","parse-names":false,"suffix":""},{"dropping-particle":"","family":"Kidd","given":"Jeffrey M.","non-dropping-particle":"","parse-names":false,"suffix":""},{"dropping-particle":"","family":"Blackwell","given":"Tom","non-dropping-particle":"","parse-names":false,"suffix":""},{"dropping-particle":"","family":"Caron","given":"Sean","non-dropping-particle":"","parse-names":false,"suffix":""},{"dropping-particle":"","family":"Chen","given":"Wei","non-dropping-particle":"","parse-names":false,"suffix":""},{"dropping-particle":"","family":"Emery","given":"Sarah","non-dropping-particle":"","parse-names":false,"suffix":""},{"dropping-particle":"","family":"Fritsche","given":"Lars","non-dropping-particle":"","parse-names":false,"suffix":""},{"dropping-particle":"","family":"Fuchsberger","given":"Christian","non-dropping-particle":"","parse-names":false,"suffix":""},{"dropping-particle":"","family":"Jun","given":"Goo","non-dropping-particle":"","parse-names":false,"suffix":""},{"dropping-particle":"","family":"Li","given":"Bingshan","non-dropping-particle":"","parse-names":false,"suffix":""},{"dropping-particle":"","family":"Lyons","given":"Robert","non-dropping-particle":"","parse-names":false,"suffix":""},{"dropping-particle":"","family":"Scheller","given":"Chris","non-dropping-particle":"","parse-names":false,"suffix":""},{"dropping-particle":"","family":"Sidore","given":"Carlo","non-dropping-particle":"","parse-names":false,"suffix":""},{"dropping-particle":"","family":"Song","given":"Shiya","non-dropping-particle":"","parse-names":false,"suffix":""},{"dropping-particle":"","family":"Sliwerska","given":"Elzbieta","non-dropping-particle":"","parse-names":false,"suffix":""},{"dropping-particle":"","family":"Taliun","given":"Daniel","non-dropping-particle":"","parse-names":false,"suffix":""},{"dropping-particle":"","family":"Tan","given":"Adrian","non-dropping-particle":"","parse-names":false,"suffix":""},{"dropping-particle":"","family":"Welch","given":"Ryan","non-dropping-particle":"","parse-names":false,"suffix":""},{"dropping-particle":"","family":"Wing","given":"Mary Kate","non-dropping-particle":"","parse-names":false,"suffix":""},{"dropping-particle":"","family":"Zhan","given":"Xiaowei","non-dropping-particle":"","parse-names":false,"suffix":""},{"dropping-particle":"","family":"Awadalla","given":"Philip","non-dropping-particle":"","parse-names":false,"suffix":""},{"dropping-particle":"","family":"Hodgkinson","given":"Alan","non-dropping-particle":"","parse-names":false,"suffix":""},{"dropping-particle":"","family":"Li","given":"Yun","non-dropping-particle":"","parse-names":false,"suffix":""},{"dropping-particle":"","family":"Shi","given":"Xinghua","non-dropping-particle":"","parse-names":false,"suffix":""},{"dropping-particle":"","family":"Quitadamo","given":"Andrew","non-dropping-particle":"","parse-names":false,"suffix":""},{"dropping-particle":"","family":"Lunter","given":"Gerton","non-dropping-particle":"","parse-names":false,"suffix":""},{"dropping-particle":"","family":"Marchini","given":"Jonathan L.","non-dropping-particle":"","parse-names":false,"suffix":""},{"dropping-particle":"","family":"Myers","given":"Simon","non-dropping-particle":"","parse-names":false,"suffix":""},{"dropping-particle":"","family":"Churchhouse","given":"Claire","non-dropping-particle":"","parse-names":false,"suffix":""},{"dropping-particle":"","family":"Delaneau","given":"Olivier","non-dropping-particle":"","parse-names":false,"suffix":""},{"dropping-particle":"","family":"Gupta-Hinch","given":"Anjali","non-dropping-particle":"","parse-names":false,"suffix":""},{"dropping-particle":"","family":"Kretzschmar","given":"Warren","non-dropping-particle":"","parse-names":false,"suffix":""},{"dropping-particle":"","family":"Iqbal","given":"Zamin","non-dropping-particle":"","parse-names":false,"suffix":""},{"dropping-particle":"","family":"Mathieson","given":"Iain","non-dropping-particle":"","parse-names":false,"suffix":""},{"dropping-particle":"","family":"Menelaou","given":"Androniki","non-dropping-particle":"","parse-names":false,"suffix":""},{"dropping-particle":"","family":"Rimmer","given":"Andy","non-dropping-particle":"","parse-names":false,"suffix":""},{"dropping-particle":"","family":"Xifara","given":"Dionysia K.","non-dropping-particle":"","parse-names":false,"suffix":""},{"dropping-particle":"","family":"Oleksyk","given":"Taras K.","non-dropping-particle":"","parse-names":false,"suffix":""},{"dropping-particle":"","family":"Fu","given":"Yunxin","non-dropping-particle":"","parse-names":false,"suffix":""},{"dropping-particle":"","family":"Liu","given":"Xiaoming","non-dropping-particle":"","parse-names":false,"suffix":""},{"dropping-particle":"","family":"Xiong","given":"Momiao","non-dropping-particle":"","parse-names":false,"suffix":""},{"dropping-particle":"","family":"Jorde","given":"Lynn","non-dropping-particle":"","parse-names":false,"suffix":""},{"dropping-particle":"","family":"Witherspoon","given":"David","non-dropping-particle":"","parse-names":false,"suffix":""},{"dropping-particle":"","family":"Xing","given":"Jinchuan","non-dropping-particle":"","parse-names":false,"suffix":""},{"dropping-particle":"","family":"Browning","given":"Brian L.","non-dropping-particle":"","parse-names":false,"suffix":""},{"dropping-particle":"","family":"Browning","given":"Sharon R.","non-dropping-particle":"","parse-names":false,"suffix":""},{"dropping-particle":"","family":"Hormozdiari","given":"Fereydoun","non-dropping-particle":"","parse-names":false,"suffix":""},{"dropping-particle":"","family":"Sudmant","given":"Peter H.","non-dropping-particle":"","parse-names":false,"suffix":""},{"dropping-particle":"","family":"Khurana","given":"Ekta","non-dropping-particle":"","parse-names":false,"suffix":""},{"dropping-particle":"","family":"Tyler-Smith","given":"Chris","non-dropping-particle":"","parse-names":false,"suffix":""},{"dropping-particle":"","family":"Albers","given":"Cornelis A.","non-dropping-particle":"","parse-names":false,"suffix":""},{"dropping-particle":"","family":"Ayub","given":"Qasim","non-dropping-particle":"","parse-names":false,"suffix":""},{"dropping-particle":"","family":"Chen","given":"Yuan","non-dropping-particle":"","parse-names":false,"suffix":""},{"dropping-particle":"","family":"Colonna","given":"Vincenza","non-dropping-particle":"","parse-names":false,"suffix":""},{"dropping-particle":"","family":"Jostins","given":"Luke","non-dropping-particle":"","parse-names":false,"suffix":""},{"dropping-particle":"","family":"Walter","given":"Klaudia","non-dropping-particle":"","parse-names":false,"suffix":""},{"dropping-particle":"","family":"Xue","given":"Yali","non-dropping-particle":"","parse-names":false,"suffix":""},{"dropping-particle":"","family":"Gerstein","given":"Mark B.","non-dropping-particle":"","parse-names":false,"suffix":""},{"dropping-particle":"","family":"Abyzov","given":"Alexej","non-dropping-particle":"","parse-names":false,"suffix":""},{"dropping-particle":"","family":"Balasubramanian","given":"Suganthi","non-dropping-particle":"","parse-names":false,"suffix":""},{"dropping-particle":"","family":"Chen","given":"Jieming","non-dropping-particle":"","parse-names":false,"suffix":""},{"dropping-particle":"","family":"Clarke","given":"Declan","non-dropping-particle":"","parse-names":false,"suffix":""},{"dropping-particle":"","family":"Fu","given":"Yao","non-dropping-particle":"","parse-names":false,"suffix":""},{"dropping-particle":"","family":"Harmanci","given":"Arif O.","non-dropping-particle":"","parse-names":false,"suffix":""},{"dropping-particle":"","family":"Jin","given":"Mike","non-dropping-particle":"","parse-names":false,"suffix":""},{"dropping-particle":"","family":"Lee","given":"Donghoon","non-dropping-particle":"","parse-names":false,"suffix":""},{"dropping-particle":"","family":"Liu","given":"Jeremy","non-dropping-particle":"","parse-names":false,"suffix":""},{"dropping-particle":"","family":"Mu","given":"Xinmeng Jasmine","non-dropping-particle":"","parse-names":false,"suffix":""},{"dropping-particle":"","family":"Zhang","given":"Jing","non-dropping-particle":"","parse-names":false,"suffix":""},{"dropping-particle":"","family":"Zhang","given":"Yan","non-dropping-particle":"","parse-names":false,"suffix":""},{"dropping-particle":"","family":"Hartl","given":"Chris","non-dropping-particle":"","parse-names":false,"suffix":""},{"dropping-particle":"","family":"Shakir","given":"Khalid","non-dropping-particle":"","parse-names":false,"suffix":""},{"dropping-particle":"","family":"Degenhardt","given":"Jeremiah","non-dropping-particle":"","parse-names":false,"suffix":""},{"dropping-particle":"","family":"Meiers","given":"Sascha","non-dropping-particle":"","parse-names":false,"suffix":""},{"dropping-particle":"","family":"Raeder","given":"Benjamin","non-dropping-particle":"","parse-names":false,"suffix":""},{"dropping-particle":"","family":"Casale","given":"Francesco Paolo","non-dropping-particle":"","parse-names":false,"suffix":""},{"dropping-particle":"","family":"Stegle","given":"Oliver","non-dropping-particle":"","parse-names":false,"suffix":""},{"dropping-particle":"","family":"Lameijer","given":"Eric Wubbo","non-dropping-particle":"","parse-names":false,"suffix":""},{"dropping-particle":"","family":"Hall","given":"Ira","non-dropping-particle":"","parse-names":false,"suffix":""},{"dropping-particle":"","family":"Bafna","given":"Vineet","non-dropping-particle":"","parse-names":false,"suffix":""},{"dropping-particle":"","family":"Michaelson","given":"Jacob","non-dropping-particle":"","parse-names":false,"suffix":""},{"dropping-particle":"","family":"Gardner","given":"Eugene J.","non-dropping-particle":"","parse-names":false,"suffix":""},{"dropping-particle":"","family":"Mills","given":"Ryan E.","non-dropping-particle":"","parse-names":false,"suffix":""},{"dropping-particle":"","family":"Dayama","given":"Gargi","non-dropping-particle":"","parse-names":false,"suffix":""},{"dropping-particle":"","family":"Chen","given":"Ken","non-dropping-particle":"","parse-names":false,"suffix":""},{"dropping-particle":"","family":"Fan","given":"Xian","non-dropping-particle":"","parse-names":false,"suffix":""},{"dropping-particle":"","family":"Chong","given":"Zechen","non-dropping-particle":"","parse-names":false,"suffix":""},{"dropping-particle":"","family":"Chen","given":"Tenghui","non-dropping-particle":"","parse-names":false,"suffix":""},{"dropping-particle":"","family":"Chaisson","given":"Mark J.","non-dropping-particle":"","parse-names":false,"suffix":""},{"dropping-particle":"","family":"Huddleston","given":"John","non-dropping-particle":"","parse-names":false,"suffix":""},{"dropping-particle":"","family":"Malig","given":"Maika","non-dropping-particle":"","parse-names":false,"suffix":""},{"dropping-particle":"","family":"Nelson","given":"Bradley J.","non-dropping-particle":"","parse-names":false,"suffix":""},{"dropping-particle":"","family":"Parrish","given":"Nicholas F.","non-dropping-particle":"","parse-names":false,"suffix":""},{"dropping-particle":"","family":"Blackburne","given":"Ben","non-dropping-particle":"","parse-names":false,"suffix":""},{"dropping-particle":"","family":"Lindsay","given":"Sarah J.","non-dropping-particle":"","parse-names":false,"suffix":""},{"dropping-particle":"","family":"Ning","given":"Zemin","non-dropping-particle":"","parse-names":false,"suffix":""},{"dropping-particle":"","family":"Zhang","given":"Yujun","non-dropping-particle":"","parse-names":false,"suffix":""},{"dropping-particle":"","family":"Lam","given":"Hugo","non-dropping-particle":"","parse-names":false,"suffix":""},{"dropping-particle":"","family":"Sisu","given":"Cristina","non-dropping-particle":"","parse-names":false,"suffix":""},{"dropping-particle":"","family":"Challis","given":"Danny","non-dropping-particle":"","parse-names":false,"suffix":""},{"dropping-particle":"","family":"Evani","given":"Uday S.","non-dropping-particle":"","parse-names":false,"suffix":""},{"dropping-particle":"","family":"Lu","given":"James","non-dropping-particle":"","parse-names":false,"suffix":""},{"dropping-particle":"","family":"Nagaswamy","given":"Uma","non-dropping-particle":"","parse-names":false,"suffix":""},{"dropping-particle":"","family":"Yu","given":"Jin","non-dropping-particle":"","parse-names":false,"suffix":""},{"dropping-particle":"","family":"Li","given":"Wangshen","non-dropping-particle":"","parse-names":false,"suffix":""},{"dropping-particle":"","family":"Habegger","given":"Lukas","non-dropping-particle":"","parse-names":false,"suffix":""},{"dropping-particle":"","family":"Yu","given":"Haiyuan","non-dropping-particle":"","parse-names":false,"suffix":""},{"dropping-particle":"","family":"Cunningham","given":"Fiona","non-dropping-particle":"","parse-names":false,"suffix":""},{"dropping-particle":"","family":"Dunham","given":"Ian","non-dropping-particle":"","parse-names":false,"suffix":""},{"dropping-particle":"","family":"Lage","given":"Kasper","non-dropping-particle":"","parse-names":false,"suffix":""},{"dropping-particle":"","family":"Jespersen","given":"Jakob Berg","non-dropping-particle":"","parse-names":false,"suffix":""},{"dropping-particle":"","family":"Horn","given":"Heiko","non-dropping-particle":"","parse-names":false,"suffix":""},{"dropping-particle":"","family":"Kim","given":"Donghoon","non-dropping-particle":"","parse-names":false,"suffix":""},{"dropping-particle":"","family":"Desalle","given":"Rob","non-dropping-particle":"","parse-names":false,"suffix":""},{"dropping-particle":"","family":"Narechania","given":"Apurva","non-dropping-particle":"","parse-names":false,"suffix":""},{"dropping-particle":"","family":"Sayres","given":"Melissa A.Wilson","non-dropping-particle":"","parse-names":false,"suffix":""},{"dropping-particle":"","family":"Mendez","given":"Fernando L.","non-dropping-particle":"","parse-names":false,"suffix":""},{"dropping-particle":"","family":"Poznik","given":"G. David","non-dropping-particle":"","parse-names":false,"suffix":""},{"dropping-particle":"","family":"Underhill","given":"Peter A.","non-dropping-particle":"","parse-names":false,"suffix":""},{"dropping-particle":"","family":"Mittelman","given":"David","non-dropping-particle":"","parse-names":false,"suffix":""},{"dropping-particle":"","family":"Banerjee","given":"Ruby","non-dropping-particle":"","parse-names":false,"suffix":""},{"dropping-particle":"","family":"Cerezo","given":"Maria","non-dropping-particle":"","parse-names":false,"suffix":""},{"dropping-particle":"","family":"Fitzgerald","given":"Thomas W.","non-dropping-particle":"","parse-names":false,"suffix":""},{"dropping-particle":"","family":"Louzada","given":"Sandra","non-dropping-particle":"","parse-names":false,"suffix":""},{"dropping-particle":"","family":"Massaia","given":"Andrea","non-dropping-particle":"","parse-names":false,"suffix":""},{"dropping-particle":"","family":"Yang","given":"Fengtang","non-dropping-particle":"","parse-names":false,"suffix":""},{"dropping-particle":"","family":"Kalra","given":"Divya","non-dropping-particle":"","parse-names":false,"suffix":""},{"dropping-particle":"","family":"Hale","given":"Walker","non-dropping-particle":"","parse-names":false,"suffix":""},{"dropping-particle":"","family":"Dan","given":"Xu","non-dropping-particle":"","parse-names":false,"suffix":""},{"dropping-particle":"","family":"Barnes","given":"Kathleen C.","non-dropping-particle":"","parse-names":false,"suffix":""},{"dropping-particle":"","family":"Beiswanger","given":"Christine","non-dropping-particle":"","parse-names":false,"suffix":""},{"dropping-particle":"","family":"Cai","given":"Hongyu","non-dropping-particle":"","parse-names":false,"suffix":""},{"dropping-particle":"","family":"Cao","given":"Hongzhi","non-dropping-particle":"","parse-names":false,"suffix":""},{"dropping-particle":"","family":"Henn","given":"Brenna","non-dropping-particle":"","parse-names":false,"suffix":""},{"dropping-particle":"","family":"Jones","given":"Danielle","non-dropping-particle":"","parse-names":false,"suffix":""},{"dropping-particle":"","family":"Kaye","given":"Jane S.","non-dropping-particle":"","parse-names":false,"suffix":""},{"dropping-particle":"","family":"Kent","given":"Alastair","non-dropping-particle":"","parse-names":false,"suffix":""},{"dropping-particle":"","family":"Kerasidou","given":"Angeliki","non-dropping-particle":"","parse-names":false,"suffix":""},{"dropping-particle":"","family":"Mathias","given":"Rasika","non-dropping-particle":"","parse-names":false,"suffix":""},{"dropping-particle":"","family":"Ossorio","given":"Pilar N.","non-dropping-particle":"","parse-names":false,"suffix":""},{"dropping-particle":"","family":"Parker","given":"Michael","non-dropping-particle":"","parse-names":false,"suffix":""},{"dropping-particle":"","family":"Rotimi","given":"Charles N.","non-dropping-particle":"","parse-names":false,"suffix":""},{"dropping-particle":"","family":"Royal","given":"Charmaine D.","non-dropping-particle":"","parse-names":false,"suffix":""},{"dropping-particle":"","family":"Sandoval","given":"Karla","non-dropping-particle":"","parse-names":false,"suffix":""},{"dropping-particle":"","family":"Su","given":"Yeyang","non-dropping-particle":"","parse-names":false,"suffix":""},{"dropping-particle":"","family":"Tian","given":"Zhongming","non-dropping-particle":"","parse-names":false,"suffix":""},{"dropping-particle":"","family":"Tishkoff","given":"Sarah","non-dropping-particle":"","parse-names":false,"suffix":""},{"dropping-particle":"","family":"Via","given":"Marc","non-dropping-particle":"","parse-names":false,"suffix":""},{"dropping-particle":"","family":"Wang","given":"Yuhong","non-dropping-particle":"","parse-names":false,"suffix":""},{"dropping-particle":"","family":"Yang","given":"Huanming","non-dropping-particle":"","parse-names":false,"suffix":""},{"dropping-particle":"","family":"Yang","given":"Ling","non-dropping-particle":"","parse-names":false,"suffix":""},{"dropping-particle":"","family":"Zhu","given":"Jiayong","non-dropping-particle":"","parse-names":false,"suffix":""},{"dropping-particle":"","family":"Bodmer","given":"Walter","non-dropping-particle":"","parse-names":false,"suffix":""},{"dropping-particle":"","family":"Bedoya","given":"Gabriel","non-dropping-particle":"","parse-names":false,"suffix":""},{"dropping-particle":"","family":"Cai","given":"Zhiming","non-dropping-particle":"","parse-names":false,"suffix":""},{"dropping-particle":"","family":"Gao","given":"Yang","non-dropping-particle":"","parse-names":false,"suffix":""},{"dropping-particle":"","family":"Chu","given":"Jiayou","non-dropping-particle":"","parse-names":false,"suffix":""},{"dropping-particle":"","family":"Peltonen","given":"Leena","non-dropping-particle":"","parse-names":false,"suffix":""},{"dropping-particle":"","family":"Garcia-Montero","given":"Andres","non-dropping-particle":"","parse-names":false,"suffix":""},{"dropping-particle":"","family":"Orfao","given":"Alberto","non-dropping-particle":"","parse-names":false,"suffix":""},{"dropping-particle":"","family":"Dutil","given":"Julie","non-dropping-particle":"","parse-names":false,"suffix":""},{"dropping-particle":"","family":"Martinez-Cruzado","given":"Juan C.","non-dropping-particle":"","parse-names":false,"suffix":""},{"dropping-particle":"","family":"Mathias","given":"Rasika A.","non-dropping-particle":"","parse-names":false,"suffix":""},{"dropping-particle":"","family":"Hennis","given":"Anselm","non-dropping-particle":"","parse-names":false,"suffix":""},{"dropping-particle":"","family":"Watson","given":"Harold","non-dropping-particle":"","parse-names":false,"suffix":""},{"dropping-particle":"","family":"McKenzie","given":"Colin","non-dropping-particle":"","parse-names":false,"suffix":""},{"dropping-particle":"","family":"Qadri","given":"Firdausi","non-dropping-particle":"","parse-names":false,"suffix":""},{"dropping-particle":"","family":"LaRocque","given":"Regina","non-dropping-particle":"","parse-names":false,"suffix":""},{"dropping-particle":"","family":"Deng","given":"Xiaoyan","non-dropping-particle":"","parse-names":false,"suffix":""},{"dropping-particle":"","family":"Asogun","given":"Danny","non-dropping-particle":"","parse-names":false,"suffix":""},{"dropping-particle":"","family":"Folarin","given":"Onikepe","non-dropping-particle":"","parse-names":false,"suffix":""},{"dropping-particle":"","family":"Happi","given":"Christian","non-dropping-particle":"","parse-names":false,"suffix":""},{"dropping-particle":"","family":"Omoniwa","given":"Omonwunmi","non-dropping-particle":"","parse-names":false,"suffix":""},{"dropping-particle":"","family":"Stremlau","given":"Matt","non-dropping-particle":"","parse-names":false,"suffix":""},{"dropping-particle":"","family":"Tariyal","given":"Ridhi","non-dropping-particle":"","parse-names":false,"suffix":""},{"dropping-particle":"","family":"Jallow","given":"Muminatou","non-dropping-particle":"","parse-names":false,"suffix":""},{"dropping-particle":"","family":"Joof","given":"Fatoumatta Sisay","non-dropping-particle":"","parse-names":false,"suffix":""},{"dropping-particle":"","family":"Corrah","given":"Tumani","non-dropping-particle":"","parse-names":false,"suffix":""},{"dropping-particle":"","family":"Rockett","given":"Kirk","non-dropping-particle":"","parse-names":false,"suffix":""},{"dropping-particle":"","family":"Kwiatkowski","given":"Dominic","non-dropping-particle":"","parse-names":false,"suffix":""},{"dropping-particle":"","family":"Kooner","given":"Jaspal","non-dropping-particle":"","parse-names":false,"suffix":""},{"dropping-particle":"","family":"Hien","given":"Tran Tinh","non-dropping-particle":"","parse-names":false,"suffix":""},{"dropping-particle":"","family":"Dunstan","given":"Sarah J.","non-dropping-particle":"","parse-names":false,"suffix":""},{"dropping-particle":"","family":"ThuyHang","given":"Nguyen","non-dropping-particle":"","parse-names":false,"suffix":""},{"dropping-particle":"","family":"Fonnie","given":"Richard","non-dropping-particle":"","parse-names":false,"suffix":""},{"dropping-particle":"","family":"Garry","given":"Robert","non-dropping-particle":"","parse-names":false,"suffix":""},{"dropping-particle":"","family":"Kanneh","given":"Lansana","non-dropping-particle":"","parse-names":false,"suffix":""},{"dropping-particle":"","family":"Moses","given":"Lina","non-dropping-particle":"","parse-names":false,"suffix":""},{"dropping-particle":"","family":"Schieffelin","given":"John","non-dropping-particle":"","parse-names":false,"suffix":""},{"dropping-particle":"","family":"Grant","given":"Donald S.","non-dropping-particle":"","parse-names":false,"suffix":""},{"dropping-particle":"","family":"Gallo","given":"Carla","non-dropping-particle":"","parse-names":false,"suffix":""},{"dropping-particle":"","family":"Poletti","given":"Giovanni","non-dropping-particle":"","parse-names":false,"suffix":""},{"dropping-particle":"","family":"Saleheen","given":"Danish","non-dropping-particle":"","parse-names":false,"suffix":""},{"dropping-particle":"","family":"Rasheed","given":"Asif","non-dropping-particle":"","parse-names":false,"suffix":""},{"dropping-particle":"","family":"Brooks","given":"Lisa D.","non-dropping-particle":"","parse-names":false,"suffix":""},{"dropping-particle":"","family":"Felsenfeld","given":"Adam L.","non-dropping-particle":"","parse-names":false,"suffix":""},{"dropping-particle":"","family":"McEwen","given":"Jean E.","non-dropping-particle":"","parse-names":false,"suffix":""},{"dropping-particle":"","family":"Vaydylevich","given":"Yekaterina","non-dropping-particle":"","parse-names":false,"suffix":""},{"dropping-particle":"","family":"Duncanson","given":"Audrey","non-dropping-particle":"","parse-names":false,"suffix":""},{"dropping-particle":"","family":"Dunn","given":"Michael","non-dropping-particle":"","parse-names":false,"suffix":""},{"dropping-particle":"","family":"Schloss","given":"Jeffery A.","non-dropping-particle":"","parse-names":false,"suffix":""}],"container-title":"Nature","id":"ITEM-1","issue":"7571","issued":{"date-parts":[["2015","9","30"]]},"page":"68-74","publisher":"Nature Publishing Group","title":"A global reference for human genetic variation","type":"article","volume":"526"},"uris":["http://www.mendeley.com/documents/?uuid=d5511a11-b75d-3567-aaa9-4f7a780a0a9e"]}],"mendeley":{"formattedCitation":"[5]","plainTextFormattedCitation":"[5]","previouslyFormattedCitation":"[5]"},"properties":{"noteIndex":0},"schema":"https://github.com/citation-style-language/schema/raw/master/csl-citation.json"}</w:instrText>
      </w:r>
      <w:r w:rsidR="00BE3EA8">
        <w:rPr>
          <w:rFonts w:ascii="Arial" w:hAnsi="Arial" w:cs="Arial"/>
          <w:sz w:val="24"/>
          <w:szCs w:val="24"/>
        </w:rPr>
        <w:fldChar w:fldCharType="separate"/>
      </w:r>
      <w:r w:rsidR="00BE3EA8" w:rsidRPr="00BE3EA8">
        <w:rPr>
          <w:rFonts w:ascii="Arial" w:hAnsi="Arial" w:cs="Arial"/>
          <w:noProof/>
          <w:sz w:val="24"/>
          <w:szCs w:val="24"/>
        </w:rPr>
        <w:t>[5]</w:t>
      </w:r>
      <w:r w:rsidR="00BE3EA8">
        <w:rPr>
          <w:rFonts w:ascii="Arial" w:hAnsi="Arial" w:cs="Arial"/>
          <w:sz w:val="24"/>
          <w:szCs w:val="24"/>
        </w:rPr>
        <w:fldChar w:fldCharType="end"/>
      </w:r>
      <w:r w:rsidR="00BE3EA8">
        <w:rPr>
          <w:rFonts w:ascii="Arial" w:hAnsi="Arial" w:cs="Arial"/>
          <w:sz w:val="24"/>
          <w:szCs w:val="24"/>
        </w:rPr>
        <w:t xml:space="preserve"> (see </w:t>
      </w:r>
      <w:r w:rsidR="00BE3EA8" w:rsidRPr="00B90857">
        <w:rPr>
          <w:rFonts w:ascii="Arial" w:hAnsi="Arial" w:cs="Arial"/>
          <w:b/>
          <w:sz w:val="24"/>
          <w:szCs w:val="24"/>
        </w:rPr>
        <w:t>Methods</w:t>
      </w:r>
      <w:r w:rsidR="00BE3EA8">
        <w:rPr>
          <w:rFonts w:ascii="Arial" w:hAnsi="Arial" w:cs="Arial"/>
          <w:sz w:val="24"/>
          <w:szCs w:val="24"/>
        </w:rPr>
        <w:t>)</w:t>
      </w:r>
      <w:r>
        <w:rPr>
          <w:rFonts w:ascii="Arial" w:hAnsi="Arial" w:cs="Arial"/>
          <w:sz w:val="24"/>
          <w:szCs w:val="24"/>
        </w:rPr>
        <w:t>.</w:t>
      </w:r>
      <w:r w:rsidR="00BE3EA8">
        <w:rPr>
          <w:rFonts w:ascii="Arial" w:hAnsi="Arial" w:cs="Arial"/>
          <w:sz w:val="24"/>
          <w:szCs w:val="24"/>
        </w:rPr>
        <w:t xml:space="preserve"> </w:t>
      </w:r>
      <w:r w:rsidR="00BD5760">
        <w:rPr>
          <w:rFonts w:ascii="Arial" w:hAnsi="Arial" w:cs="Arial"/>
          <w:sz w:val="24"/>
          <w:szCs w:val="24"/>
        </w:rPr>
        <w:t>Overall, we find marginal increase in the strength of association between lead SNP and cis-</w:t>
      </w:r>
      <w:proofErr w:type="spellStart"/>
      <w:r w:rsidR="00BD5760">
        <w:rPr>
          <w:rFonts w:ascii="Arial" w:hAnsi="Arial" w:cs="Arial"/>
          <w:sz w:val="24"/>
          <w:szCs w:val="24"/>
        </w:rPr>
        <w:t>eGene</w:t>
      </w:r>
      <w:proofErr w:type="spellEnd"/>
      <w:r w:rsidR="00BD5760">
        <w:rPr>
          <w:rFonts w:ascii="Arial" w:hAnsi="Arial" w:cs="Arial"/>
          <w:sz w:val="24"/>
          <w:szCs w:val="24"/>
        </w:rPr>
        <w:t xml:space="preserve"> using an estimated local ancestry-adjustment</w:t>
      </w:r>
      <w:r w:rsidR="00003087">
        <w:rPr>
          <w:rFonts w:ascii="Arial" w:hAnsi="Arial" w:cs="Arial"/>
          <w:sz w:val="24"/>
          <w:szCs w:val="24"/>
        </w:rPr>
        <w:t xml:space="preserve"> over the association measured with a genome-wide ancestry adjustment</w:t>
      </w:r>
      <w:r w:rsidR="00BE3EA8">
        <w:rPr>
          <w:rFonts w:ascii="Arial" w:hAnsi="Arial" w:cs="Arial"/>
          <w:sz w:val="24"/>
          <w:szCs w:val="24"/>
        </w:rPr>
        <w:t>.</w:t>
      </w:r>
      <w:r w:rsidR="00BD5760">
        <w:rPr>
          <w:rFonts w:ascii="Arial" w:hAnsi="Arial" w:cs="Arial"/>
          <w:sz w:val="24"/>
          <w:szCs w:val="24"/>
        </w:rPr>
        <w:t xml:space="preserve"> However, we did not observe considerable harmonization of </w:t>
      </w:r>
      <w:r w:rsidR="00003087">
        <w:rPr>
          <w:rFonts w:ascii="Arial" w:hAnsi="Arial" w:cs="Arial"/>
          <w:sz w:val="24"/>
          <w:szCs w:val="24"/>
        </w:rPr>
        <w:t xml:space="preserve">stratified </w:t>
      </w:r>
      <w:r w:rsidR="00BD5760">
        <w:rPr>
          <w:rFonts w:ascii="Arial" w:hAnsi="Arial" w:cs="Arial"/>
          <w:sz w:val="24"/>
          <w:szCs w:val="24"/>
        </w:rPr>
        <w:t>cis-eQTLs across populations</w:t>
      </w:r>
      <w:r w:rsidR="00003087">
        <w:rPr>
          <w:rFonts w:ascii="Arial" w:hAnsi="Arial" w:cs="Arial"/>
          <w:sz w:val="24"/>
          <w:szCs w:val="24"/>
        </w:rPr>
        <w:t xml:space="preserve">; in general, race-specific, local ancestry-adjusted lead cis-eQTLs </w:t>
      </w:r>
      <w:proofErr w:type="gramStart"/>
      <w:r w:rsidR="00003087">
        <w:rPr>
          <w:rFonts w:ascii="Arial" w:hAnsi="Arial" w:cs="Arial"/>
          <w:sz w:val="24"/>
          <w:szCs w:val="24"/>
        </w:rPr>
        <w:t>in a given</w:t>
      </w:r>
      <w:proofErr w:type="gramEnd"/>
      <w:r w:rsidR="00003087">
        <w:rPr>
          <w:rFonts w:ascii="Arial" w:hAnsi="Arial" w:cs="Arial"/>
          <w:sz w:val="24"/>
          <w:szCs w:val="24"/>
        </w:rPr>
        <w:t xml:space="preserve"> </w:t>
      </w:r>
      <w:r w:rsidR="002E72A2">
        <w:rPr>
          <w:rFonts w:ascii="Arial" w:hAnsi="Arial" w:cs="Arial"/>
          <w:sz w:val="24"/>
          <w:szCs w:val="24"/>
        </w:rPr>
        <w:t xml:space="preserve">race-stratified </w:t>
      </w:r>
      <w:r w:rsidR="00003087">
        <w:rPr>
          <w:rFonts w:ascii="Arial" w:hAnsi="Arial" w:cs="Arial"/>
          <w:sz w:val="24"/>
          <w:szCs w:val="24"/>
        </w:rPr>
        <w:t>sample did not show similar association in the other (</w:t>
      </w:r>
      <w:r w:rsidR="008735B5">
        <w:rPr>
          <w:rFonts w:ascii="Arial" w:hAnsi="Arial" w:cs="Arial"/>
          <w:b/>
          <w:bCs/>
          <w:sz w:val="24"/>
          <w:szCs w:val="24"/>
        </w:rPr>
        <w:t xml:space="preserve">Additional File 2: </w:t>
      </w:r>
      <w:r w:rsidR="008735B5" w:rsidRPr="00073AB2">
        <w:rPr>
          <w:rFonts w:ascii="Arial" w:hAnsi="Arial" w:cs="Arial"/>
          <w:b/>
          <w:bCs/>
          <w:sz w:val="24"/>
          <w:szCs w:val="24"/>
        </w:rPr>
        <w:t xml:space="preserve">Figure </w:t>
      </w:r>
      <w:r w:rsidR="008735B5">
        <w:rPr>
          <w:rFonts w:ascii="Arial" w:hAnsi="Arial" w:cs="Arial"/>
          <w:b/>
          <w:bCs/>
          <w:sz w:val="24"/>
          <w:szCs w:val="24"/>
        </w:rPr>
        <w:t>S</w:t>
      </w:r>
      <w:r w:rsidR="009520DF">
        <w:rPr>
          <w:rFonts w:ascii="Arial" w:hAnsi="Arial" w:cs="Arial"/>
          <w:b/>
          <w:bCs/>
          <w:sz w:val="24"/>
          <w:szCs w:val="24"/>
        </w:rPr>
        <w:t>6</w:t>
      </w:r>
      <w:r w:rsidR="00003087">
        <w:rPr>
          <w:rFonts w:ascii="Arial" w:hAnsi="Arial" w:cs="Arial"/>
          <w:sz w:val="24"/>
          <w:szCs w:val="24"/>
        </w:rPr>
        <w:t>).</w:t>
      </w:r>
    </w:p>
    <w:p w14:paraId="5CE7F8AA" w14:textId="2E4EF0CD" w:rsidR="00BE3EA8" w:rsidRDefault="00BE3EA8" w:rsidP="009B51CD">
      <w:pPr>
        <w:autoSpaceDE w:val="0"/>
        <w:autoSpaceDN w:val="0"/>
        <w:adjustRightInd w:val="0"/>
        <w:spacing w:after="0" w:line="480" w:lineRule="auto"/>
        <w:jc w:val="both"/>
        <w:rPr>
          <w:rFonts w:ascii="Arial" w:hAnsi="Arial" w:cs="Arial"/>
          <w:sz w:val="24"/>
          <w:szCs w:val="24"/>
        </w:rPr>
      </w:pPr>
      <w:r>
        <w:rPr>
          <w:rFonts w:ascii="Arial" w:hAnsi="Arial" w:cs="Arial"/>
          <w:sz w:val="24"/>
          <w:szCs w:val="24"/>
        </w:rPr>
        <w:tab/>
        <w:t xml:space="preserve">It has been shown that, due to allele frequency differences between populations, the underlying </w:t>
      </w:r>
      <w:r w:rsidR="00CB6B23">
        <w:rPr>
          <w:rFonts w:ascii="Arial" w:hAnsi="Arial" w:cs="Arial"/>
          <w:sz w:val="24"/>
          <w:szCs w:val="24"/>
        </w:rPr>
        <w:t xml:space="preserve">genetic and </w:t>
      </w:r>
      <w:proofErr w:type="spellStart"/>
      <w:r>
        <w:rPr>
          <w:rFonts w:ascii="Arial" w:hAnsi="Arial" w:cs="Arial"/>
          <w:sz w:val="24"/>
          <w:szCs w:val="24"/>
        </w:rPr>
        <w:t>eQTL</w:t>
      </w:r>
      <w:proofErr w:type="spellEnd"/>
      <w:r>
        <w:rPr>
          <w:rFonts w:ascii="Arial" w:hAnsi="Arial" w:cs="Arial"/>
          <w:sz w:val="24"/>
          <w:szCs w:val="24"/>
        </w:rPr>
        <w:t xml:space="preserve"> architecture </w:t>
      </w:r>
      <w:r w:rsidR="00CB6B23">
        <w:rPr>
          <w:rFonts w:ascii="Arial" w:hAnsi="Arial" w:cs="Arial"/>
          <w:sz w:val="24"/>
          <w:szCs w:val="24"/>
        </w:rPr>
        <w:t xml:space="preserve">for complex traits </w:t>
      </w:r>
      <w:r>
        <w:rPr>
          <w:rFonts w:ascii="Arial" w:hAnsi="Arial" w:cs="Arial"/>
          <w:sz w:val="24"/>
          <w:szCs w:val="24"/>
        </w:rPr>
        <w:t>may not be well-correlated across diverse populations</w:t>
      </w:r>
      <w:r w:rsidR="00CB6B23">
        <w:rPr>
          <w:rFonts w:ascii="Arial" w:hAnsi="Arial" w:cs="Arial"/>
          <w:sz w:val="24"/>
          <w:szCs w:val="24"/>
        </w:rPr>
        <w:fldChar w:fldCharType="begin" w:fldLock="1"/>
      </w:r>
      <w:r w:rsidR="00CB6B23">
        <w:rPr>
          <w:rFonts w:ascii="Arial" w:hAnsi="Arial" w:cs="Arial"/>
          <w:sz w:val="24"/>
          <w:szCs w:val="24"/>
        </w:rPr>
        <w:instrText>ADDIN CSL_CITATION {"citationItems":[{"id":"ITEM-1","itemData":{"DOI":"10.1016/j.ajhg.2019.08.012","ISSN":"00029297","abstract":"Large-scale multi-ethnic cohorts offer unprecedented opportunities to elucidate the genetic factors influencing complex traits related to health and disease among minority populations. At the same time, the genetic diversity in these cohorts presents new challenges for analysis and interpretation. We consider the utility of race and/or ethnicity categories in genome-wide association studies (GWASs) of multi-ethnic cohorts. We demonstrate that race/ethnicity information enhances the ability to understand population-specific genetic architecture. To address the practical issue that self-identified racial/ethnic information may be incomplete, we propose a machine learning algorithm that produces a surrogate variable, termed HARE. We use height as a model trait to demonstrate the utility of HARE and ethnicity-specific GWASs.","author":[{"dropping-particle":"","family":"Fang","given":"Huaying","non-dropping-particle":"","parse-names":false,"suffix":""},{"dropping-particle":"","family":"Hui","given":"Qin","non-dropping-particle":"","parse-names":false,"suffix":""},{"dropping-particle":"","family":"Lynch","given":"Julie","non-dropping-particle":"","parse-names":false,"suffix":""},{"dropping-particle":"","family":"Honerlaw","given":"Jacqueline","non-dropping-particle":"","parse-names":false,"suffix":""},{"dropping-particle":"","family":"Assimes","given":"Themistocles L.","non-dropping-particle":"","parse-names":false,"suffix":""},{"dropping-particle":"","family":"Huang","given":"Jie","non-dropping-particle":"","parse-names":false,"suffix":""},{"dropping-particle":"","family":"Vujkovic","given":"Marijana","non-dropping-particle":"","parse-names":false,"suffix":""},{"dropping-particle":"","family":"Damrauer","given":"Scott M.","non-dropping-particle":"","parse-names":false,"suffix":""},{"dropping-particle":"","family":"Pyarajan","given":"Saiju","non-dropping-particle":"","parse-names":false,"suffix":""},{"dropping-particle":"","family":"Gaziano","given":"J. Michael","non-dropping-particle":"","parse-names":false,"suffix":""},{"dropping-particle":"","family":"DuVall","given":"Scott L.","non-dropping-particle":"","parse-names":false,"suffix":""},{"dropping-particle":"","family":"O’Donnell","given":"Christopher J.","non-dropping-particle":"","parse-names":false,"suffix":""},{"dropping-particle":"","family":"Cho","given":"Kelly","non-dropping-particle":"","parse-names":false,"suffix":""},{"dropping-particle":"","family":"Chang","given":"Kyong-Mi","non-dropping-particle":"","parse-names":false,"suffix":""},{"dropping-particle":"","family":"Wilson","given":"Peter W.F.","non-dropping-particle":"","parse-names":false,"suffix":""},{"dropping-particle":"","family":"Tsao","given":"Philip S.","non-dropping-particle":"","parse-names":false,"suffix":""},{"dropping-particle":"V.","family":"Sun","given":"Yan","non-dropping-particle":"","parse-names":false,"suffix":""},{"dropping-particle":"","family":"Tang","given":"Hua","non-dropping-particle":"","parse-names":false,"suffix":""},{"dropping-particle":"","family":"Gaziano","given":"J. Michael","non-dropping-particle":"","parse-names":false,"suffix":""},{"dropping-particle":"","family":"Ramoni","given":"Rachel","non-dropping-particle":"","parse-names":false,"suffix":""},{"dropping-particle":"","family":"Breeling","given":"Jim","non-dropping-particle":"","parse-names":false,"suffix":""},{"dropping-particle":"","family":"Chang","given":"Kyong-Mi","non-dropping-particle":"","parse-names":false,"suffix":""},{"dropping-particle":"","family":"Huang","given":"Grant","non-dropping-particle":"","parse-names":false,"suffix":""},{"dropping-particle":"","family":"Muralidhar","given":"Sumitra","non-dropping-particle":"","parse-names":false,"suffix":""},{"dropping-particle":"","family":"O’Donnell","given":"Christopher J.","non-dropping-particle":"","parse-names":false,"suffix":""},{"dropping-particle":"","family":"Tsao","given":"Philip S.","non-dropping-particle":"","parse-names":false,"suffix":""},{"dropping-particle":"","family":"Muralidhar","given":"Sumitra","non-dropping-particle":"","parse-names":false,"suffix":""},{"dropping-particle":"","family":"Moser","given":"Jennifer","non-dropping-particle":"","parse-names":false,"suffix":""},{"dropping-particle":"","family":"Whitbourne","given":"Stacey B.","non-dropping-particle":"","parse-names":false,"suffix":""},{"dropping-particle":"V.","family":"Brewer","given":"Jessica","non-dropping-particle":"","parse-names":false,"suffix":""},{"dropping-particle":"","family":"Concato","given":"John","non-dropping-particle":"","parse-names":false,"suffix":""},{"dropping-particle":"","family":"Warren","given":"Stuart","non-dropping-particle":"","parse-names":false,"suffix":""},{"dropping-particle":"","family":"Argyres","given":"Dean P.","non-dropping-particle":"","parse-names":false,"suffix":""},{"dropping-particle":"","family":"Stephens","given":"Brady","non-dropping-particle":"","parse-names":false,"suffix":""},{"dropping-particle":"","family":"Brophy","given":"Mary T.","non-dropping-particle":"","parse-names":false,"suffix":""},{"dropping-particle":"","family":"Humphries","given":"Donald E.","non-dropping-particle":"","parse-names":false,"suffix":""},{"dropping-particle":"","family":"Do","given":"Nhan","non-dropping-particle":"","parse-names":false,"suffix":""},{"dropping-particle":"","family":"Shayan","given":"Shahpoor","non-dropping-particle":"","parse-names":false,"suffix":""},{"dropping-particle":"","family":"Nguyen","given":"Xuan-Mai T.","non-dropping-particle":"","parse-names":false,"suffix":""},{"dropping-particle":"","family":"Pyarajan","given":"Saiju","non-dropping-particle":"","parse-names":false,"suffix":""},{"dropping-particle":"","family":"Cho","given":"Kelly","non-dropping-particle":"","parse-names":false,"suffix":""},{"dropping-particle":"","family":"Hauser","given":"Elizabeth","non-dropping-particle":"","parse-names":false,"suffix":""},{"dropping-particle":"","family":"Sun","given":"Yan","non-dropping-particle":"","parse-names":false,"suffix":""},{"dropping-particle":"","family":"Zhao","given":"Hongyu","non-dropping-particle":"","parse-names":false,"suffix":""},{"dropping-particle":"","family":"Wilson","given":"Peter","non-dropping-particle":"","parse-names":false,"suffix":""},{"dropping-particle":"","family":"McArdle","given":"Rachel","non-dropping-particle":"","parse-names":false,"suffix":""},{"dropping-particle":"","family":"Dellitalia","given":"Louis","non-dropping-particle":"","parse-names":false,"suffix":""},{"dropping-particle":"","family":"Harley","given":"John","non-dropping-particle":"","parse-names":false,"suffix":""},{"dropping-particle":"","family":"Whittle","given":"Jeffrey","non-dropping-particle":"","parse-names":false,"suffix":""},{"dropping-particle":"","family":"Beckham","given":"Jean","non-dropping-particle":"","parse-names":false,"suffix":""},{"dropping-particle":"","family":"Wells","given":"John","non-dropping-particle":"","parse-names":false,"suffix":""},{"dropping-particle":"","family":"Gutierrez","given":"Salvador","non-dropping-particle":"","parse-names":false,"suffix":""},{"dropping-particle":"","family":"Gibson","given":"Gretchen","non-dropping-particle":"","parse-names":false,"suffix":""},{"dropping-particle":"","family":"Kaminsky","given":"Laurence","non-dropping-particle":"","parse-names":false,"suffix":""},{"dropping-particle":"","family":"Villareal","given":"Gerardo","non-dropping-particle":"","parse-names":false,"suffix":""},{"dropping-particle":"","family":"Kinlay","given":"Scott","non-dropping-particle":"","parse-names":false,"suffix":""},{"dropping-particle":"","family":"Xu","given":"Junzhe","non-dropping-particle":"","parse-names":false,"suffix":""},{"dropping-particle":"","family":"Hamner","given":"Mark","non-dropping-particle":"","parse-names":false,"suffix":""},{"dropping-particle":"","family":"Haddock","given":"Kathlyn Sue","non-dropping-particle":"","parse-names":false,"suffix":""},{"dropping-particle":"","family":"Bhushan","given":"Sujata","non-dropping-particle":"","parse-names":false,"suffix":""},{"dropping-particle":"","family":"Iruvanti","given":"Pran","non-dropping-particle":"","parse-names":false,"suffix":""},{"dropping-particle":"","family":"Godschalk","given":"Michael","non-dropping-particle":"","parse-names":false,"suffix":""},{"dropping-particle":"","family":"Ballas","given":"Zuhair","non-dropping-particle":"","parse-names":false,"suffix":""},{"dropping-particle":"","family":"Buford","given":"Malcolm","non-dropping-particle":"","parse-names":false,"suffix":""},{"dropping-particle":"","family":"Mastorides","given":"Stephen","non-dropping-particle":"","parse-names":false,"suffix":""},{"dropping-particle":"","family":"Klein","given":"Jon","non-dropping-particle":"","parse-names":false,"suffix":""},{"dropping-particle":"","family":"Ratcliffe","given":"Nora","non-dropping-particle":"","parse-names":false,"suffix":""},{"dropping-particle":"","family":"Florez","given":"Hermes","non-dropping-particle":"","parse-names":false,"suffix":""},{"dropping-particle":"","family":"Swann","given":"Alan","non-dropping-particle":"","parse-names":false,"suffix":""},{"dropping-particle":"","family":"Murdoch","given":"Maureen","non-dropping-particle":"","parse-names":false,"suffix":""},{"dropping-particle":"","family":"Sriram","given":"Peruvemba","non-dropping-particle":"","parse-names":false,"suffix":""},{"dropping-particle":"","family":"Yeh","given":"Shing Shing","non-dropping-particle":"","parse-names":false,"suffix":""},{"dropping-particle":"","family":"Washburn","given":"Ronald","non-dropping-particle":"","parse-names":false,"suffix":""},{"dropping-particle":"","family":"Jhala","given":"Darshana","non-dropping-particle":"","parse-names":false,"suffix":""},{"dropping-particle":"","family":"Aguayo","given":"Samuel","non-dropping-particle":"","parse-names":false,"suffix":""},{"dropping-particle":"","family":"Cohen","given":"David","non-dropping-particle":"","parse-names":false,"suffix":""},{"dropping-particle":"","family":"Sharma","given":"Satish","non-dropping-particle":"","parse-names":false,"suffix":""},{"dropping-particle":"","family":"Callaghan","given":"John","non-dropping-particle":"","parse-names":false,"suffix":""},{"dropping-particle":"","family":"Oursler","given":"Kris Ann","non-dropping-particle":"","parse-names":false,"suffix":""},{"dropping-particle":"","family":"Whooley","given":"Mary","non-dropping-particle":"","parse-names":false,"suffix":""},{"dropping-particle":"","family":"Ahuja","given":"Sunil","non-dropping-particle":"","parse-names":false,"suffix":""},{"dropping-particle":"","family":"Gutierrez","given":"Amparo","non-dropping-particle":"","parse-names":false,"suffix":""},{"dropping-particle":"","family":"Schifman","given":"Ronald","non-dropping-particle":"","parse-names":false,"suffix":""},{"dropping-particle":"","family":"Greco","given":"Jennifer","non-dropping-particle":"","parse-names":false,"suffix":""},{"dropping-particle":"","family":"Rauchman","given":"Michael","non-dropping-particle":"","parse-names":false,"suffix":""},{"dropping-particle":"","family":"Servatius","given":"Richard","non-dropping-particle":"","parse-names":false,"suffix":""},{"dropping-particle":"","family":"Oehlert","given":"Mary","non-dropping-particle":"","parse-names":false,"suffix":""},{"dropping-particle":"","family":"Wallbom","given":"Agnes","non-dropping-particle":"","parse-names":false,"suffix":""},{"dropping-particle":"","family":"Fernando","given":"Ronald","non-dropping-particle":"","parse-names":false,"suffix":""},{"dropping-particle":"","family":"Morgan","given":"Timothy","non-dropping-particle":"","parse-names":false,"suffix":""},{"dropping-particle":"","family":"Stapley","given":"Todd","non-dropping-particle":"","parse-names":false,"suffix":""},{"dropping-particle":"","family":"Sherman","given":"Scott","non-dropping-particle":"","parse-names":false,"suffix":""},{"dropping-particle":"","family":"Anderson","given":"Gwenevere","non-dropping-particle":"","parse-names":false,"suffix":""},{"dropping-particle":"","family":"Sonel","given":"Elif","non-dropping-particle":"","parse-names":false,"suffix":""},{"dropping-particle":"","family":"Boyko","given":"Edward","non-dropping-particle":"","parse-names":false,"suffix":""},{"dropping-particle":"","family":"Meyer","given":"Laurence","non-dropping-particle":"","parse-names":false,"suffix":""},{"dropping-particle":"","family":"Gupta","given":"Samir","non-dropping-particle":"","parse-names":false,"suffix":""},{"dropping-particle":"","family":"Fayad","given":"Joseph","non-dropping-particle":"","parse-names":false,"suffix":""},{"dropping-particle":"","family":"Hung","given":"Adriana","non-dropping-particle":"","parse-names":false,"suffix":""},{"dropping-particle":"","family":"Lichy","given":"Jack","non-dropping-particle":"","parse-names":false,"suffix":""},{"dropping-particle":"","family":"Hurley","given":"Robin","non-dropping-particle":"","parse-names":false,"suffix":""},{"dropping-particle":"","family":"Robey","given":"Brooks","non-dropping-particle":"","parse-names":false,"suffix":""},{"dropping-particle":"","family":"Striker","given":"Robert","non-dropping-particle":"","parse-names":false,"suffix":""}],"container-title":"The American Journal of Human Genetics","id":"ITEM-1","issue":"4","issued":{"date-parts":[["2019","10"]]},"page":"763-772","publisher":"Elsevier BV","title":"Harmonizing Genetic Ancestry and Self-identified Race/Ethnicity in Genome-wide Association Studies","type":"article-journal","volume":"105"},"uris":["http://www.mendeley.com/documents/?uuid=60453ff6-26f4-3d22-a8e1-d29ab604cd52"]},{"id":"ITEM-2","itemData":{"DOI":"10.1371/journal.pgen.1007586","ISSN":"1553-7404","abstract":"For many complex traits, gene regulation is likely to play a crucial mechanistic role. How the genetic architectures of complex traits vary between populations and subsequent effects on genetic prediction are not well understood, in part due to the historical paucity of GWAS in populations of non-European ancestry. We used data from the MESA (Multi-Ethnic Study of Atherosclerosis) cohort to characterize the genetic architecture of gene expression within and between diverse populations. Genotype and monocyte gene expression were available in individuals with African American (AFA, n = 233), Hispanic (HIS, n = 352), and European (CAU, n = 578) ancestry. We performed expression quantitative trait loci (eQTL) mapping in each population and show genetic correlation of gene expression depends on shared ancestry proportions. Using elastic net modeling with cross validation to optimize genotypic predictors of gene expression in each population, we show the genetic architecture of gene expression for most predictable genes is sparse. We found the best predicted gene in each population, TACSTD2 in AFA and CHURC1 in CAU and HIS, had similar prediction performance across populations with R2 &gt; 0.8 in each population. However, we identified a subset of genes that are well-predicted in one population, but poorly predicted in another. We show these differences in predictive performance are due to allele frequency differences between populations. Using genotype weights trained in MESA to predict gene expression in independent populations showed that a training set with ancestry similar to the test set is better at predicting gene expression in test populations, demonstrating an urgent need for diverse population sampling in genomics. Our predictive models and performance statistics in diverse cohorts are made publicly available for use in transcriptome mapping methods at https://github.com/WheelerLab/DivPop.","author":[{"dropping-particle":"","family":"Mogil","given":"Lauren S.","non-dropping-particle":"","parse-names":false,"suffix":""},{"dropping-particle":"","family":"Andaleon","given":"Angela","non-dropping-particle":"","parse-names":false,"suffix":""},{"dropping-particle":"","family":"Badalamenti","given":"Alexa","non-dropping-particle":"","parse-names":false,"suffix":""},{"dropping-particle":"","family":"Dickinson","given":"Scott P.","non-dropping-particle":"","parse-names":false,"suffix":""},{"dropping-particle":"","family":"Guo","given":"Xiuqing","non-dropping-particle":"","parse-names":false,"suffix":""},{"dropping-particle":"","family":"Rotter","given":"Jerome I.","non-dropping-particle":"","parse-names":false,"suffix":""},{"dropping-particle":"","family":"Johnson","given":"W. Craig","non-dropping-particle":"","parse-names":false,"suffix":""},{"dropping-particle":"","family":"Im","given":"Hae Kyung","non-dropping-particle":"","parse-names":false,"suffix":""},{"dropping-particle":"","family":"Liu","given":"Yongmei","non-dropping-particle":"","parse-names":false,"suffix":""},{"dropping-particle":"","family":"Wheeler","given":"Heather E.","non-dropping-particle":"","parse-names":false,"suffix":""}],"container-title":"PLOS Genetics","editor":[{"dropping-particle":"","family":"Epstein","given":"Michael P.","non-dropping-particle":"","parse-names":false,"suffix":""}],"id":"ITEM-2","issue":"8","issued":{"date-parts":[["2018","8","10"]]},"page":"e1007586","publisher":"Public Library of Science","title":"Genetic architecture of gene expression traits across diverse populations","type":"article-journal","volume":"14"},"uris":["http://www.mendeley.com/documents/?uuid=18eb8e3e-8565-3ec3-b371-db1ac64513f7"]}],"mendeley":{"formattedCitation":"[6,7]","plainTextFormattedCitation":"[6,7]"},"properties":{"noteIndex":0},"schema":"https://github.com/citation-style-language/schema/raw/master/csl-citation.json"}</w:instrText>
      </w:r>
      <w:r w:rsidR="00CB6B23">
        <w:rPr>
          <w:rFonts w:ascii="Arial" w:hAnsi="Arial" w:cs="Arial"/>
          <w:sz w:val="24"/>
          <w:szCs w:val="24"/>
        </w:rPr>
        <w:fldChar w:fldCharType="separate"/>
      </w:r>
      <w:r w:rsidR="00CB6B23" w:rsidRPr="00CB6B23">
        <w:rPr>
          <w:rFonts w:ascii="Arial" w:hAnsi="Arial" w:cs="Arial"/>
          <w:noProof/>
          <w:sz w:val="24"/>
          <w:szCs w:val="24"/>
        </w:rPr>
        <w:t>[6,7]</w:t>
      </w:r>
      <w:r w:rsidR="00CB6B23">
        <w:rPr>
          <w:rFonts w:ascii="Arial" w:hAnsi="Arial" w:cs="Arial"/>
          <w:sz w:val="24"/>
          <w:szCs w:val="24"/>
        </w:rPr>
        <w:fldChar w:fldCharType="end"/>
      </w:r>
      <w:r>
        <w:rPr>
          <w:rFonts w:ascii="Arial" w:hAnsi="Arial" w:cs="Arial"/>
          <w:sz w:val="24"/>
          <w:szCs w:val="24"/>
        </w:rPr>
        <w:t>. Zhong et al shows that incorporating local ancestry helps to better characterize the heritability of gene expression and complex traits and accurately map genetics associations</w:t>
      </w:r>
      <w:r>
        <w:rPr>
          <w:rFonts w:ascii="Arial" w:hAnsi="Arial" w:cs="Arial"/>
          <w:sz w:val="24"/>
          <w:szCs w:val="24"/>
        </w:rPr>
        <w:fldChar w:fldCharType="begin" w:fldLock="1"/>
      </w:r>
      <w:r w:rsidR="00CB6B23">
        <w:rPr>
          <w:rFonts w:ascii="Arial" w:hAnsi="Arial" w:cs="Arial"/>
          <w:sz w:val="24"/>
          <w:szCs w:val="24"/>
        </w:rPr>
        <w:instrText>ADDIN CSL_CITATION {"citationItems":[{"id":"ITEM-1","itemData":{"DOI":"10.1016/j.ajhg.2019.04.009","ISSN":"15376605","abstract":"Understanding the nature of the genetic regulation of gene expression promises to advance our understanding of the genetic basis of disease. However, the methodological impact of the use of local ancestry on high-dimensional omics analyses, including, most prominently, expression quantitative trait loci (eQTL) mapping and trait heritability estimation, in admixed populations remains critically underexplored. Here, we develop a statistical framework that characterizes the relationships among the determinants of the genetic architecture of an important class of molecular traits. We provide a computationally efficient approach to local ancestry analysis in eQTL mapping while increasing control of type I and type II error over traditional approaches. Applying our method to National Institute of General Medical Sciences (NIGMS) and Genotype-Tissue Expression (GTEx) datasets, we show that the use of local ancestry can improve eQTL mapping in admixed and multiethnic populations, respectively. We estimate the trait variance explained by ancestry by using local admixture relatedness between individuals. By using simulations of diverse genetic architectures and degrees of confounding, we show improved accuracy in estimating heritability when accounting for local ancestry similarity. Furthermore, we characterize the sparse versus polygenic components of gene expression in admixed individuals. Our study has important methodological implications for genetic analysis of omics traits across a range of genomic contexts, from a single variant to a prioritized region to the entire genome. Our findings highlight the importance of using local ancestry to better characterize the heritability of complex traits and to more accurately map genetic associations.","author":[{"dropping-particle":"","family":"Zhong","given":"Yizhen","non-dropping-particle":"","parse-names":false,"suffix":""},{"dropping-particle":"","family":"Perera","given":"Minoli A.","non-dropping-particle":"","parse-names":false,"suffix":""},{"dropping-particle":"","family":"Gamazon","given":"Eric R.","non-dropping-particle":"","parse-names":false,"suffix":""}],"container-title":"American Journal of Human Genetics","id":"ITEM-1","issue":"6","issued":{"date-parts":[["2019","6","6"]]},"page":"1097-1115","publisher":"Cell Press","title":"On Using Local Ancestry to Characterize the Genetic Architecture of Human Traits: Genetic Regulation of Gene Expression in Multiethnic or Admixed Populations","type":"article-journal","volume":"104"},"uris":["http://www.mendeley.com/documents/?uuid=3ef39026-a981-307c-b864-5a6eabf54c4e"]}],"mendeley":{"formattedCitation":"[8]","plainTextFormattedCitation":"[8]","previouslyFormattedCitation":"[7]"},"properties":{"noteIndex":0},"schema":"https://github.com/citation-style-language/schema/raw/master/csl-citation.json"}</w:instrText>
      </w:r>
      <w:r>
        <w:rPr>
          <w:rFonts w:ascii="Arial" w:hAnsi="Arial" w:cs="Arial"/>
          <w:sz w:val="24"/>
          <w:szCs w:val="24"/>
        </w:rPr>
        <w:fldChar w:fldCharType="separate"/>
      </w:r>
      <w:r w:rsidR="00CB6B23" w:rsidRPr="00CB6B23">
        <w:rPr>
          <w:rFonts w:ascii="Arial" w:hAnsi="Arial" w:cs="Arial"/>
          <w:noProof/>
          <w:sz w:val="24"/>
          <w:szCs w:val="24"/>
        </w:rPr>
        <w:t>[8]</w:t>
      </w:r>
      <w:r>
        <w:rPr>
          <w:rFonts w:ascii="Arial" w:hAnsi="Arial" w:cs="Arial"/>
          <w:sz w:val="24"/>
          <w:szCs w:val="24"/>
        </w:rPr>
        <w:fldChar w:fldCharType="end"/>
      </w:r>
      <w:r>
        <w:rPr>
          <w:rFonts w:ascii="Arial" w:hAnsi="Arial" w:cs="Arial"/>
          <w:sz w:val="24"/>
          <w:szCs w:val="24"/>
        </w:rPr>
        <w:t>. However, our local ancestry-</w:t>
      </w:r>
      <w:r>
        <w:rPr>
          <w:rFonts w:ascii="Arial" w:hAnsi="Arial" w:cs="Arial"/>
          <w:sz w:val="24"/>
          <w:szCs w:val="24"/>
        </w:rPr>
        <w:lastRenderedPageBreak/>
        <w:t>adjusted cis-eQTLs were not well-correlated across AA and WW women.</w:t>
      </w:r>
      <w:r w:rsidR="000A6E4B">
        <w:rPr>
          <w:rFonts w:ascii="Arial" w:hAnsi="Arial" w:cs="Arial"/>
          <w:sz w:val="24"/>
          <w:szCs w:val="24"/>
        </w:rPr>
        <w:t xml:space="preserve"> Perhaps, the persistence of this difference can be due to the simplicity of the commonly used assumption that there are two major source populations of admixture in CBCS samples (i.e. CEU and YRI). Several genetic studies into the genome-wide and local hereditary of admixed populations in the United States have shown that migratory patterns greatly inform these patterns of genetic ancestry </w:t>
      </w:r>
      <w:r w:rsidR="000A6E4B">
        <w:rPr>
          <w:rFonts w:ascii="Arial" w:hAnsi="Arial" w:cs="Arial"/>
          <w:sz w:val="24"/>
          <w:szCs w:val="24"/>
        </w:rPr>
        <w:fldChar w:fldCharType="begin" w:fldLock="1"/>
      </w:r>
      <w:r w:rsidR="00CB6B23">
        <w:rPr>
          <w:rFonts w:ascii="Arial" w:hAnsi="Arial" w:cs="Arial"/>
          <w:sz w:val="24"/>
          <w:szCs w:val="24"/>
        </w:rPr>
        <w:instrText xml:space="preserve">ADDIN CSL_CITATION {"citationItems":[{"id":"ITEM-1","itemData":{"DOI":"10.1371/journal.pgen.1006059","ISSN":"15537404","abstract":"We present a comprehensive assessment of genomic diversity in the African-American population by studying three genotyped cohorts comprising 3,726 African-Americans from across the United States that provide a representative description of the population across all US states and socioeconomic status. An estimated 82.1% of ancestors to African-Americans lived in Africa prior to the advent of transatlantic travel, 16.7% in Europe, and 1.2% in the Americas, with increased African ancestry in the southern United States compared to the North and West. Combining demographic models of ancestry and those of relatedness suggests that admixture occurred predominantly in the South prior to the Civil War and that ancestry-biased migration is responsible for regional differences in ancestry. We find that recent migrations also caused a strong increase in genetic relatedness among geographically distant African-Americans. Long-range relatedness among African-Americans and between African-Americans and European-Americans thus track north- and west-bound migration routes followed during the Great Migration of the twentieth century. By contrast, short-range relatedness patterns suggest comparable mobility of </w:instrText>
      </w:r>
      <w:r w:rsidR="00CB6B23">
        <w:rPr>
          <w:rFonts w:ascii="Cambria Math" w:hAnsi="Cambria Math" w:cs="Cambria Math"/>
          <w:sz w:val="24"/>
          <w:szCs w:val="24"/>
        </w:rPr>
        <w:instrText>∼</w:instrText>
      </w:r>
      <w:r w:rsidR="00CB6B23">
        <w:rPr>
          <w:rFonts w:ascii="Arial" w:hAnsi="Arial" w:cs="Arial"/>
          <w:sz w:val="24"/>
          <w:szCs w:val="24"/>
        </w:rPr>
        <w:instrText>15–16km per generation for African-Americans and European-Americans, as estimated using a novel analytical model of isolation-by-distance.","author":[{"dropping-particle":"","family":"Baharian","given":"Soheil","non-dropping-particle":"","parse-names":false,"suffix":""},{"dropping-particle":"","family":"Barakatt","given":"Maxime","non-dropping-particle":"","parse-names":false,"suffix":""},{"dropping-particle":"","family":"Gignoux","given":"Christopher R.","non-dropping-particle":"","parse-names":false,"suffix":""},{"dropping-particle":"","family":"Shringarpure","given":"Suyash","non-dropping-particle":"","parse-names":false,"suffix":""},{"dropping-particle":"","family":"Errington","given":"Jacob","non-dropping-particle":"","parse-names":false,"suffix":""},{"dropping-particle":"","family":"Blot","given":"William J.","non-dropping-particle":"","parse-names":false,"suffix":""},{"dropping-particle":"","family":"Bustamante","given":"Carlos D.","non-dropping-particle":"","parse-names":false,"suffix":""},{"dropping-particle":"","family":"Kenny","given":"Eimear E.","non-dropping-particle":"","parse-names":false,"suffix":""},{"dropping-particle":"","family":"Williams","given":"Scott M.","non-dropping-particle":"","parse-names":false,"suffix":""},{"dropping-particle":"","family":"Aldrich","given":"Melinda C.","non-dropping-particle":"","parse-names":false,"suffix":""},{"dropping-particle":"","family":"Gravel","given":"Simon","non-dropping-particle":"","parse-names":false,"suffix":""}],"container-title":"PLoS Genetics","id":"ITEM-1","issue":"5","issued":{"date-parts":[["2016","5","1"]]},"publisher":"Public Library of Science","title":"The Great Migration and African-American Genomic Diversity","type":"article-journal","volume":"12"},"uris":["http://www.mendeley.com/documents/?uuid=15f29193-3995-3257-8444-927b6d4eeedb"]},{"id":"ITEM-2","itemData":{"DOI":"10.1016/j.ajhg.2014.11.010","ISSN":"15376605","abstract":"Over the past 500 years, North America has been the site of ongoing mixing of Native Americans, European settlers, and Africans (brought largely by the trans-Atlantic slave trade), shaping the early history of what became the United States. We studied the genetic ancestry of 5,269 self-described African Americans, 8,663 Latinos, and 148,789 European Americans who are 23andMe customers and show that the legacy of these historical interactions is visible in the genetic ancestry of present-day Americans. We document pervasive mixed ancestry and asymmetrical male and female ancestry contributions in all groups studied. We show that regional ancestry differences reflect historical events, such as early Spanish colonization, waves of immigration from many regions of Europe, and forced relocation of Native Americans within the US. This study sheds light on the fine-scale differences in ancestry within and across the United States and informs our understanding of the relationship between racial and ethnic identities and genetic ancestry.","author":[{"dropping-particle":"","family":"Bryc","given":"Katarzyna","non-dropping-particle":"","parse-names":false,"suffix":""},{"dropping-particle":"","family":"Durand","given":"Eric Y.","non-dropping-particle":"","parse-names":false,"suffix":""},{"dropping-particle":"","family":"Macpherson","given":"J. Michael","non-dropping-particle":"","parse-names":false,"suffix":""},{"dropping-particle":"","family":"Reich","given":"David","non-dropping-particle":"","parse-names":false,"suffix":""},{"dropping-particle":"","family":"Mountain","given":"Joanna L.","non-dropping-particle":"","parse-names":false,"suffix":""}],"container-title":"American Journal of Human Genetics","id":"ITEM-2","issue":"1","issued":{"date-parts":[["2015","1","8"]]},"page":"37-53","publisher":"Cell Press","title":"The genetic ancestry of african americans, latinos, and european Americans across the United States","type":"article-journal","volume":"96"},"uris":["http://www.mendeley.com/documents/?uuid=f9ff12c8-3d98-31be-88ad-6825d70f2654"]}],"mendeley":{"formattedCitation":"[9,10]","plainTextFormattedCitation":"[9,10]","previouslyFormattedCitation":"[8,9]"},"properties":{"noteIndex":0},"schema":"https://github.com/citation-style-language/schema/raw/master/csl-citation.json"}</w:instrText>
      </w:r>
      <w:r w:rsidR="000A6E4B">
        <w:rPr>
          <w:rFonts w:ascii="Arial" w:hAnsi="Arial" w:cs="Arial"/>
          <w:sz w:val="24"/>
          <w:szCs w:val="24"/>
        </w:rPr>
        <w:fldChar w:fldCharType="separate"/>
      </w:r>
      <w:r w:rsidR="00CB6B23" w:rsidRPr="00CB6B23">
        <w:rPr>
          <w:rFonts w:ascii="Arial" w:hAnsi="Arial" w:cs="Arial"/>
          <w:noProof/>
          <w:sz w:val="24"/>
          <w:szCs w:val="24"/>
        </w:rPr>
        <w:t>[9,10]</w:t>
      </w:r>
      <w:r w:rsidR="000A6E4B">
        <w:rPr>
          <w:rFonts w:ascii="Arial" w:hAnsi="Arial" w:cs="Arial"/>
          <w:sz w:val="24"/>
          <w:szCs w:val="24"/>
        </w:rPr>
        <w:fldChar w:fldCharType="end"/>
      </w:r>
      <w:r w:rsidR="000A6E4B">
        <w:rPr>
          <w:rFonts w:ascii="Arial" w:hAnsi="Arial" w:cs="Arial"/>
          <w:sz w:val="24"/>
          <w:szCs w:val="24"/>
        </w:rPr>
        <w:t>. Though this</w:t>
      </w:r>
      <w:r w:rsidR="00CB6B23">
        <w:rPr>
          <w:rFonts w:ascii="Arial" w:hAnsi="Arial" w:cs="Arial"/>
          <w:sz w:val="24"/>
          <w:szCs w:val="24"/>
        </w:rPr>
        <w:t xml:space="preserve"> follow</w:t>
      </w:r>
      <w:r w:rsidR="000E17C8">
        <w:rPr>
          <w:rFonts w:ascii="Arial" w:hAnsi="Arial" w:cs="Arial"/>
          <w:sz w:val="24"/>
          <w:szCs w:val="24"/>
        </w:rPr>
        <w:t>-</w:t>
      </w:r>
      <w:r w:rsidR="00CB6B23">
        <w:rPr>
          <w:rFonts w:ascii="Arial" w:hAnsi="Arial" w:cs="Arial"/>
          <w:sz w:val="24"/>
          <w:szCs w:val="24"/>
        </w:rPr>
        <w:t>up</w:t>
      </w:r>
      <w:r w:rsidR="000A6E4B">
        <w:rPr>
          <w:rFonts w:ascii="Arial" w:hAnsi="Arial" w:cs="Arial"/>
          <w:sz w:val="24"/>
          <w:szCs w:val="24"/>
        </w:rPr>
        <w:t xml:space="preserve"> analysis is beyond the scope of this paper, a full cis-trans </w:t>
      </w:r>
      <w:proofErr w:type="spellStart"/>
      <w:r w:rsidR="000A6E4B">
        <w:rPr>
          <w:rFonts w:ascii="Arial" w:hAnsi="Arial" w:cs="Arial"/>
          <w:sz w:val="24"/>
          <w:szCs w:val="24"/>
        </w:rPr>
        <w:t>eQTL</w:t>
      </w:r>
      <w:proofErr w:type="spellEnd"/>
      <w:r w:rsidR="000A6E4B">
        <w:rPr>
          <w:rFonts w:ascii="Arial" w:hAnsi="Arial" w:cs="Arial"/>
          <w:sz w:val="24"/>
          <w:szCs w:val="24"/>
        </w:rPr>
        <w:t xml:space="preserve"> ancestry incorporating local ancestry estimates, as well as an assessment of the impact of local ancestry adjustment on the portability of our eventual predictive models of tumor expression</w:t>
      </w:r>
      <w:r w:rsidR="007578E8">
        <w:rPr>
          <w:rFonts w:ascii="Arial" w:hAnsi="Arial" w:cs="Arial"/>
          <w:sz w:val="24"/>
          <w:szCs w:val="24"/>
        </w:rPr>
        <w:t xml:space="preserve"> across ancestral populations</w:t>
      </w:r>
      <w:r w:rsidR="000A6E4B">
        <w:rPr>
          <w:rFonts w:ascii="Arial" w:hAnsi="Arial" w:cs="Arial"/>
          <w:sz w:val="24"/>
          <w:szCs w:val="24"/>
        </w:rPr>
        <w:t xml:space="preserve">, </w:t>
      </w:r>
      <w:r w:rsidR="00315EB4">
        <w:rPr>
          <w:rFonts w:ascii="Arial" w:hAnsi="Arial" w:cs="Arial"/>
          <w:sz w:val="24"/>
          <w:szCs w:val="24"/>
        </w:rPr>
        <w:t>could</w:t>
      </w:r>
      <w:r w:rsidR="000A6E4B">
        <w:rPr>
          <w:rFonts w:ascii="Arial" w:hAnsi="Arial" w:cs="Arial"/>
          <w:sz w:val="24"/>
          <w:szCs w:val="24"/>
        </w:rPr>
        <w:t xml:space="preserve"> reveal insights into the genetic architecture of breast tumor expression heritability in admixed populations.</w:t>
      </w:r>
    </w:p>
    <w:p w14:paraId="521CB7B4" w14:textId="404CCEA0" w:rsidR="00967064" w:rsidRDefault="00967064" w:rsidP="009B51CD">
      <w:pPr>
        <w:autoSpaceDE w:val="0"/>
        <w:autoSpaceDN w:val="0"/>
        <w:adjustRightInd w:val="0"/>
        <w:spacing w:after="0" w:line="480" w:lineRule="auto"/>
        <w:jc w:val="both"/>
        <w:rPr>
          <w:rFonts w:ascii="Arial" w:hAnsi="Arial" w:cs="Arial"/>
          <w:sz w:val="24"/>
          <w:szCs w:val="24"/>
        </w:rPr>
      </w:pPr>
    </w:p>
    <w:p w14:paraId="5D9FA17F" w14:textId="1CF57FAC" w:rsidR="00967064" w:rsidRDefault="00967064">
      <w:pPr>
        <w:autoSpaceDE w:val="0"/>
        <w:autoSpaceDN w:val="0"/>
        <w:adjustRightInd w:val="0"/>
        <w:spacing w:before="240" w:after="0" w:line="480" w:lineRule="auto"/>
        <w:jc w:val="both"/>
        <w:rPr>
          <w:rFonts w:ascii="Arial" w:hAnsi="Arial" w:cs="Arial"/>
          <w:i/>
          <w:sz w:val="24"/>
          <w:szCs w:val="24"/>
        </w:rPr>
      </w:pPr>
      <w:r w:rsidRPr="00B90857">
        <w:rPr>
          <w:rFonts w:ascii="Arial" w:hAnsi="Arial" w:cs="Arial"/>
          <w:i/>
          <w:sz w:val="24"/>
          <w:szCs w:val="24"/>
        </w:rPr>
        <w:t>Discrepancy between CBCS and TCGA platforms and source populations</w:t>
      </w:r>
    </w:p>
    <w:p w14:paraId="2083548F" w14:textId="3725D2BA" w:rsidR="008C4258" w:rsidRDefault="008C4258" w:rsidP="008C4258">
      <w:pPr>
        <w:spacing w:after="0" w:line="480" w:lineRule="auto"/>
        <w:jc w:val="both"/>
        <w:rPr>
          <w:rFonts w:ascii="Arial" w:eastAsiaTheme="minorEastAsia" w:hAnsi="Arial" w:cs="Arial"/>
          <w:sz w:val="24"/>
          <w:szCs w:val="24"/>
        </w:rPr>
      </w:pPr>
      <w:r>
        <w:rPr>
          <w:rFonts w:ascii="Arial" w:eastAsiaTheme="minorEastAsia" w:hAnsi="Arial" w:cs="Arial"/>
          <w:sz w:val="24"/>
          <w:szCs w:val="24"/>
        </w:rPr>
        <w:t xml:space="preserve">Our models showed strong cross-validation predictive performance in genes with significant cis-heritability. We also show strong predictive performance in a held-out test set from CBCS and adequate performance of our WW models in TCGA-BRCA data. We noticed a difference in EV </w:t>
      </w:r>
      <m:oMath>
        <m:sSup>
          <m:sSupPr>
            <m:ctrlPr>
              <w:rPr>
                <w:rFonts w:ascii="Cambria Math" w:eastAsiaTheme="minorEastAsia" w:hAnsi="Cambria Math" w:cs="Arial"/>
                <w:i/>
                <w:sz w:val="24"/>
                <w:szCs w:val="24"/>
              </w:rPr>
            </m:ctrlPr>
          </m:sSupPr>
          <m:e>
            <m:r>
              <w:rPr>
                <w:rFonts w:ascii="Cambria Math" w:eastAsiaTheme="minorEastAsia" w:hAnsi="Cambria Math" w:cs="Arial"/>
                <w:sz w:val="24"/>
                <w:szCs w:val="24"/>
              </w:rPr>
              <m:t>R</m:t>
            </m:r>
          </m:e>
          <m:sup>
            <m:r>
              <w:rPr>
                <w:rFonts w:ascii="Cambria Math" w:eastAsiaTheme="minorEastAsia" w:hAnsi="Cambria Math" w:cs="Arial"/>
                <w:sz w:val="24"/>
                <w:szCs w:val="24"/>
              </w:rPr>
              <m:t>2</m:t>
            </m:r>
          </m:sup>
        </m:sSup>
      </m:oMath>
      <w:r>
        <w:rPr>
          <w:rFonts w:ascii="Arial" w:eastAsiaTheme="minorEastAsia" w:hAnsi="Arial" w:cs="Arial"/>
          <w:sz w:val="24"/>
          <w:szCs w:val="24"/>
        </w:rPr>
        <w:t xml:space="preserve"> of our predictive expression models in held-out CBCS samples and TCGA-BRCA. We believe that this difference can be attributed partly to the difference in genotyping platform between the two samples </w:t>
      </w:r>
      <w:r w:rsidRPr="00B34A45">
        <w:rPr>
          <w:rFonts w:ascii="Arial" w:eastAsiaTheme="minorEastAsia" w:hAnsi="Arial" w:cs="Arial"/>
          <w:sz w:val="24"/>
          <w:szCs w:val="24"/>
        </w:rPr>
        <w:t xml:space="preserve">(only approximately 85% of SNPs from CBCS represented in TCGA imputed genotype </w:t>
      </w:r>
      <w:r w:rsidRPr="00C2569B">
        <w:rPr>
          <w:rFonts w:ascii="Arial" w:hAnsi="Arial"/>
          <w:sz w:val="24"/>
        </w:rPr>
        <w:t>data</w:t>
      </w:r>
      <w:r w:rsidRPr="00C2569B">
        <w:rPr>
          <w:rFonts w:ascii="Arial" w:eastAsiaTheme="minorEastAsia" w:hAnsi="Arial" w:cs="Arial"/>
          <w:sz w:val="24"/>
          <w:szCs w:val="24"/>
        </w:rPr>
        <w:t>).</w:t>
      </w:r>
      <w:r w:rsidRPr="00C2569B">
        <w:rPr>
          <w:rFonts w:ascii="Arial" w:hAnsi="Arial"/>
          <w:sz w:val="24"/>
        </w:rPr>
        <w:t xml:space="preserve"> </w:t>
      </w:r>
      <w:r w:rsidRPr="00B34A45">
        <w:rPr>
          <w:rFonts w:ascii="Arial" w:eastAsiaTheme="minorEastAsia" w:hAnsi="Arial" w:cs="Arial"/>
          <w:sz w:val="24"/>
          <w:szCs w:val="24"/>
        </w:rPr>
        <w:t xml:space="preserve">There could also be a lack of cis-heritability of the tumor expression of a majority of genes assayed in </w:t>
      </w:r>
      <w:r>
        <w:rPr>
          <w:rFonts w:ascii="Arial" w:eastAsiaTheme="minorEastAsia" w:hAnsi="Arial" w:cs="Arial"/>
          <w:sz w:val="24"/>
          <w:szCs w:val="24"/>
        </w:rPr>
        <w:t xml:space="preserve">TCGA. For example, Gusev et al. has trained models for gene expression in breast tumors in TCGA; only 8 of the 417 genes in the CBCS </w:t>
      </w:r>
      <w:proofErr w:type="spellStart"/>
      <w:r>
        <w:rPr>
          <w:rFonts w:ascii="Arial" w:eastAsiaTheme="minorEastAsia" w:hAnsi="Arial" w:cs="Arial"/>
          <w:sz w:val="24"/>
          <w:szCs w:val="24"/>
        </w:rPr>
        <w:t>Nanostring</w:t>
      </w:r>
      <w:proofErr w:type="spellEnd"/>
      <w:r>
        <w:rPr>
          <w:rFonts w:ascii="Arial" w:eastAsiaTheme="minorEastAsia" w:hAnsi="Arial" w:cs="Arial"/>
          <w:sz w:val="24"/>
          <w:szCs w:val="24"/>
        </w:rPr>
        <w:t xml:space="preserve"> panel showed </w:t>
      </w:r>
      <w:r>
        <w:rPr>
          <w:rFonts w:ascii="Arial" w:eastAsiaTheme="minorEastAsia" w:hAnsi="Arial" w:cs="Arial"/>
          <w:sz w:val="24"/>
          <w:szCs w:val="24"/>
        </w:rPr>
        <w:lastRenderedPageBreak/>
        <w:t xml:space="preserve">significant cis-heritability in their models </w:t>
      </w:r>
      <w:r>
        <w:rPr>
          <w:rFonts w:ascii="Arial" w:eastAsiaTheme="minorEastAsia" w:hAnsi="Arial" w:cs="Arial"/>
          <w:sz w:val="24"/>
          <w:szCs w:val="24"/>
        </w:rPr>
        <w:fldChar w:fldCharType="begin" w:fldLock="1"/>
      </w:r>
      <w:r>
        <w:rPr>
          <w:rFonts w:ascii="Arial" w:eastAsiaTheme="minorEastAsia" w:hAnsi="Arial" w:cs="Arial"/>
          <w:sz w:val="24"/>
          <w:szCs w:val="24"/>
        </w:rPr>
        <w:instrText xml:space="preserve">ADDIN CSL_CITATION {"citationItems":[{"id":"ITEM-1","itemData":{"DOI":"10.1038/ng.3506","ISSN":"1061-4036","PMID":"26854917","abstract":"Many genetic variants influence complex traits by modulating gene expression, thus altering the abundance of one or multiple proteins. Here we introduce a powerful strategy that integrates gene expression measurements with summary association statistics from large-scale genome-wide association studies (GWAS) to identify genes whose cis-regulated expression is associated with complex traits. We leverage expression imputation from genetic data to perform a transcriptome-wide association study (TWAS) to identify significant expression-trait associations. We applied our approaches to expression data from blood and adipose tissue measured in </w:instrText>
      </w:r>
      <w:r>
        <w:rPr>
          <w:rFonts w:ascii="Cambria Math" w:eastAsiaTheme="minorEastAsia" w:hAnsi="Cambria Math" w:cs="Cambria Math"/>
          <w:sz w:val="24"/>
          <w:szCs w:val="24"/>
        </w:rPr>
        <w:instrText>∼</w:instrText>
      </w:r>
      <w:r>
        <w:rPr>
          <w:rFonts w:ascii="Arial" w:eastAsiaTheme="minorEastAsia" w:hAnsi="Arial" w:cs="Arial"/>
          <w:sz w:val="24"/>
          <w:szCs w:val="24"/>
        </w:rPr>
        <w:instrText xml:space="preserve"> 3,000 individuals overall. We imputed gene expression into GWAS data from over 900,000 phenotype measurements to identify 69 new genes significantly associated with obesity-related traits (BMI, lipids and height). Many of these genes are associated with relevant phenotypes in the Hybrid Mouse Diversity Panel. Our results showcase the power of integrating genotype, gene expression and phenotype to gain insights into the genetic basis of complex traits.","author":[{"dropping-particle":"","family":"Gusev","given":"Alexander","non-dropping-particle":"","parse-names":false,"suffix":""},{"dropping-particle":"","family":"Ko","given":"Arthur","non-dropping-particle":"","parse-names":false,"suffix":""},{"dropping-particle":"","family":"Shi","given":"Huwenbo","non-dropping-particle":"","parse-names":false,"suffix":""},{"dropping-particle":"","family":"Bhatia","given":"Gaurav","non-dropping-particle":"","parse-names":false,"suffix":""},{"dropping-particle":"","family":"Chung","given":"Wonil","non-dropping-particle":"","parse-names":false,"suffix":""},{"dropping-particle":"","family":"Penninx","given":"Brenda W J H","non-dropping-particle":"","parse-names":false,"suffix":""},{"dropping-particle":"","family":"Jansen","given":"Rick","non-dropping-particle":"","parse-names":false,"suffix":""},{"dropping-particle":"","family":"Geus","given":"Eco J C","non-dropping-particle":"de","parse-names":false,"suffix":""},{"dropping-particle":"","family":"Boomsma","given":"Dorret I","non-dropping-particle":"","parse-names":false,"suffix":""},{"dropping-particle":"","family":"Wright","given":"Fred A","non-dropping-particle":"","parse-names":false,"suffix":""},{"dropping-particle":"","family":"Sullivan","given":"Patrick F","non-dropping-particle":"","parse-names":false,"suffix":""},{"dropping-particle":"","family":"Nikkola","given":"Elina","non-dropping-particle":"","parse-names":false,"suffix":""},{"dropping-particle":"","family":"Alvarez","given":"Marcus","non-dropping-particle":"","parse-names":false,"suffix":""},{"dropping-particle":"","family":"Civelek","given":"Mete","non-dropping-particle":"","parse-names":false,"suffix":""},{"dropping-particle":"","family":"Lusis","given":"Aldons J","non-dropping-particle":"","parse-names":false,"suffix":""},{"dropping-particle":"","family":"Lehtimäki","given":"Terho","non-dropping-particle":"","parse-names":false,"suffix":""},{"dropping-particle":"","family":"Raitoharju","given":"Emma","non-dropping-particle":"","parse-names":false,"suffix":""},{"dropping-particle":"","family":"Kähönen","given":"Mika","non-dropping-particle":"","parse-names":false,"suffix":""},{"dropping-particle":"","family":"Seppälä","given":"Ilkka","non-dropping-particle":"","parse-names":false,"suffix":""},{"dropping-particle":"","family":"Raitakari","given":"Olli T","non-dropping-particle":"","parse-names":false,"suffix":""},{"dropping-particle":"","family":"Kuusisto","given":"Johanna","non-dropping-particle":"","parse-names":false,"suffix":""},{"dropping-particle":"","family":"Laakso","given":"Markku","non-dropping-particle":"","parse-names":false,"suffix":""},{"dropping-particle":"","family":"Price","given":"Alkes L","non-dropping-particle":"","parse-names":false,"suffix":""},{"dropping-particle":"","family":"Pajukanta","given":"Päivi","non-dropping-particle":"","parse-names":false,"suffix":""},{"dropping-particle":"","family":"Pasaniuc","given":"Bogdan","non-dropping-particle":"","parse-names":false,"suffix":""}],"container-title":"Nature Genetics","id":"ITEM-1","issue":"3","issued":{"date-parts":[["2016","3","8"]]},"page":"245-252","title":"Integrative approaches for large-scale transcriptome-wide association studies","type":"article-journal","volume":"48"},"uris":["http://www.mendeley.com/documents/?uuid=24f562bb-ab66-3071-94d3-b19cdcbe6d02"]}],"mendeley":{"formattedCitation":"[11]","plainTextFormattedCitation":"[11]","previouslyFormattedCitation":"[10]"},"properties":{"noteIndex":0},"schema":"https://github.com/citation-style-language/schema/raw/master/csl-citation.json"}</w:instrText>
      </w:r>
      <w:r>
        <w:rPr>
          <w:rFonts w:ascii="Arial" w:eastAsiaTheme="minorEastAsia" w:hAnsi="Arial" w:cs="Arial"/>
          <w:sz w:val="24"/>
          <w:szCs w:val="24"/>
        </w:rPr>
        <w:fldChar w:fldCharType="separate"/>
      </w:r>
      <w:r w:rsidRPr="00CB6B23">
        <w:rPr>
          <w:rFonts w:ascii="Arial" w:eastAsiaTheme="minorEastAsia" w:hAnsi="Arial" w:cs="Arial"/>
          <w:noProof/>
          <w:sz w:val="24"/>
          <w:szCs w:val="24"/>
        </w:rPr>
        <w:t>[11]</w:t>
      </w:r>
      <w:r>
        <w:rPr>
          <w:rFonts w:ascii="Arial" w:eastAsiaTheme="minorEastAsia" w:hAnsi="Arial" w:cs="Arial"/>
          <w:sz w:val="24"/>
          <w:szCs w:val="24"/>
        </w:rPr>
        <w:fldChar w:fldCharType="end"/>
      </w:r>
      <w:r>
        <w:rPr>
          <w:rFonts w:ascii="Arial" w:eastAsiaTheme="minorEastAsia" w:hAnsi="Arial" w:cs="Arial"/>
          <w:sz w:val="24"/>
          <w:szCs w:val="24"/>
        </w:rPr>
        <w:t xml:space="preserve">, which we downloaded from the Gusev Lab’s TWAS/FUSION repository. </w:t>
      </w:r>
    </w:p>
    <w:p w14:paraId="41120429" w14:textId="77777777" w:rsidR="00B90857" w:rsidRDefault="00B90857" w:rsidP="008C4258">
      <w:pPr>
        <w:spacing w:after="0" w:line="480" w:lineRule="auto"/>
        <w:jc w:val="both"/>
        <w:rPr>
          <w:rFonts w:ascii="Arial" w:eastAsiaTheme="minorEastAsia" w:hAnsi="Arial" w:cs="Arial"/>
          <w:sz w:val="24"/>
          <w:szCs w:val="24"/>
        </w:rPr>
      </w:pPr>
    </w:p>
    <w:p w14:paraId="4D925143" w14:textId="1E731AE7" w:rsidR="00913D28" w:rsidRPr="00B90857" w:rsidRDefault="008C4258" w:rsidP="00B90857">
      <w:pPr>
        <w:spacing w:after="0" w:line="480" w:lineRule="auto"/>
        <w:jc w:val="both"/>
        <w:rPr>
          <w:rFonts w:ascii="Arial" w:eastAsiaTheme="minorEastAsia" w:hAnsi="Arial" w:cs="Arial"/>
          <w:sz w:val="24"/>
          <w:szCs w:val="24"/>
        </w:rPr>
      </w:pPr>
      <w:r>
        <w:rPr>
          <w:rFonts w:ascii="Arial" w:eastAsiaTheme="minorEastAsia" w:hAnsi="Arial" w:cs="Arial"/>
          <w:sz w:val="24"/>
          <w:szCs w:val="24"/>
        </w:rPr>
        <w:t>We believe that predictive performance in TCGA data consistent with CBCS data is a high bar for validation due to both genotyping and RNA expression platform differences between CBCS (</w:t>
      </w:r>
      <w:proofErr w:type="spellStart"/>
      <w:r>
        <w:rPr>
          <w:rFonts w:ascii="Arial" w:eastAsiaTheme="minorEastAsia" w:hAnsi="Arial" w:cs="Arial"/>
          <w:sz w:val="24"/>
          <w:szCs w:val="24"/>
        </w:rPr>
        <w:t>Oncoarray</w:t>
      </w:r>
      <w:proofErr w:type="spellEnd"/>
      <w:r>
        <w:rPr>
          <w:rFonts w:ascii="Arial" w:eastAsiaTheme="minorEastAsia" w:hAnsi="Arial" w:cs="Arial"/>
          <w:sz w:val="24"/>
          <w:szCs w:val="24"/>
        </w:rPr>
        <w:t xml:space="preserve"> and </w:t>
      </w:r>
      <w:proofErr w:type="spellStart"/>
      <w:r>
        <w:rPr>
          <w:rFonts w:ascii="Arial" w:eastAsiaTheme="minorEastAsia" w:hAnsi="Arial" w:cs="Arial"/>
          <w:sz w:val="24"/>
          <w:szCs w:val="24"/>
        </w:rPr>
        <w:t>Nanostring</w:t>
      </w:r>
      <w:proofErr w:type="spellEnd"/>
      <w:r>
        <w:rPr>
          <w:rFonts w:ascii="Arial" w:eastAsiaTheme="minorEastAsia" w:hAnsi="Arial" w:cs="Arial"/>
          <w:sz w:val="24"/>
          <w:szCs w:val="24"/>
        </w:rPr>
        <w:t xml:space="preserve">) and TCGA (Affymetrix 6.0 and </w:t>
      </w:r>
      <w:proofErr w:type="spellStart"/>
      <w:r>
        <w:rPr>
          <w:rFonts w:ascii="Arial" w:eastAsiaTheme="minorEastAsia" w:hAnsi="Arial" w:cs="Arial"/>
          <w:sz w:val="24"/>
          <w:szCs w:val="24"/>
        </w:rPr>
        <w:t>RNAseq</w:t>
      </w:r>
      <w:proofErr w:type="spellEnd"/>
      <w:r>
        <w:rPr>
          <w:rFonts w:ascii="Arial" w:eastAsiaTheme="minorEastAsia" w:hAnsi="Arial" w:cs="Arial"/>
          <w:sz w:val="24"/>
          <w:szCs w:val="24"/>
        </w:rPr>
        <w:t xml:space="preserve">). Reproducible performance in both AA and WW women in our independent test set from CBCS data suggests that our models are quite robust. Follow-up studies, in which models of tumor expression are trained in TCGA RNA-seq data and validated in CBCS </w:t>
      </w:r>
      <w:proofErr w:type="spellStart"/>
      <w:r>
        <w:rPr>
          <w:rFonts w:ascii="Arial" w:eastAsiaTheme="minorEastAsia" w:hAnsi="Arial" w:cs="Arial"/>
          <w:sz w:val="24"/>
          <w:szCs w:val="24"/>
        </w:rPr>
        <w:t>Nanostring</w:t>
      </w:r>
      <w:proofErr w:type="spellEnd"/>
      <w:r>
        <w:rPr>
          <w:rFonts w:ascii="Arial" w:eastAsiaTheme="minorEastAsia" w:hAnsi="Arial" w:cs="Arial"/>
          <w:sz w:val="24"/>
          <w:szCs w:val="24"/>
        </w:rPr>
        <w:t xml:space="preserve"> data, could elucidate any discrepancies in predictive performance across platform.</w:t>
      </w:r>
    </w:p>
    <w:p w14:paraId="5EEDCD17" w14:textId="77777777" w:rsidR="00967064" w:rsidRPr="0090790E" w:rsidRDefault="00967064" w:rsidP="0035598A">
      <w:pPr>
        <w:autoSpaceDE w:val="0"/>
        <w:autoSpaceDN w:val="0"/>
        <w:adjustRightInd w:val="0"/>
        <w:spacing w:after="0" w:line="480" w:lineRule="auto"/>
        <w:jc w:val="both"/>
        <w:rPr>
          <w:rFonts w:ascii="Arial" w:hAnsi="Arial" w:cs="Arial"/>
          <w:sz w:val="24"/>
          <w:szCs w:val="24"/>
        </w:rPr>
      </w:pPr>
    </w:p>
    <w:p w14:paraId="3EA90146" w14:textId="205AF0CF" w:rsidR="008A77AC" w:rsidRDefault="002C257D" w:rsidP="008A77AC">
      <w:pPr>
        <w:spacing w:line="480" w:lineRule="auto"/>
        <w:jc w:val="both"/>
        <w:rPr>
          <w:rFonts w:ascii="Arial" w:hAnsi="Arial" w:cs="Arial"/>
          <w:sz w:val="24"/>
          <w:szCs w:val="24"/>
        </w:rPr>
      </w:pPr>
      <w:r w:rsidRPr="0090790E">
        <w:rPr>
          <w:rFonts w:ascii="Arial" w:hAnsi="Arial" w:cs="Arial"/>
          <w:i/>
          <w:iCs/>
          <w:sz w:val="24"/>
          <w:szCs w:val="24"/>
        </w:rPr>
        <w:t>PAM50 subtype calls robust to adjustment for GReX</w:t>
      </w:r>
    </w:p>
    <w:p w14:paraId="68CE858B" w14:textId="7D32B9FE" w:rsidR="0090790E" w:rsidRDefault="002C257D" w:rsidP="00B90857">
      <w:pPr>
        <w:spacing w:line="480" w:lineRule="auto"/>
        <w:jc w:val="both"/>
        <w:rPr>
          <w:rFonts w:ascii="Arial" w:hAnsi="Arial" w:cs="Arial"/>
          <w:sz w:val="24"/>
          <w:szCs w:val="24"/>
        </w:rPr>
      </w:pPr>
      <w:proofErr w:type="spellStart"/>
      <w:r w:rsidRPr="0090790E">
        <w:rPr>
          <w:rFonts w:ascii="Arial" w:hAnsi="Arial" w:cs="Arial"/>
          <w:sz w:val="24"/>
          <w:szCs w:val="24"/>
        </w:rPr>
        <w:t>Emami</w:t>
      </w:r>
      <w:proofErr w:type="spellEnd"/>
      <w:r w:rsidRPr="0090790E">
        <w:rPr>
          <w:rFonts w:ascii="Arial" w:hAnsi="Arial" w:cs="Arial"/>
          <w:sz w:val="24"/>
          <w:szCs w:val="24"/>
        </w:rPr>
        <w:t xml:space="preserve"> et al. has shown that genetically regulated tumor expression can elucidate biological mechanisms that can delineate prostate cancer subtypes</w:t>
      </w:r>
      <w:r w:rsidR="00315251">
        <w:rPr>
          <w:rFonts w:ascii="Arial" w:hAnsi="Arial" w:cs="Arial"/>
          <w:sz w:val="24"/>
          <w:szCs w:val="24"/>
        </w:rPr>
        <w:t xml:space="preserve"> </w:t>
      </w:r>
      <w:r w:rsidR="0090790E" w:rsidRPr="0090790E">
        <w:rPr>
          <w:rFonts w:ascii="Arial" w:hAnsi="Arial" w:cs="Arial"/>
          <w:sz w:val="24"/>
          <w:szCs w:val="24"/>
        </w:rPr>
        <w:fldChar w:fldCharType="begin" w:fldLock="1"/>
      </w:r>
      <w:r w:rsidR="00CB6B23">
        <w:rPr>
          <w:rFonts w:ascii="Arial" w:hAnsi="Arial" w:cs="Arial"/>
          <w:sz w:val="24"/>
          <w:szCs w:val="24"/>
        </w:rPr>
        <w:instrText>ADDIN CSL_CITATION {"citationItems":[{"id":"ITEM-1","itemData":{"DOI":"10.1158/1538-7445.AM2018-2968","ISSN":"0008-5472","abstract":"Proceedings: AACR Annual Meeting 2018; April 14-18, 2018; Chicago, IL\n\nAlthough genome-wide association studies of prostate cancer have revealed numerous genetic loci associated with disease risk, efforts to characterize the causal mechanisms of germline genetic variants have been unsystematic in their approach. While select studies have evaluated the effects of the most significantly associated variants on the expression of highly proximal genes, both the complex nature of gene expression regulation, as well as the majority fraction of prostate cancer risk unaccounted for by genome-wide association study loci, suggest that certain risk genes and variants remain undiscovered. In pursuit of such causal genetic factors, we analyzed germline genotype data paired with gene expression data from normal prostate tissue in 471 subjects to build regularized statistical models of how gene expression of the prostate is influenced by cis-genetic variation. By applying these models to genome-wide association study data, predictions of transcript expression levels were generated transcriptome-wide for over 230,000 male subjects (14,616 prostate cancer cases, 219,339 controls) from the UK Biobank, GERA Cohort, ProHealth Study, and California Men's Health Study. Finally, these transcript abundances were assessed in relation to prostate cancer case-control status to identify those genes with expression levels most predictive of prostate cancer diagnosis. Among the 12,014 genes for which models were successfully fit, 29 were transcriptome-wide significant via Bonferroni correction, while another 9 exhibited p-values that were suggestive. Moreover, 19 of the 38 significant or suggestive genes replicated in the validation cohort of Kaiser Permanente health plan members (GERA, ProHealth, CMHS). At previously implicated risk loci for prostate cancer, numerous genes were significantly associated with disease risk, including MSMB, NCOA4, and AGAP7 at 10q11.22, HNF1B at 17q12, as well as POU5F1B and PCAT1 at 8q24.21. Furthermore, several genes whose expression levels were not previously implicated were associated with prostate cancer risk. The most noteworthy of these was TMPRSS2, part of the TMPRSS2-ERG gene-fusion, which represents the most frequent somatic alteration discovered in prostate cancer tumors. When conditioned on a previously reported prostate cancer GWAS cis-variant at 21q22.3, TMPRSS2 retained transcriptome-wide significance. Further analysis of the genetic effe…","author":[{"dropping-particle":"","family":"Emami","given":"Nima C.","non-dropping-particle":"","parse-names":false,"suffix":""},{"dropping-particle":"","family":"Hoffman","given":"Joshua","non-dropping-particle":"","parse-names":false,"suffix":""},{"dropping-particle":"","family":"Ziv","given":"Elad","non-dropping-particle":"","parse-names":false,"suffix":""},{"dropping-particle":"","family":"Witte","given":"John S.","non-dropping-particle":"","parse-names":false,"suffix":""}],"container-title":"Epidemiology","id":"ITEM-1","issue":"13 Supplement","issued":{"date-parts":[["2018","7","1"]]},"page":"2968-2968","publisher":"American Association for Cancer Research","title":"Abstract 2968: Imputation of the prostate cancer transcriptome in over 230,000 men reveals novel germline-somatic interaction mechanism of cancer risk","type":"paper-conference","volume":"78"},"uris":["http://www.mendeley.com/documents/?uuid=d5a6376b-bd5c-3cc0-b7ec-55fc99afc389"]}],"mendeley":{"formattedCitation":"[12]","plainTextFormattedCitation":"[12]","previouslyFormattedCitation":"[11]"},"properties":{"noteIndex":0},"schema":"https://github.com/citation-style-language/schema/raw/master/csl-citation.json"}</w:instrText>
      </w:r>
      <w:r w:rsidR="0090790E" w:rsidRPr="0090790E">
        <w:rPr>
          <w:rFonts w:ascii="Arial" w:hAnsi="Arial" w:cs="Arial"/>
          <w:sz w:val="24"/>
          <w:szCs w:val="24"/>
        </w:rPr>
        <w:fldChar w:fldCharType="separate"/>
      </w:r>
      <w:r w:rsidR="00CB6B23" w:rsidRPr="00CB6B23">
        <w:rPr>
          <w:rFonts w:ascii="Arial" w:hAnsi="Arial" w:cs="Arial"/>
          <w:noProof/>
          <w:sz w:val="24"/>
          <w:szCs w:val="24"/>
        </w:rPr>
        <w:t>[12]</w:t>
      </w:r>
      <w:r w:rsidR="0090790E" w:rsidRPr="0090790E">
        <w:rPr>
          <w:rFonts w:ascii="Arial" w:hAnsi="Arial" w:cs="Arial"/>
          <w:sz w:val="24"/>
          <w:szCs w:val="24"/>
        </w:rPr>
        <w:fldChar w:fldCharType="end"/>
      </w:r>
      <w:r w:rsidRPr="0090790E">
        <w:rPr>
          <w:rFonts w:ascii="Arial" w:hAnsi="Arial" w:cs="Arial"/>
          <w:sz w:val="24"/>
          <w:szCs w:val="24"/>
        </w:rPr>
        <w:t>. Using tumor expression data in held-out CBCS, we assessed d</w:t>
      </w:r>
      <w:r w:rsidR="0090790E" w:rsidRPr="0090790E">
        <w:rPr>
          <w:rFonts w:ascii="Arial" w:hAnsi="Arial" w:cs="Arial"/>
          <w:sz w:val="24"/>
          <w:szCs w:val="24"/>
        </w:rPr>
        <w:t>iff</w:t>
      </w:r>
      <w:r w:rsidRPr="0090790E">
        <w:rPr>
          <w:rFonts w:ascii="Arial" w:hAnsi="Arial" w:cs="Arial"/>
          <w:sz w:val="24"/>
          <w:szCs w:val="24"/>
        </w:rPr>
        <w:t>erences in PAM50 molecular subtype calls before and after adjustment by imputed GReX. We adjusted bulk TCGA tumor expression by imputed GReX and ran PAM50 subtyping on full and GReX-adjusted tumor expression</w:t>
      </w:r>
      <w:r w:rsidR="00315251">
        <w:rPr>
          <w:rFonts w:ascii="Arial" w:hAnsi="Arial" w:cs="Arial"/>
          <w:sz w:val="24"/>
          <w:szCs w:val="24"/>
        </w:rPr>
        <w:t xml:space="preserve"> </w:t>
      </w:r>
      <w:r w:rsidR="0090790E" w:rsidRPr="0090790E">
        <w:rPr>
          <w:rFonts w:ascii="Arial" w:hAnsi="Arial" w:cs="Arial"/>
          <w:sz w:val="24"/>
          <w:szCs w:val="24"/>
        </w:rPr>
        <w:fldChar w:fldCharType="begin" w:fldLock="1"/>
      </w:r>
      <w:r w:rsidR="00CB6B23">
        <w:rPr>
          <w:rFonts w:ascii="Arial" w:hAnsi="Arial" w:cs="Arial"/>
          <w:sz w:val="24"/>
          <w:szCs w:val="24"/>
        </w:rPr>
        <w:instrText>ADDIN CSL_CITATION {"citationItems":[{"id":"ITEM-1","itemData":{"DOI":"10.1200/JCO.2008.18.1370","ISSN":"1527-7755","PMID":"19204204","abstract":"UNLABELLED PURPOSE To improve on current standards for breast cancer prognosis and prediction of chemotherapy benefit by developing a risk model that incorporates the gene expression-based \"intrinsic\" subtypes luminal A, luminal B, HER2-enriched, and basal-like. METHODS A 50-gene subtype predictor was developed using microarray and quantitative reverse transcriptase polymerase chain reaction data from 189 prototype samples. Test sets from 761 patients (no systemic therapy) were evaluated for prognosis, and 133 patients were evaluated for prediction of pathologic complete response (pCR) to a taxane and anthracycline regimen. RESULTS The intrinsic subtypes as discrete entities showed prognostic significance (P = 2.26E-12) and remained significant in multivariable analyses that incorporated standard parameters (estrogen receptor status, histologic grade, tumor size, and node status). A prognostic model for node-negative breast cancer was built using intrinsic subtype and clinical information. The C-index estimate for the combined model (subtype and tumor size) was a significant improvement on either the clinicopathologic model or subtype model alone. The intrinsic subtype model predicted neoadjuvant chemotherapy efficacy with a negative predictive value for pCR of 97%. CONCLUSION Diagnosis by intrinsic subtype adds significant prognostic and predictive information to standard parameters for patients with breast cancer. The prognostic properties of the continuous risk score will be of value for the management of node-negative breast cancers. The subtypes and risk score can also be used to assess the likelihood of efficacy from neoadjuvant chemotherapy.","author":[{"dropping-particle":"","family":"Parker","given":"Joel S","non-dropping-particle":"","parse-names":false,"suffix":""},{"dropping-particle":"","family":"Mullins","given":"Michael","non-dropping-particle":"","parse-names":false,"suffix":""},{"dropping-particle":"","family":"Cheang","given":"Maggie C U","non-dropping-particle":"","parse-names":false,"suffix":""},{"dropping-particle":"","family":"Leung","given":"Samuel","non-dropping-particle":"","parse-names":false,"suffix":""},{"dropping-particle":"","family":"Voduc","given":"David","non-dropping-particle":"","parse-names":false,"suffix":""},{"dropping-particle":"","family":"Vickery","given":"Tammi","non-dropping-particle":"","parse-names":false,"suffix":""},{"dropping-particle":"","family":"Davies","given":"Sherri","non-dropping-particle":"","parse-names":false,"suffix":""},{"dropping-particle":"","family":"Fauron","given":"Christiane","non-dropping-particle":"","parse-names":false,"suffix":""},{"dropping-particle":"","family":"He","given":"Xiaping","non-dropping-particle":"","parse-names":false,"suffix":""},{"dropping-particle":"","family":"Hu","given":"Zhiyuan","non-dropping-particle":"","parse-names":false,"suffix":""},{"dropping-particle":"","family":"Quackenbush","given":"John F","non-dropping-particle":"","parse-names":false,"suffix":""},{"dropping-particle":"","family":"Stijleman","given":"Inge J","non-dropping-particle":"","parse-names":false,"suffix":""},{"dropping-particle":"","family":"Palazzo","given":"Juan","non-dropping-particle":"","parse-names":false,"suffix":""},{"dropping-particle":"","family":"Marron","given":"J S","non-dropping-particle":"","parse-names":false,"suffix":""},{"dropping-particle":"","family":"Nobel","given":"Andrew B","non-dropping-particle":"","parse-names":false,"suffix":""},{"dropping-particle":"","family":"Mardis","given":"Elaine","non-dropping-particle":"","parse-names":false,"suffix":""},{"dropping-particle":"","family":"Nielsen","given":"Torsten O","non-dropping-particle":"","parse-names":false,"suffix":""},{"dropping-particle":"","family":"Ellis","given":"Matthew J","non-dropping-particle":"","parse-names":false,"suffix":""},{"dropping-particle":"","family":"Perou","given":"Charles M","non-dropping-particle":"","parse-names":false,"suffix":""},{"dropping-particle":"","family":"Bernard","given":"Philip S","non-dropping-particle":"","parse-names":false,"suffix":""}],"container-title":"Journal of clinical oncology : official journal of the American Society of Clinical Oncology","id":"ITEM-1","issue":"8","issued":{"date-parts":[["2009","3","10"]]},"page":"1160-7","publisher":"American Society of Clinical Oncology","title":"Supervised risk predictor of breast cancer based on intrinsic subtypes.","type":"article-journal","volume":"27"},"uris":["http://www.mendeley.com/documents/?uuid=d62a3669-9c96-37ff-9753-25ab5aebde9a"]}],"mendeley":{"formattedCitation":"[13]","plainTextFormattedCitation":"[13]","previouslyFormattedCitation":"[12]"},"properties":{"noteIndex":0},"schema":"https://github.com/citation-style-language/schema/raw/master/csl-citation.json"}</w:instrText>
      </w:r>
      <w:r w:rsidR="0090790E" w:rsidRPr="0090790E">
        <w:rPr>
          <w:rFonts w:ascii="Arial" w:hAnsi="Arial" w:cs="Arial"/>
          <w:sz w:val="24"/>
          <w:szCs w:val="24"/>
        </w:rPr>
        <w:fldChar w:fldCharType="separate"/>
      </w:r>
      <w:r w:rsidR="00CB6B23" w:rsidRPr="00CB6B23">
        <w:rPr>
          <w:rFonts w:ascii="Arial" w:hAnsi="Arial" w:cs="Arial"/>
          <w:noProof/>
          <w:sz w:val="24"/>
          <w:szCs w:val="24"/>
        </w:rPr>
        <w:t>[13]</w:t>
      </w:r>
      <w:r w:rsidR="0090790E" w:rsidRPr="0090790E">
        <w:rPr>
          <w:rFonts w:ascii="Arial" w:hAnsi="Arial" w:cs="Arial"/>
          <w:sz w:val="24"/>
          <w:szCs w:val="24"/>
        </w:rPr>
        <w:fldChar w:fldCharType="end"/>
      </w:r>
      <w:r w:rsidRPr="0090790E">
        <w:rPr>
          <w:rFonts w:ascii="Arial" w:hAnsi="Arial" w:cs="Arial"/>
          <w:sz w:val="24"/>
          <w:szCs w:val="24"/>
        </w:rPr>
        <w:t>. Of the</w:t>
      </w:r>
      <w:r w:rsidR="0090790E" w:rsidRPr="0090790E">
        <w:rPr>
          <w:rFonts w:ascii="Arial" w:hAnsi="Arial" w:cs="Arial"/>
          <w:sz w:val="24"/>
          <w:szCs w:val="24"/>
        </w:rPr>
        <w:t xml:space="preserve"> </w:t>
      </w:r>
      <w:r w:rsidRPr="0090790E">
        <w:rPr>
          <w:rFonts w:ascii="Arial" w:hAnsi="Arial" w:cs="Arial"/>
          <w:sz w:val="24"/>
          <w:szCs w:val="24"/>
        </w:rPr>
        <w:t>2,174 samples analyzed for PAM50 subtyping, only 15 show d</w:t>
      </w:r>
      <w:r w:rsidR="0090790E" w:rsidRPr="0090790E">
        <w:rPr>
          <w:rFonts w:ascii="Arial" w:hAnsi="Arial" w:cs="Arial"/>
          <w:sz w:val="24"/>
          <w:szCs w:val="24"/>
        </w:rPr>
        <w:t>iff</w:t>
      </w:r>
      <w:r w:rsidRPr="0090790E">
        <w:rPr>
          <w:rFonts w:ascii="Arial" w:hAnsi="Arial" w:cs="Arial"/>
          <w:sz w:val="24"/>
          <w:szCs w:val="24"/>
        </w:rPr>
        <w:t>erent PAM50 subtypes after adjusting for GReX (</w:t>
      </w:r>
      <w:r w:rsidR="008735B5">
        <w:rPr>
          <w:rFonts w:ascii="Arial" w:hAnsi="Arial" w:cs="Arial"/>
          <w:b/>
          <w:bCs/>
          <w:sz w:val="24"/>
          <w:szCs w:val="24"/>
        </w:rPr>
        <w:t xml:space="preserve">Additional File 2: </w:t>
      </w:r>
      <w:r w:rsidR="008735B5" w:rsidRPr="00073AB2">
        <w:rPr>
          <w:rFonts w:ascii="Arial" w:hAnsi="Arial" w:cs="Arial"/>
          <w:b/>
          <w:bCs/>
          <w:sz w:val="24"/>
          <w:szCs w:val="24"/>
        </w:rPr>
        <w:t xml:space="preserve">Figure </w:t>
      </w:r>
      <w:r w:rsidR="008735B5">
        <w:rPr>
          <w:rFonts w:ascii="Arial" w:hAnsi="Arial" w:cs="Arial"/>
          <w:b/>
          <w:bCs/>
          <w:sz w:val="24"/>
          <w:szCs w:val="24"/>
        </w:rPr>
        <w:t>S</w:t>
      </w:r>
      <w:r w:rsidR="008735B5" w:rsidRPr="00073AB2">
        <w:rPr>
          <w:rFonts w:ascii="Arial" w:hAnsi="Arial" w:cs="Arial"/>
          <w:b/>
          <w:bCs/>
          <w:sz w:val="24"/>
          <w:szCs w:val="24"/>
        </w:rPr>
        <w:t>1</w:t>
      </w:r>
      <w:r w:rsidR="008735B5">
        <w:rPr>
          <w:rFonts w:ascii="Arial" w:hAnsi="Arial" w:cs="Arial"/>
          <w:b/>
          <w:bCs/>
          <w:sz w:val="24"/>
          <w:szCs w:val="24"/>
        </w:rPr>
        <w:t>2</w:t>
      </w:r>
      <w:r w:rsidR="00073AB2" w:rsidRPr="00073AB2">
        <w:rPr>
          <w:rFonts w:ascii="Arial" w:hAnsi="Arial" w:cs="Arial"/>
          <w:b/>
          <w:bCs/>
          <w:sz w:val="24"/>
          <w:szCs w:val="24"/>
        </w:rPr>
        <w:t>A</w:t>
      </w:r>
      <w:r w:rsidRPr="0090790E">
        <w:rPr>
          <w:rFonts w:ascii="Arial" w:hAnsi="Arial" w:cs="Arial"/>
          <w:sz w:val="24"/>
          <w:szCs w:val="24"/>
        </w:rPr>
        <w:t xml:space="preserve">). </w:t>
      </w:r>
      <w:r w:rsidR="00D818C2" w:rsidRPr="0090790E">
        <w:rPr>
          <w:rFonts w:ascii="Arial" w:hAnsi="Arial" w:cs="Arial"/>
          <w:sz w:val="24"/>
          <w:szCs w:val="24"/>
        </w:rPr>
        <w:t>Most of</w:t>
      </w:r>
      <w:r w:rsidRPr="0090790E">
        <w:rPr>
          <w:rFonts w:ascii="Arial" w:hAnsi="Arial" w:cs="Arial"/>
          <w:sz w:val="24"/>
          <w:szCs w:val="24"/>
        </w:rPr>
        <w:t xml:space="preserve"> these discordant pairs (12 out of 15) are between the H</w:t>
      </w:r>
      <w:r w:rsidR="00315251">
        <w:rPr>
          <w:rFonts w:ascii="Arial" w:hAnsi="Arial" w:cs="Arial"/>
          <w:sz w:val="24"/>
          <w:szCs w:val="24"/>
        </w:rPr>
        <w:t>ER</w:t>
      </w:r>
      <w:r w:rsidRPr="0090790E">
        <w:rPr>
          <w:rFonts w:ascii="Arial" w:hAnsi="Arial" w:cs="Arial"/>
          <w:sz w:val="24"/>
          <w:szCs w:val="24"/>
        </w:rPr>
        <w:t>2-enriched, Luminal A, and Luminal B subtypes, all of which</w:t>
      </w:r>
      <w:r w:rsidR="0090790E" w:rsidRPr="0090790E">
        <w:rPr>
          <w:rFonts w:ascii="Arial" w:hAnsi="Arial" w:cs="Arial"/>
          <w:sz w:val="24"/>
          <w:szCs w:val="24"/>
        </w:rPr>
        <w:t xml:space="preserve"> </w:t>
      </w:r>
      <w:r w:rsidRPr="0090790E">
        <w:rPr>
          <w:rFonts w:ascii="Arial" w:hAnsi="Arial" w:cs="Arial"/>
          <w:sz w:val="24"/>
          <w:szCs w:val="24"/>
        </w:rPr>
        <w:t>are relatively similar in terms of proliferation and their molecular pro</w:t>
      </w:r>
      <w:r w:rsidR="0090790E" w:rsidRPr="0090790E">
        <w:rPr>
          <w:rFonts w:ascii="Arial" w:hAnsi="Arial" w:cs="Arial"/>
          <w:sz w:val="24"/>
          <w:szCs w:val="24"/>
        </w:rPr>
        <w:t>fi</w:t>
      </w:r>
      <w:r w:rsidRPr="0090790E">
        <w:rPr>
          <w:rFonts w:ascii="Arial" w:hAnsi="Arial" w:cs="Arial"/>
          <w:sz w:val="24"/>
          <w:szCs w:val="24"/>
        </w:rPr>
        <w:t xml:space="preserve">les. Discordant pairs show relatively similar </w:t>
      </w:r>
      <w:r w:rsidRPr="0090790E">
        <w:rPr>
          <w:rFonts w:ascii="Arial" w:hAnsi="Arial" w:cs="Arial"/>
          <w:sz w:val="24"/>
          <w:szCs w:val="24"/>
        </w:rPr>
        <w:lastRenderedPageBreak/>
        <w:t>con</w:t>
      </w:r>
      <w:r w:rsidR="0090790E" w:rsidRPr="0090790E">
        <w:rPr>
          <w:rFonts w:ascii="Arial" w:hAnsi="Arial" w:cs="Arial"/>
          <w:sz w:val="24"/>
          <w:szCs w:val="24"/>
        </w:rPr>
        <w:t>fi</w:t>
      </w:r>
      <w:r w:rsidRPr="0090790E">
        <w:rPr>
          <w:rFonts w:ascii="Arial" w:hAnsi="Arial" w:cs="Arial"/>
          <w:sz w:val="24"/>
          <w:szCs w:val="24"/>
        </w:rPr>
        <w:t>dence scores (de</w:t>
      </w:r>
      <w:r w:rsidR="0090790E" w:rsidRPr="0090790E">
        <w:rPr>
          <w:rFonts w:ascii="Arial" w:hAnsi="Arial" w:cs="Arial"/>
          <w:sz w:val="24"/>
          <w:szCs w:val="24"/>
        </w:rPr>
        <w:t>fi</w:t>
      </w:r>
      <w:r w:rsidRPr="0090790E">
        <w:rPr>
          <w:rFonts w:ascii="Arial" w:hAnsi="Arial" w:cs="Arial"/>
          <w:sz w:val="24"/>
          <w:szCs w:val="24"/>
        </w:rPr>
        <w:t xml:space="preserve">ned as </w:t>
      </w:r>
      <m:oMath>
        <m:r>
          <w:rPr>
            <w:rFonts w:ascii="Cambria Math" w:hAnsi="Cambria Math" w:cs="Arial"/>
            <w:sz w:val="24"/>
            <w:szCs w:val="24"/>
          </w:rPr>
          <m:t xml:space="preserve">1 </m:t>
        </m:r>
        <m:r>
          <w:rPr>
            <w:rFonts w:ascii="Cambria Math" w:eastAsia="Arial" w:hAnsi="Cambria Math" w:cs="Arial"/>
            <w:sz w:val="24"/>
            <w:szCs w:val="24"/>
          </w:rPr>
          <m:t>-</m:t>
        </m:r>
        <m:r>
          <w:rPr>
            <w:rFonts w:ascii="Cambria Math" w:hAnsi="Cambria Math" w:cs="Arial"/>
            <w:sz w:val="24"/>
            <w:szCs w:val="24"/>
          </w:rPr>
          <m:t xml:space="preserve"> P</m:t>
        </m:r>
      </m:oMath>
      <w:r w:rsidRPr="0090790E">
        <w:rPr>
          <w:rFonts w:ascii="Arial" w:hAnsi="Arial" w:cs="Arial"/>
          <w:sz w:val="24"/>
          <w:szCs w:val="24"/>
        </w:rPr>
        <w:t>-value of Spearman correlation to PAM50 subtype centroid), proliferation scores, and ROR-P scores</w:t>
      </w:r>
      <w:r w:rsidR="00D37A4B">
        <w:rPr>
          <w:rFonts w:ascii="Arial" w:hAnsi="Arial" w:cs="Arial"/>
          <w:sz w:val="24"/>
          <w:szCs w:val="24"/>
        </w:rPr>
        <w:t xml:space="preserve"> </w:t>
      </w:r>
      <w:r w:rsidR="0090790E" w:rsidRPr="0090790E">
        <w:rPr>
          <w:rFonts w:ascii="Arial" w:hAnsi="Arial" w:cs="Arial"/>
          <w:sz w:val="24"/>
          <w:szCs w:val="24"/>
        </w:rPr>
        <w:fldChar w:fldCharType="begin" w:fldLock="1"/>
      </w:r>
      <w:r w:rsidR="00CB6B23">
        <w:rPr>
          <w:rFonts w:ascii="Arial" w:hAnsi="Arial" w:cs="Arial"/>
          <w:sz w:val="24"/>
          <w:szCs w:val="24"/>
        </w:rPr>
        <w:instrText>ADDIN CSL_CITATION {"citationItems":[{"id":"ITEM-1","itemData":{"DOI":"10.1200/JCO.2008.18.1370","ISSN":"1527-7755","PMID":"19204204","abstract":"UNLABELLED PURPOSE To improve on current standards for breast cancer prognosis and prediction of chemotherapy benefit by developing a risk model that incorporates the gene expression-based \"intrinsic\" subtypes luminal A, luminal B, HER2-enriched, and basal-like. METHODS A 50-gene subtype predictor was developed using microarray and quantitative reverse transcriptase polymerase chain reaction data from 189 prototype samples. Test sets from 761 patients (no systemic therapy) were evaluated for prognosis, and 133 patients were evaluated for prediction of pathologic complete response (pCR) to a taxane and anthracycline regimen. RESULTS The intrinsic subtypes as discrete entities showed prognostic significance (P = 2.26E-12) and remained significant in multivariable analyses that incorporated standard parameters (estrogen receptor status, histologic grade, tumor size, and node status). A prognostic model for node-negative breast cancer was built using intrinsic subtype and clinical information. The C-index estimate for the combined model (subtype and tumor size) was a significant improvement on either the clinicopathologic model or subtype model alone. The intrinsic subtype model predicted neoadjuvant chemotherapy efficacy with a negative predictive value for pCR of 97%. CONCLUSION Diagnosis by intrinsic subtype adds significant prognostic and predictive information to standard parameters for patients with breast cancer. The prognostic properties of the continuous risk score will be of value for the management of node-negative breast cancers. The subtypes and risk score can also be used to assess the likelihood of efficacy from neoadjuvant chemotherapy.","author":[{"dropping-particle":"","family":"Parker","given":"Joel S","non-dropping-particle":"","parse-names":false,"suffix":""},{"dropping-particle":"","family":"Mullins","given":"Michael","non-dropping-particle":"","parse-names":false,"suffix":""},{"dropping-particle":"","family":"Cheang","given":"Maggie C U","non-dropping-particle":"","parse-names":false,"suffix":""},{"dropping-particle":"","family":"Leung","given":"Samuel","non-dropping-particle":"","parse-names":false,"suffix":""},{"dropping-particle":"","family":"Voduc","given":"David","non-dropping-particle":"","parse-names":false,"suffix":""},{"dropping-particle":"","family":"Vickery","given":"Tammi","non-dropping-particle":"","parse-names":false,"suffix":""},{"dropping-particle":"","family":"Davies","given":"Sherri","non-dropping-particle":"","parse-names":false,"suffix":""},{"dropping-particle":"","family":"Fauron","given":"Christiane","non-dropping-particle":"","parse-names":false,"suffix":""},{"dropping-particle":"","family":"He","given":"Xiaping","non-dropping-particle":"","parse-names":false,"suffix":""},{"dropping-particle":"","family":"Hu","given":"Zhiyuan","non-dropping-particle":"","parse-names":false,"suffix":""},{"dropping-particle":"","family":"Quackenbush","given":"John F","non-dropping-particle":"","parse-names":false,"suffix":""},{"dropping-particle":"","family":"Stijleman","given":"Inge J","non-dropping-particle":"","parse-names":false,"suffix":""},{"dropping-particle":"","family":"Palazzo","given":"Juan","non-dropping-particle":"","parse-names":false,"suffix":""},{"dropping-particle":"","family":"Marron","given":"J S","non-dropping-particle":"","parse-names":false,"suffix":""},{"dropping-particle":"","family":"Nobel","given":"Andrew B","non-dropping-particle":"","parse-names":false,"suffix":""},{"dropping-particle":"","family":"Mardis","given":"Elaine","non-dropping-particle":"","parse-names":false,"suffix":""},{"dropping-particle":"","family":"Nielsen","given":"Torsten O","non-dropping-particle":"","parse-names":false,"suffix":""},{"dropping-particle":"","family":"Ellis","given":"Matthew J","non-dropping-particle":"","parse-names":false,"suffix":""},{"dropping-particle":"","family":"Perou","given":"Charles M","non-dropping-particle":"","parse-names":false,"suffix":""},{"dropping-particle":"","family":"Bernard","given":"Philip S","non-dropping-particle":"","parse-names":false,"suffix":""}],"container-title":"Journal of clinical oncology : official journal of the American Society of Clinical Oncology","id":"ITEM-1","issue":"8","issued":{"date-parts":[["2009","3","10"]]},"page":"1160-7","publisher":"American Society of Clinical Oncology","title":"Supervised risk predictor of breast cancer based on intrinsic subtypes.","type":"article-journal","volume":"27"},"uris":["http://www.mendeley.com/documents/?uuid=d62a3669-9c96-37ff-9753-25ab5aebde9a"]}],"mendeley":{"formattedCitation":"[13]","plainTextFormattedCitation":"[13]","previouslyFormattedCitation":"[12]"},"properties":{"noteIndex":0},"schema":"https://github.com/citation-style-language/schema/raw/master/csl-citation.json"}</w:instrText>
      </w:r>
      <w:r w:rsidR="0090790E" w:rsidRPr="0090790E">
        <w:rPr>
          <w:rFonts w:ascii="Arial" w:hAnsi="Arial" w:cs="Arial"/>
          <w:sz w:val="24"/>
          <w:szCs w:val="24"/>
        </w:rPr>
        <w:fldChar w:fldCharType="separate"/>
      </w:r>
      <w:r w:rsidR="00CB6B23" w:rsidRPr="00CB6B23">
        <w:rPr>
          <w:rFonts w:ascii="Arial" w:hAnsi="Arial" w:cs="Arial"/>
          <w:noProof/>
          <w:sz w:val="24"/>
          <w:szCs w:val="24"/>
        </w:rPr>
        <w:t>[13]</w:t>
      </w:r>
      <w:r w:rsidR="0090790E" w:rsidRPr="0090790E">
        <w:rPr>
          <w:rFonts w:ascii="Arial" w:hAnsi="Arial" w:cs="Arial"/>
          <w:sz w:val="24"/>
          <w:szCs w:val="24"/>
        </w:rPr>
        <w:fldChar w:fldCharType="end"/>
      </w:r>
      <w:r w:rsidRPr="0090790E">
        <w:rPr>
          <w:rFonts w:ascii="Arial" w:hAnsi="Arial" w:cs="Arial"/>
          <w:sz w:val="24"/>
          <w:szCs w:val="24"/>
        </w:rPr>
        <w:t xml:space="preserve">, shown in </w:t>
      </w:r>
      <w:r w:rsidR="008735B5">
        <w:rPr>
          <w:rFonts w:ascii="Arial" w:hAnsi="Arial" w:cs="Arial"/>
          <w:b/>
          <w:bCs/>
          <w:sz w:val="24"/>
          <w:szCs w:val="24"/>
        </w:rPr>
        <w:t xml:space="preserve">Additional File 2: </w:t>
      </w:r>
      <w:r w:rsidR="008735B5" w:rsidRPr="00073AB2">
        <w:rPr>
          <w:rFonts w:ascii="Arial" w:hAnsi="Arial" w:cs="Arial"/>
          <w:b/>
          <w:bCs/>
          <w:sz w:val="24"/>
          <w:szCs w:val="24"/>
        </w:rPr>
        <w:t xml:space="preserve">Figure </w:t>
      </w:r>
      <w:r w:rsidR="008735B5">
        <w:rPr>
          <w:rFonts w:ascii="Arial" w:hAnsi="Arial" w:cs="Arial"/>
          <w:b/>
          <w:bCs/>
          <w:sz w:val="24"/>
          <w:szCs w:val="24"/>
        </w:rPr>
        <w:t>S</w:t>
      </w:r>
      <w:r w:rsidR="006449E6" w:rsidRPr="00F0643C">
        <w:rPr>
          <w:rFonts w:ascii="Arial" w:hAnsi="Arial" w:cs="Arial"/>
          <w:b/>
          <w:bCs/>
          <w:sz w:val="24"/>
          <w:szCs w:val="24"/>
        </w:rPr>
        <w:t>1</w:t>
      </w:r>
      <w:r w:rsidR="00285AA4">
        <w:rPr>
          <w:rFonts w:ascii="Arial" w:hAnsi="Arial" w:cs="Arial"/>
          <w:b/>
          <w:bCs/>
          <w:sz w:val="24"/>
          <w:szCs w:val="24"/>
        </w:rPr>
        <w:t>2</w:t>
      </w:r>
      <w:r w:rsidR="006449E6" w:rsidRPr="00F0643C">
        <w:rPr>
          <w:rFonts w:ascii="Arial" w:hAnsi="Arial" w:cs="Arial"/>
          <w:b/>
          <w:bCs/>
          <w:sz w:val="24"/>
          <w:szCs w:val="24"/>
        </w:rPr>
        <w:t>B</w:t>
      </w:r>
      <w:r w:rsidR="0090790E" w:rsidRPr="00F0643C">
        <w:rPr>
          <w:rFonts w:ascii="Arial" w:hAnsi="Arial" w:cs="Arial"/>
          <w:b/>
          <w:bCs/>
          <w:sz w:val="24"/>
          <w:szCs w:val="24"/>
        </w:rPr>
        <w:t>-D</w:t>
      </w:r>
      <w:r w:rsidRPr="0090790E">
        <w:rPr>
          <w:rFonts w:ascii="Arial" w:hAnsi="Arial" w:cs="Arial"/>
          <w:sz w:val="24"/>
          <w:szCs w:val="24"/>
        </w:rPr>
        <w:t xml:space="preserve">. The robustness of PAM50 subtype calling to GReX adjustment is consistent with our observation that only 10 of the 50 genes comprising the PAM50 gene signature were cis-heritable at </w:t>
      </w:r>
      <m:oMath>
        <m:r>
          <w:rPr>
            <w:rFonts w:ascii="Cambria Math" w:hAnsi="Cambria Math" w:cs="Arial"/>
            <w:sz w:val="24"/>
            <w:szCs w:val="24"/>
          </w:rPr>
          <m:t>P &lt; 0.10</m:t>
        </m:r>
      </m:oMath>
      <w:r w:rsidRPr="0090790E">
        <w:rPr>
          <w:rFonts w:ascii="Arial" w:hAnsi="Arial" w:cs="Arial"/>
          <w:sz w:val="24"/>
          <w:szCs w:val="24"/>
        </w:rPr>
        <w:t xml:space="preserve"> in our data set.</w:t>
      </w:r>
    </w:p>
    <w:p w14:paraId="7780A9DF" w14:textId="77777777" w:rsidR="0090790E" w:rsidRPr="0090790E" w:rsidRDefault="0090790E" w:rsidP="0090790E">
      <w:pPr>
        <w:autoSpaceDE w:val="0"/>
        <w:autoSpaceDN w:val="0"/>
        <w:adjustRightInd w:val="0"/>
        <w:spacing w:after="0" w:line="480" w:lineRule="auto"/>
        <w:jc w:val="both"/>
        <w:rPr>
          <w:rFonts w:ascii="Arial" w:hAnsi="Arial" w:cs="Arial"/>
          <w:sz w:val="24"/>
          <w:szCs w:val="24"/>
        </w:rPr>
      </w:pPr>
    </w:p>
    <w:p w14:paraId="48E08EE9" w14:textId="77777777" w:rsidR="0090790E" w:rsidRPr="0090790E" w:rsidRDefault="0090790E" w:rsidP="0090790E">
      <w:pPr>
        <w:autoSpaceDE w:val="0"/>
        <w:autoSpaceDN w:val="0"/>
        <w:adjustRightInd w:val="0"/>
        <w:spacing w:after="0" w:line="480" w:lineRule="auto"/>
        <w:jc w:val="both"/>
        <w:rPr>
          <w:rFonts w:ascii="Arial" w:hAnsi="Arial" w:cs="Arial"/>
          <w:i/>
          <w:iCs/>
          <w:sz w:val="24"/>
          <w:szCs w:val="24"/>
        </w:rPr>
      </w:pPr>
      <w:r w:rsidRPr="0090790E">
        <w:rPr>
          <w:rFonts w:ascii="Arial" w:hAnsi="Arial" w:cs="Arial"/>
          <w:i/>
          <w:iCs/>
          <w:sz w:val="24"/>
          <w:szCs w:val="24"/>
        </w:rPr>
        <w:t>Power in TWAS to detect survival associations</w:t>
      </w:r>
    </w:p>
    <w:p w14:paraId="345A4516" w14:textId="63CBA570" w:rsidR="0010485F" w:rsidRPr="0090790E" w:rsidRDefault="0090790E" w:rsidP="0090790E">
      <w:pPr>
        <w:autoSpaceDE w:val="0"/>
        <w:autoSpaceDN w:val="0"/>
        <w:adjustRightInd w:val="0"/>
        <w:spacing w:after="0" w:line="480" w:lineRule="auto"/>
        <w:jc w:val="both"/>
        <w:rPr>
          <w:rFonts w:ascii="Arial" w:hAnsi="Arial" w:cs="Arial"/>
          <w:sz w:val="24"/>
          <w:szCs w:val="24"/>
        </w:rPr>
      </w:pPr>
      <w:r w:rsidRPr="0090790E">
        <w:rPr>
          <w:rFonts w:ascii="Arial" w:hAnsi="Arial" w:cs="Arial"/>
          <w:sz w:val="24"/>
          <w:szCs w:val="24"/>
        </w:rPr>
        <w:t>Previous studies have suggested increased power in TWAS to detect smaller e</w:t>
      </w:r>
      <w:r>
        <w:rPr>
          <w:rFonts w:ascii="Arial" w:hAnsi="Arial" w:cs="Arial"/>
          <w:sz w:val="24"/>
          <w:szCs w:val="24"/>
        </w:rPr>
        <w:t>ff</w:t>
      </w:r>
      <w:r w:rsidRPr="0090790E">
        <w:rPr>
          <w:rFonts w:ascii="Arial" w:hAnsi="Arial" w:cs="Arial"/>
          <w:sz w:val="24"/>
          <w:szCs w:val="24"/>
        </w:rPr>
        <w:t>ect sizes</w:t>
      </w:r>
      <w:r w:rsidR="008735B5">
        <w:rPr>
          <w:rFonts w:ascii="Arial" w:hAnsi="Arial" w:cs="Arial"/>
          <w:sz w:val="24"/>
          <w:szCs w:val="24"/>
        </w:rPr>
        <w:t xml:space="preserve"> </w:t>
      </w:r>
      <w:r w:rsidRPr="0090790E">
        <w:rPr>
          <w:rFonts w:ascii="Arial" w:hAnsi="Arial" w:cs="Arial"/>
          <w:sz w:val="24"/>
          <w:szCs w:val="24"/>
        </w:rPr>
        <w:t>in studies of disease risk</w:t>
      </w:r>
      <w:r w:rsidR="00897660">
        <w:rPr>
          <w:rFonts w:ascii="Arial" w:hAnsi="Arial" w:cs="Arial"/>
          <w:sz w:val="24"/>
          <w:szCs w:val="24"/>
        </w:rPr>
        <w:t xml:space="preserve"> </w:t>
      </w:r>
      <w:r>
        <w:rPr>
          <w:rFonts w:ascii="Arial" w:hAnsi="Arial" w:cs="Arial"/>
          <w:sz w:val="24"/>
          <w:szCs w:val="24"/>
        </w:rPr>
        <w:fldChar w:fldCharType="begin" w:fldLock="1"/>
      </w:r>
      <w:r w:rsidR="00CB6B23">
        <w:rPr>
          <w:rFonts w:ascii="Arial" w:hAnsi="Arial" w:cs="Arial"/>
          <w:sz w:val="24"/>
          <w:szCs w:val="24"/>
        </w:rPr>
        <w:instrText>ADDIN CSL_CITATION {"citationItems":[{"id":"ITEM-1","itemData":{"DOI":"10.1038/s41588-018-0132-x","ISSN":"1546-1718","PMID":"29915430","abstract":"The breast cancer risk variants identified in genome-wide association studies explain only a small fraction of the familial relative risk, and the genes responsible for these associations remain largely unknown. To identify novel risk loci and likely causal genes, we performed a transcriptome-wide association study evaluating associations of genetically predicted gene expression with breast cancer risk in 122,977 cases and 105,974 controls of European ancestry. We used data from the Genotype-Tissue Expression Project to establish genetic models to predict gene expression in breast tissue and evaluated model performance using data from The Cancer Genome Atlas. Of the 8,597 genes evaluated, significant associations were identified for 48 at a Bonferroni-corrected threshold of P &lt; 5.82 × 10-6, including 14 genes at loci not yet reported for breast cancer. We silenced 13 genes and showed an effect for 11 on cell proliferation and/or colony-forming efficiency. Our study provides new insights into breast cancer genetics and biology.","author":[{"dropping-particle":"","family":"Wu","given":"Lang","non-dropping-particle":"","parse-names":false,"suffix":""},{"dropping-particle":"","family":"Shi","given":"Wei","non-dropping-particle":"","parse-names":false,"suffix":""},{"dropping-particle":"","family":"Long","given":"Jirong","non-dropping-particle":"","parse-names":false,"suffix":""},{"dropping-particle":"","family":"Guo","given":"Xingyi","non-dropping-particle":"","parse-names":false,"suffix":""},{"dropping-particle":"","family":"Michailidou","given":"Kyriaki","non-dropping-particle":"","parse-names":false,"suffix":""},{"dropping-particle":"","family":"Beesley","given":"Jonathan","non-dropping-particle":"","parse-names":false,"suffix":""},{"dropping-particle":"","family":"Bolla","given":"Manjeet K","non-dropping-particle":"","parse-names":false,"suffix":""},{"dropping-particle":"","family":"Shu","given":"Xiao-Ou","non-dropping-particle":"","parse-names":false,"suffix":""},{"dropping-particle":"","family":"Lu","given":"Yingchang","non-dropping-particle":"","parse-names":false,"suffix":""},{"dropping-particle":"","family":"Cai","given":"Qiuyin","non-dropping-particle":"","parse-names":false,"suffix":""},{"dropping-particle":"","family":"Al-Ejeh","given":"Fares","non-dropping-particle":"","parse-names":false,"suffix":""},{"dropping-particle":"","family":"Rozali","given":"Esdy","non-dropping-particle":"","parse-names":false,"suffix":""},{"dropping-particle":"","family":"Wang","given":"Qin","non-dropping-particle":"","parse-names":false,"suffix":""},{"dropping-particle":"","family":"Dennis","given":"Joe","non-dropping-particle":"","parse-names":false,"suffix":""},{"dropping-particle":"","family":"Li","given":"Bingshan","non-dropping-particle":"","parse-names":false,"suffix":""},{"dropping-particle":"","family":"Zeng","given":"Chenjie","non-dropping-particle":"","parse-names":false,"suffix":""},{"dropping-particle":"","family":"Feng","given":"Helian","non-dropping-particle":"","parse-names":false,"suffix":""},{"dropping-particle":"","family":"Gusev","given":"Alexander","non-dropping-particle":"","parse-names":false,"suffix":""},{"dropping-particle":"","family":"Barfield","given":"Richard T","non-dropping-particle":"","parse-names":false,"suffix":""},{"dropping-particle":"","family":"Andrulis","given":"Irene L","non-dropping-particle":"","parse-names":false,"suffix":""},{"dropping-particle":"","family":"Anton-Culver","given":"Hoda","non-dropping-particle":"","parse-names":false,"suffix":""},{"dropping-particle":"","family":"Arndt","given":"Volker","non-dropping-particle":"","parse-names":false,"suffix":""},{"dropping-particle":"","family":"Aronson","given":"Kristan J","non-dropping-particle":"","parse-names":false,"suffix":""},{"dropping-particle":"","family":"Auer","given":"Paul L","non-dropping-particle":"","parse-names":false,"suffix":""},{"dropping-particle":"","family":"Barrdahl","given":"Myrto","non-dropping-particle":"","parse-names":false,"suffix":""},{"dropping-particle":"","family":"Baynes","given":"Caroline","non-dropping-particle":"","parse-names":false,"suffix":""},{"dropping-particle":"","family":"Beckmann","given":"Matthias W","non-dropping-particle":"","parse-names":false,"suffix":""},{"dropping-particle":"","family":"Benitez","given":"Javier","non-dropping-particle":"","parse-names":false,"suffix":""},{"dropping-particle":"","family":"Bermisheva","given":"Marina","non-dropping-particle":"","parse-names":false,"suffix":""},{"dropping-particle":"","family":"Blomqvist","given":"Carl","non-dropping-particle":"","parse-names":false,"suffix":""},{"dropping-particle":"V","family":"Bogdanova","given":"Natalia","non-dropping-particle":"","parse-names":false,"suffix":""},{"dropping-particle":"","family":"Bojesen","given":"Stig E","non-dropping-particle":"","parse-names":false,"suffix":""},{"dropping-particle":"","family":"Brauch","given":"Hiltrud","non-dropping-particle":"","parse-names":false,"suffix":""},{"dropping-particle":"","family":"Brenner","given":"Hermann","non-dropping-particle":"","parse-names":false,"suffix":""},{"dropping-particle":"","family":"Brinton","given":"Louise","non-dropping-particle":"","parse-names":false,"suffix":""},{"dropping-particle":"","family":"Broberg","given":"Per","non-dropping-particle":"","parse-names":false,"suffix":""},{"dropping-particle":"","family":"Brucker","given":"Sara Y","non-dropping-particle":"","parse-names":false,"suffix":""},{"dropping-particle":"","family":"Burwinkel","given":"Barbara","non-dropping-particle":"","parse-names":false,"suffix":""},{"dropping-particle":"","family":"Caldés","given":"Trinidad","non-dropping-particle":"","parse-names":false,"suffix":""},{"dropping-particle":"","family":"Canzian","given":"Federico","non-dropping-particle":"","parse-names":false,"suffix":""},{"dropping-particle":"","family":"Carter","given":"Brian D","non-dropping-particle":"","parse-names":false,"suffix":""},{"dropping-particle":"","family":"Castelao","given":"J Esteban","non-dropping-particle":"","parse-names":false,"suffix":""},{"dropping-particle":"","family":"Chang-Claude","given":"Jenny","non-dropping-particle":"","parse-names":false,"suffix":""},{"dropping-particle":"","family":"Chen","given":"Xiaoqing","non-dropping-particle":"","parse-names":false,"suffix":""},{"dropping-particle":"","family":"Cheng","given":"Ting-Yuan David","non-dropping-particle":"","parse-names":false,"suffix":""},{"dropping-particle":"","family":"Christiansen","given":"Hans","non-dropping-particle":"","parse-names":false,"suffix":""},{"dropping-particle":"","family":"Clarke","given":"Christine L","non-dropping-particle":"","parse-names":false,"suffix":""},{"dropping-particle":"","family":"NBCS Collaborators","given":"NBCS","non-dropping-particle":"","parse-names":false,"suffix":""},{"dropping-particle":"","family":"Collée","given":"Margriet","non-dropping-particle":"","parse-names":false,"suffix":""},{"dropping-particle":"","family":"Cornelissen","given":"Sten","non-dropping-particle":"","parse-names":false,"suffix":""},{"dropping-particle":"","family":"Couch","given":"Fergus J","non-dropping-particle":"","parse-names":false,"suffix":""},{"dropping-particle":"","family":"Cox","given":"David","non-dropping-particle":"","parse-names":false,"suffix":""},{"dropping-particle":"","family":"Cox","given":"Angela","non-dropping-particle":"","parse-names":false,"suffix":""},{"dropping-particle":"","family":"Cross","given":"Simon S","non-dropping-particle":"","parse-names":false,"suffix":""},{"dropping-particle":"","family":"Cunningham","given":"Julie M","non-dropping-particle":"","parse-names":false,"suffix":""},{"dropping-particle":"","family":"Czene","given":"Kamila","non-dropping-particle":"","parse-names":false,"suffix":""},{"dropping-particle":"","family":"Daly","given":"Mary B","non-dropping-particle":"","parse-names":false,"suffix":""},{"dropping-particle":"","family":"Devilee","given":"Peter","non-dropping-particle":"","parse-names":false,"suffix":""},{"dropping-particle":"","family":"Doheny","given":"Kimberly F","non-dropping-particle":"","parse-names":false,"suffix":""},{"dropping-particle":"","family":"Dörk","given":"Thilo","non-dropping-particle":"","parse-names":false,"suffix":""},{"dropping-particle":"","family":"Dos-Santos-Silva","given":"Isabel","non-dropping-particle":"","parse-names":false,"suffix":""},{"dropping-particle":"","family":"Dumont","given":"Martine","non-dropping-particle":"","parse-names":false,"suffix":""},{"dropping-particle":"","family":"Dwek","given":"Miriam","non-dropping-particle":"","parse-names":false,"suffix":""},{"dropping-particle":"","family":"Eccles","given":"Diana M","non-dropping-particle":"","parse-names":false,"suffix":""},{"dropping-particle":"","family":"Eilber","given":"Ursula","non-dropping-particle":"","parse-names":false,"suffix":""},{"dropping-particle":"","family":"Eliassen","given":"A Heather","non-dropping-particle":"","parse-names":false,"suffix":""},{"dropping-particle":"","family":"Engel","given":"Christoph","non-dropping-particle":"","parse-names":false,"suffix":""},{"dropping-particle":"","family":"Eriksson","given":"Mikael","non-dropping-particle":"","parse-names":false,"suffix":""},{"dropping-particle":"","family":"Fachal","given":"Laura","non-dropping-particle":"","parse-names":false,"suffix":""},{"dropping-particle":"","family":"Fasching","given":"Peter A","non-dropping-particle":"","parse-names":false,"suffix":""},{"dropping-particle":"","family":"Figueroa","given":"Jonine","non-dropping-particle":"","parse-names":false,"suffix":""},{"dropping-particle":"","family":"Flesch-Janys","given":"Dieter","non-dropping-particle":"","parse-names":false,"suffix":""},{"dropping-particle":"","family":"Fletcher","given":"Olivia","non-dropping-particle":"","parse-names":false,"suffix":""},{"dropping-particle":"","family":"Flyger","given":"Henrik","non-dropping-particle":"","parse-names":false,"suffix":""},{"dropping-particle":"","family":"Fritschi","given":"Lin","non-dropping-particle":"","parse-names":false,"suffix":""},{"dropping-particle":"","family":"Gabrielson","given":"Marike","non-dropping-particle":"","parse-names":false,"suffix":""},{"dropping-particle":"","family":"Gago-Dominguez","given":"Manuela","non-dropping-particle":"","parse-names":false,"suffix":""},{"dropping-particle":"","family":"Gapstur","given":"Susan M","non-dropping-particle":"","parse-names":false,"suffix":""},{"dropping-particle":"","family":"García-Closas","given":"Montserrat","non-dropping-particle":"","parse-names":false,"suffix":""},{"dropping-particle":"","family":"Gaudet","given":"Mia M","non-dropping-particle":"","parse-names":false,"suffix":""},{"dropping-particle":"","family":"Ghoussaini","given":"Maya","non-dropping-particle":"","parse-names":false,"suffix":""},{"dropping-particle":"","family":"Giles","given":"Graham G","non-dropping-particle":"","parse-names":false,"suffix":""},{"dropping-particle":"","family":"Goldberg","given":"Mark S","non-dropping-particle":"","parse-names":false,"suffix":""},{"dropping-particle":"","family":"Goldgar","given":"David E","non-dropping-particle":"","parse-names":false,"suffix":""},{"dropping-particle":"","family":"González-Neira","given":"Anna","non-dropping-particle":"","parse-names":false,"suffix":""},{"dropping-particle":"","family":"Guénel","given":"Pascal","non-dropping-particle":"","parse-names":false,"suffix":""},{"dropping-particle":"","family":"Hahnen","given":"Eric","non-dropping-particle":"","parse-names":false,"suffix":""},{"dropping-particle":"","family":"Haiman","given":"Christopher A","non-dropping-particle":"","parse-names":false,"suffix":""},{"dropping-particle":"","family":"Håkansson","given":"Niclas","non-dropping-particle":"","parse-names":false,"suffix":""},{"dropping-particle":"","family":"Hall","given":"Per","non-dropping-particle":"","parse-names":false,"suffix":""},{"dropping-particle":"","family":"Hallberg","given":"Emily","non-dropping-particle":"","parse-names":false,"suffix":""},{"dropping-particle":"","family":"Hamann","given":"Ute","non-dropping-particle":"","parse-names":false,"suffix":""},{"dropping-particle":"","family":"Harrington","given":"Patricia","non-dropping-particle":"","parse-names":false,"suffix":""},{"dropping-particle":"","family":"Hein","given":"Alexander","non-dropping-particle":"","parse-names":false,"suffix":""},{"dropping-particle":"","family":"Hicks","given":"Belynda","non-dropping-particle":"","parse-names":false,"suffix":""},{"dropping-particle":"","family":"Hillemanns","given":"Peter","non-dropping-particle":"","parse-names":false,"suffix":""},{"dropping-particle":"","family":"Hollestelle","given":"Antoinette","non-dropping-particle":"","parse-names":false,"suffix":""},{"dropping-particle":"","family":"Hoover","given":"Robert N","non-dropping-particle":"","parse-names":false,"suffix":""},{"dropping-particle":"","family":"Hopper","given":"John L","non-dropping-particle":"","parse-names":false,"suffix":""},{"dropping-particle":"","family":"Huang","given":"Guanmengqian","non-dropping-particle":"","parse-names":false,"suffix":""},{"dropping-particle":"","family":"Humphreys","given":"Keith","non-dropping-particle":"","parse-names":false,"suffix":""},{"dropping-particle":"","family":"Hunter","given":"David J","non-dropping-particle":"","parse-names":false,"suffix":""},{"dropping-particle":"","family":"Jakubowska","given":"Anna","non-dropping-particle":"","parse-names":false,"suffix":""},{"dropping-particle":"","family":"Janni","given":"Wolfgang","non-dropping-particle":"","parse-names":false,"suffix":""},{"dropping-particle":"","family":"John","given":"Esther M","non-dropping-particle":"","parse-names":false,"suffix":""},{"dropping-particle":"","family":"Johnson","given":"Nichola","non-dropping-particle":"","parse-names":false,"suffix":""},{"dropping-particle":"","family":"Jones","given":"Kristine","non-dropping-particle":"","parse-names":false,"suffix":""},{"dropping-particle":"","family":"Jones","given":"Michael E","non-dropping-particle":"","parse-names":false,"suffix":""},{"dropping-particle":"","family":"Jung","given":"Audrey","non-dropping-particle":"","parse-names":false,"suffix":""},{"dropping-particle":"","family":"Kaaks","given":"Rudolf","non-dropping-particle":"","parse-names":false,"suffix":""},{"dropping-particle":"","family":"Kerin","given":"Michael J","non-dropping-particle":"","parse-names":false,"suffix":""},{"dropping-particle":"","family":"Khusnutdinova","given":"Elza","non-dropping-particle":"","parse-names":false,"suffix":""},{"dropping-particle":"","family":"Kosma","given":"Veli-Matti","non-dropping-particle":"","parse-names":false,"suffix":""},{"dropping-particle":"","family":"Kristensen","given":"Vessela N","non-dropping-particle":"","parse-names":false,"suffix":""},{"dropping-particle":"","family":"Lambrechts","given":"Diether","non-dropping-particle":"","parse-names":false,"suffix":""},{"dropping-particle":"","family":"Marchand","given":"Loic","non-dropping-particle":"Le","parse-names":false,"suffix":""},{"dropping-particle":"","family":"Li","given":"Jingmei","non-dropping-particle":"","parse-names":false,"suffix":""},{"dropping-particle":"","family":"Lindström","given":"Sara","non-dropping-particle":"","parse-names":false,"suffix":""},{"dropping-particle":"","family":"Lissowska","given":"Jolanta","non-dropping-particle":"","parse-names":false,"suffix":""},{"dropping-particle":"","family":"Lo","given":"Wing-Yee","non-dropping-particle":"","parse-names":false,"suffix":""},{"dropping-particle":"","family":"Loibl","given":"Sibylle","non-dropping-particle":"","parse-names":false,"suffix":""},{"dropping-particle":"","family":"Lubinski","given":"Jan","non-dropping-particle":"","parse-names":false,"suffix":""},{"dropping-particle":"","family":"Luccarini","given":"Craig","non-dropping-particle":"","parse-names":false,"suffix":""},{"dropping-particle":"","family":"Lux","given":"Michael P","non-dropping-particle":"","parse-names":false,"suffix":""},{"dropping-particle":"","family":"MacInnis","given":"Robert J","non-dropping-particle":"","parse-names":false,"suffix":""},{"dropping-particle":"","family":"Maishman","given":"Tom","non-dropping-particle":"","parse-names":false,"suffix":""},{"dropping-particle":"","family":"Kostovska","given":"Ivana Maleva","non-dropping-particle":"","parse-names":false,"suffix":""},{"dropping-particle":"","family":"Mannermaa","given":"Arto","non-dropping-particle":"","parse-names":false,"suffix":""},{"dropping-particle":"","family":"Manson","given":"JoAnn E","non-dropping-particle":"","parse-names":false,"suffix":""},{"dropping-particle":"","family":"Margolin","given":"Sara","non-dropping-particle":"","parse-names":false,"suffix":""},{"dropping-particle":"","family":"Mavroudis","given":"Dimitrios","non-dropping-particle":"","parse-names":false,"suffix":""},{"dropping-particle":"","family":"Meijers-Heijboer","given":"Hanne","non-dropping-particle":"","parse-names":false,"suffix":""},{"dropping-particle":"","family":"Meindl","given":"Alfons","non-dropping-particle":"","parse-names":false,"suffix":""},{"dropping-particle":"","family":"Menon","given":"Usha","non-dropping-particle":"","parse-names":false,"suffix":""},{"dropping-particle":"","family":"Meyer","given":"Jeffery","non-dropping-particle":"","parse-names":false,"suffix":""},{"dropping-particle":"","family":"Mulligan","given":"Anna Marie","non-dropping-particle":"","parse-names":false,"suffix":""},{"dropping-particle":"","family":"Neuhausen","given":"Susan L","non-dropping-particle":"","parse-names":false,"suffix":""},{"dropping-particle":"","family":"Nevanlinna","given":"Heli","non-dropping-particle":"","parse-names":false,"suffix":""},{"dropping-particle":"","family":"Neven","given":"Patrick","non-dropping-particle":"","parse-names":false,"suffix":""},{"dropping-particle":"","family":"Nielsen","given":"Sune F","non-dropping-particle":"","parse-names":false,"suffix":""},{"dropping-particle":"","family":"Nordestgaard","given":"Børge G","non-dropping-particle":"","parse-names":false,"suffix":""},{"dropping-particle":"","family":"Olopade","given":"Olufunmilayo I","non-dropping-particle":"","parse-names":false,"suffix":""},{"dropping-particle":"","family":"Olson","given":"Janet E","non-dropping-particle":"","parse-names":false,"suffix":""},{"dropping-particle":"","family":"Olsson","given":"Håkan","non-dropping-particle":"","parse-names":false,"suffix":""},{"dropping-particle":"","family":"Peterlongo","given":"Paolo","non-dropping-particle":"","parse-names":false,"suffix":""},{"dropping-particle":"","family":"Peto","given":"Julian","non-dropping-particle":"","parse-names":false,"suffix":""},{"dropping-particle":"","family":"Plaseska-Karanfilska","given":"Dijana","non-dropping-particle":"","parse-names":false,"suffix":""},{"dropping-particle":"","family":"Prentice","given":"Ross","non-dropping-particle":"","parse-names":false,"suffix":""},{"dropping-particle":"","family":"Presneau","given":"Nadege","non-dropping-particle":"","parse-names":false,"suffix":""},{"dropping-particle":"","family":"Pylkäs","given":"Katri","non-dropping-particle":"","parse-names":false,"suffix":""},{"dropping-particle":"","family":"Rack","given":"Brigitte","non-dropping-particle":"","parse-names":false,"suffix":""},{"dropping-particle":"","family":"Radice","given":"Paolo","non-dropping-particle":"","parse-names":false,"suffix":""},{"dropping-particle":"","family":"Rahman","given":"Nazneen","non-dropping-particle":"","parse-names":false,"suffix":""},{"dropping-particle":"","family":"Rennert","given":"Gad","non-dropping-particle":"","parse-names":false,"suffix":""},{"dropping-particle":"","family":"Rennert","given":"Hedy S","non-dropping-particle":"","parse-names":false,"suffix":""},{"dropping-particle":"","family":"Rhenius","given":"Valerie","non-dropping-particle":"","parse-names":false,"suffix":""},{"dropping-particle":"","family":"Romero","given":"Atocha","non-dropping-particle":"","parse-names":false,"suffix":""},{"dropping-particle":"","family":"Romm","given":"Jane","non-dropping-particle":"","parse-names":false,"suffix":""},{"dropping-particle":"","family":"Rudolph","given":"Anja","non-dropping-particle":"","parse-names":false,"suffix":""},{"dropping-particle":"","family":"Saloustros","given":"Emmanouil","non-dropping-particle":"","parse-names":false,"suffix":""},{"dropping-particle":"","family":"Sandler","given":"Dale P","non-dropping-particle":"","parse-names":false,"suffix":""},{"dropping-particle":"","family":"Sawyer","given":"Elinor J","non-dropping-particle":"","parse-names":false,"suffix":""},{"dropping-particle":"","family":"Schmidt","given":"Marjanka K","non-dropping-particle":"","parse-names":false,"suffix":""},{"dropping-particle":"","family":"Schmutzler","given":"Rita K","non-dropping-particle":"","parse-names":false,"suffix":""},{"dropping-particle":"","family":"Schneeweiss","given":"Andreas","non-dropping-particle":"","parse-names":false,"suffix":""},{"dropping-particle":"","family":"Scott","given":"Rodney J","non-dropping-particle":"","parse-names":false,"suffix":""},{"dropping-particle":"","family":"Scott","given":"Christopher G","non-dropping-particle":"","parse-names":false,"suffix":""},{"dropping-particle":"","family":"Seal","given":"Sheila","non-dropping-particle":"","parse-names":false,"suffix":""},{"dropping-particle":"","family":"Shah","given":"Mitul","non-dropping-particle":"","parse-names":false,"suffix":""},{"dropping-particle":"","family":"Shrubsole","given":"Martha J","non-dropping-particle":"","parse-names":false,"suffix":""},{"dropping-particle":"","family":"Smeets","given":"Ann","non-dropping-particle":"","parse-names":false,"suffix":""},{"dropping-particle":"","family":"Southey","given":"Melissa C","non-dropping-particle":"","parse-names":false,"suffix":""},{"dropping-particle":"","family":"Spinelli","given":"John J","non-dropping-particle":"","parse-names":false,"suffix":""},{"dropping-particle":"","family":"Stone","given":"Jennifer","non-dropping-particle":"","parse-names":false,"suffix":""},{"dropping-particle":"","family":"Surowy","given":"Harald","non-dropping-particle":"","parse-names":false,"suffix":""},{"dropping-particle":"","family":"Swerdlow","given":"Anthony J","non-dropping-particle":"","parse-names":false,"suffix":""},{"dropping-particle":"","family":"Tamimi","given":"Rulla M","non-dropping-particle":"","parse-names":false,"suffix":""},{"dropping-particle":"","family":"Tapper","given":"William","non-dropping-particle":"","parse-names":false,"suffix":""},{"dropping-particle":"","family":"Taylor","given":"Jack A","non-dropping-particle":"","parse-names":false,"suffix":""},{"dropping-particle":"","family":"Terry","given":"Mary Beth","non-dropping-particle":"","parse-names":false,"suffix":""},{"dropping-particle":"","family":"Tessier","given":"Daniel C","non-dropping-particle":"","parse-names":false,"suffix":""},{"dropping-particle":"","family":"Thomas","given":"Abigail","non-dropping-particle":"","parse-names":false,"suffix":""},{"dropping-particle":"","family":"Thöne","given":"Kathrin","non-dropping-particle":"","parse-names":false,"suffix":""},{"dropping-particle":"","family":"Tollenaar","given":"Rob A E M","non-dropping-particle":"","parse-names":false,"suffix":""},{"dropping-particle":"","family":"Torres","given":"Diana","non-dropping-particle":"","parse-names":false,"suffix":""},{"dropping-particle":"","family":"Truong","given":"Thérèse","non-dropping-particle":"","parse-names":false,"suffix":""},{"dropping-particle":"","family":"Untch","given":"Michael","non-dropping-particle":"","parse-names":false,"suffix":""},{"dropping-particle":"","family":"Vachon","given":"Celine","non-dropping-particle":"","parse-names":false,"suffix":""},{"dropping-particle":"","family":"Berg","given":"David","non-dropping-particle":"Van Den","parse-names":false,"suffix":""},{"dropping-particle":"","family":"Vincent","given":"Daniel","non-dropping-particle":"","parse-names":false,"suffix":""},{"dropping-particle":"","family":"Waisfisz","given":"Quinten","non-dropping-particle":"","parse-names":false,"suffix":""},{"dropping-particle":"","family":"Weinberg","given":"Clarice R","non-dropping-particle":"","parse-names":false,"suffix":""},{"dropping-particle":"","family":"Wendt","given":"Camilla","non-dropping-particle":"","parse-names":false,"suffix":""},{"dropping-particle":"","family":"Whittemore","given":"Alice S","non-dropping-particle":"","parse-names":false,"suffix":""},{"dropping-particle":"","family":"Wildiers","given":"Hans","non-dropping-particle":"","parse-names":false,"suffix":""},{"dropping-particle":"","family":"Willett","given":"Walter C","non-dropping-particle":"","parse-names":false,"suffix":""},{"dropping-particle":"","family":"Winqvist","given":"Robert","non-dropping-particle":"","parse-names":false,"suffix":""},{"dropping-particle":"","family":"Wolk","given":"Alicja","non-dropping-particle":"","parse-names":false,"suffix":""},{"dropping-particle":"","family":"Xia","given":"Lucy","non-dropping-particle":"","parse-names":false,"suffix":""},{"dropping-particle":"","family":"Yang","given":"Xiaohong R","non-dropping-particle":"","parse-names":false,"suffix":""},{"dropping-particle":"","family":"Ziogas","given":"Argyrios","non-dropping-particle":"","parse-names":false,"suffix":""},{"dropping-particle":"","family":"Ziv","given":"Elad","non-dropping-particle":"","parse-names":false,"suffix":""},{"dropping-particle":"","family":"kConFab/AOCS Investigators","given":"kConFab/AOCS","non-dropping-particle":"","parse-names":false,"suffix":""},{"dropping-particle":"","family":"Dunning","given":"Alison M","non-dropping-particle":"","parse-names":false,"suffix":""},{"dropping-particle":"","family":"Pharoah","given":"Paul D P","non-dropping-particle":"","parse-names":false,"suffix":""},{"dropping-particle":"","family":"Simard","given":"Jacques","non-dropping-particle":"","parse-names":false,"suffix":""},{"dropping-particle":"","family":"Milne","given":"Roger L","non-dropping-particle":"","parse-names":false,"suffix":""},{"dropping-particle":"","family":"Edwards","given":"Stacey L","non-dropping-particle":"","parse-names":false,"suffix":""},{"dropping-particle":"","family":"Kraft","given":"Peter","non-dropping-particle":"","parse-names":false,"suffix":""},{"dropping-particle":"","family":"Easton","given":"Douglas F","non-dropping-particle":"","parse-names":false,"suffix":""},{"dropping-particle":"","family":"Chenevix-Trench","given":"Georgia","non-dropping-particle":"","parse-names":false,"suffix":""},{"dropping-particle":"","family":"Zheng","given":"Wei","non-dropping-particle":"","parse-names":false,"suffix":""}],"container-title":"Nature genetics","id":"ITEM-1","issue":"7","issued":{"date-parts":[["2018"]]},"page":"968-978","publisher":"NIH Public Access","title":"A transcriptome-wide association study of 229,000 women identifies new candidate susceptibility genes for breast cancer.","type":"article-journal","volume":"50"},"uris":["http://www.mendeley.com/documents/?uuid=b9bf622b-5e0b-3183-9165-024a671f87d4"]},{"id":"ITEM-2","itemData":{"DOI":"10.1038/s41588-018-0092-1","ISSN":"1061-4036","abstract":"Genome-wide association studies (GWAS) have identified over 100 risk loci for schizophrenia, but the causal mechanisms remain largely unknown. We performed a transcriptome-wide association study (TWAS) integrating a schizophrenia GWAS of 79,845 individuals from the Psychiatric Genomics Consortium with expression data from brain, blood, and adipose tissues across 3,693 primarily control individuals. We identified 157 TWAS-significant genes, of which 35 did not overlap a known GWAS locus. Of these 157 genes, 42 were associated with specific chromatin features measured in independent samples, thus highlighting potential regulatory targets for follow-up. Suppression of one identified susceptibility gene, mapk3, in zebrafish showed a significant effect on neurodevelopmental phenotypes. Expression and splicing from the brain captured most of the TWAS effect across all genes. This large-scale connection of associations to target genes, tissues, and regulatory features is an essential step in moving toward a mechanistic understanding of GWAS.","author":[{"dropping-particle":"","family":"Gusev","given":"Alexander","non-dropping-particle":"","parse-names":false,"suffix":""},{"dropping-particle":"","family":"Mancuso","given":"Nicholas","non-dropping-particle":"","parse-names":false,"suffix":""},{"dropping-particle":"","family":"Won","given":"Hyejung","non-dropping-particle":"","parse-names":false,"suffix":""},{"dropping-particle":"","family":"Kousi","given":"Maria","non-dropping-particle":"","parse-names":false,"suffix":""},{"dropping-particle":"","family":"Finucane","given":"Hilary K.","non-dropping-particle":"","parse-names":false,"suffix":""},{"dropping-particle":"","family":"Reshef","given":"Yakir","non-dropping-particle":"","parse-names":false,"suffix":""},{"dropping-particle":"","family":"Song","given":"Lingyun","non-dropping-particle":"","parse-names":false,"suffix":""},{"dropping-particle":"","family":"Safi","given":"Alexias","non-dropping-particle":"","parse-names":false,"suffix":""},{"dropping-particle":"","family":"McCarroll","given":"Steven","non-dropping-particle":"","parse-names":false,"suffix":""},{"dropping-particle":"","family":"Neale","given":"Benjamin M.","non-dropping-particle":"","parse-names":false,"suffix":""},{"dropping-particle":"","family":"Ophoff","given":"Roel A.","non-dropping-particle":"","parse-names":false,"suffix":""},{"dropping-particle":"","family":"O’Donovan","given":"Michael C.","non-dropping-particle":"","parse-names":false,"suffix":""},{"dropping-particle":"","family":"Crawford","given":"Gregory E.","non-dropping-particle":"","parse-names":false,"suffix":""},{"dropping-particle":"","family":"Geschwind","given":"Daniel H.","non-dropping-particle":"","parse-names":false,"suffix":""},{"dropping-particle":"","family":"Katsanis","given":"Nicholas","non-dropping-particle":"","parse-names":false,"suffix":""},{"dropping-particle":"","family":"Sullivan","given":"Patrick F.","non-dropping-particle":"","parse-names":false,"suffix":""},{"dropping-particle":"","family":"Pasaniuc","given":"Bogdan","non-dropping-particle":"","parse-names":false,"suffix":""},{"dropping-particle":"","family":"Price","given":"Alkes L.","non-dropping-particle":"","parse-names":false,"suffix":""}],"container-title":"Nature Genetics","id":"ITEM-2","issue":"4","issued":{"date-parts":[["2018","4","9"]]},"page":"538-548","publisher":"Nature Publishing Group","title":"Transcriptome-wide association study of schizophrenia and chromatin activity yields mechanistic disease insights","type":"article-journal","volume":"50"},"uris":["http://www.mendeley.com/documents/?uuid=b01154f3-39eb-38a2-a5b3-0ccfaa567760"]}],"mendeley":{"formattedCitation":"[21,22]","plainTextFormattedCitation":"[21,22]","previouslyFormattedCitation":"[20,21]"},"properties":{"noteIndex":0},"schema":"https://github.com/citation-style-language/schema/raw/master/csl-citation.json"}</w:instrText>
      </w:r>
      <w:r>
        <w:rPr>
          <w:rFonts w:ascii="Arial" w:hAnsi="Arial" w:cs="Arial"/>
          <w:sz w:val="24"/>
          <w:szCs w:val="24"/>
        </w:rPr>
        <w:fldChar w:fldCharType="separate"/>
      </w:r>
      <w:r w:rsidR="00CB6B23" w:rsidRPr="00CB6B23">
        <w:rPr>
          <w:rFonts w:ascii="Arial" w:hAnsi="Arial" w:cs="Arial"/>
          <w:noProof/>
          <w:sz w:val="24"/>
          <w:szCs w:val="24"/>
        </w:rPr>
        <w:t>[21,22]</w:t>
      </w:r>
      <w:r>
        <w:rPr>
          <w:rFonts w:ascii="Arial" w:hAnsi="Arial" w:cs="Arial"/>
          <w:sz w:val="24"/>
          <w:szCs w:val="24"/>
        </w:rPr>
        <w:fldChar w:fldCharType="end"/>
      </w:r>
      <w:r w:rsidRPr="0090790E">
        <w:rPr>
          <w:rFonts w:ascii="Arial" w:hAnsi="Arial" w:cs="Arial"/>
          <w:sz w:val="24"/>
          <w:szCs w:val="24"/>
        </w:rPr>
        <w:t>. We generated the empirical power of a GWAS to detect various hazard ratios with 3,828 samples using 1,000 simulation replicates with an event rate, risk allele frequency, landmark time and probabilities to landmark times derived from CBCS genotype data at a signi</w:t>
      </w:r>
      <w:r>
        <w:rPr>
          <w:rFonts w:ascii="Arial" w:hAnsi="Arial" w:cs="Arial"/>
          <w:sz w:val="24"/>
          <w:szCs w:val="24"/>
        </w:rPr>
        <w:t>fi</w:t>
      </w:r>
      <w:r w:rsidRPr="0090790E">
        <w:rPr>
          <w:rFonts w:ascii="Arial" w:hAnsi="Arial" w:cs="Arial"/>
          <w:sz w:val="24"/>
          <w:szCs w:val="24"/>
        </w:rPr>
        <w:t xml:space="preserve">cance level of </w:t>
      </w:r>
      <m:oMath>
        <m:r>
          <w:rPr>
            <w:rFonts w:ascii="Cambria Math" w:hAnsi="Cambria Math" w:cs="Arial"/>
            <w:sz w:val="24"/>
            <w:szCs w:val="24"/>
          </w:rPr>
          <m:t>P = 1.70×</m:t>
        </m:r>
        <m:sSup>
          <m:sSupPr>
            <m:ctrlPr>
              <w:rPr>
                <w:rFonts w:ascii="Cambria Math" w:eastAsia="Arial" w:hAnsi="Cambria Math" w:cs="Arial"/>
                <w:i/>
                <w:sz w:val="24"/>
                <w:szCs w:val="24"/>
              </w:rPr>
            </m:ctrlPr>
          </m:sSupPr>
          <m:e>
            <m:r>
              <w:rPr>
                <w:rFonts w:ascii="Cambria Math" w:hAnsi="Cambria Math" w:cs="Arial"/>
                <w:sz w:val="24"/>
                <w:szCs w:val="24"/>
              </w:rPr>
              <m:t>10</m:t>
            </m:r>
            <m:ctrlPr>
              <w:rPr>
                <w:rFonts w:ascii="Cambria Math" w:hAnsi="Cambria Math" w:cs="Arial"/>
                <w:i/>
                <w:sz w:val="24"/>
                <w:szCs w:val="24"/>
              </w:rPr>
            </m:ctrlPr>
          </m:e>
          <m:sup>
            <m:r>
              <w:rPr>
                <w:rFonts w:ascii="Cambria Math" w:eastAsia="Arial" w:hAnsi="Cambria Math" w:cs="Arial"/>
                <w:sz w:val="24"/>
                <w:szCs w:val="24"/>
              </w:rPr>
              <m:t>-</m:t>
            </m:r>
            <m:r>
              <w:rPr>
                <w:rFonts w:ascii="Cambria Math" w:hAnsi="Cambria Math" w:cs="Arial"/>
                <w:sz w:val="24"/>
                <w:szCs w:val="24"/>
              </w:rPr>
              <m:t>8</m:t>
            </m:r>
          </m:sup>
        </m:sSup>
      </m:oMath>
      <w:r w:rsidRPr="0090790E">
        <w:rPr>
          <w:rFonts w:ascii="Arial" w:hAnsi="Arial" w:cs="Arial"/>
          <w:sz w:val="24"/>
          <w:szCs w:val="24"/>
        </w:rPr>
        <w:t>, corresponding to a FDR</w:t>
      </w:r>
      <w:r>
        <w:rPr>
          <w:rFonts w:ascii="Arial" w:hAnsi="Arial" w:cs="Arial"/>
          <w:sz w:val="24"/>
          <w:szCs w:val="24"/>
        </w:rPr>
        <w:t>-</w:t>
      </w:r>
      <w:r w:rsidRPr="0090790E">
        <w:rPr>
          <w:rFonts w:ascii="Arial" w:hAnsi="Arial" w:cs="Arial"/>
          <w:sz w:val="24"/>
          <w:szCs w:val="24"/>
        </w:rPr>
        <w:t xml:space="preserve">adjusted </w:t>
      </w:r>
      <m:oMath>
        <m:r>
          <w:rPr>
            <w:rFonts w:ascii="Cambria Math" w:hAnsi="Cambria Math" w:cs="Arial"/>
            <w:sz w:val="24"/>
            <w:szCs w:val="24"/>
          </w:rPr>
          <m:t xml:space="preserve">P = 0.10 </m:t>
        </m:r>
      </m:oMath>
      <w:r>
        <w:rPr>
          <w:rFonts w:ascii="Arial" w:hAnsi="Arial" w:cs="Arial"/>
          <w:sz w:val="24"/>
          <w:szCs w:val="24"/>
        </w:rPr>
        <w:fldChar w:fldCharType="begin" w:fldLock="1"/>
      </w:r>
      <w:r w:rsidR="00CB6B23">
        <w:rPr>
          <w:rFonts w:ascii="Arial" w:hAnsi="Arial" w:cs="Arial"/>
          <w:sz w:val="24"/>
          <w:szCs w:val="24"/>
        </w:rPr>
        <w:instrText>ADDIN CSL_CITATION {"citationItems":[{"id":"ITEM-1","itemData":{"DOI":"10.1002/gepi.21645","ISSN":"07410395","author":[{"dropping-particle":"","family":"Owzar","given":"Kouros","non-dropping-particle":"","parse-names":false,"suffix":""},{"dropping-particle":"","family":"Li","given":"Zhiguo","non-dropping-particle":"","parse-names":false,"suffix":""},{"dropping-particle":"","family":"Cox","given":"Nancy","non-dropping-particle":"","parse-names":false,"suffix":""},{"dropping-particle":"","family":"Jung","given":"Sin-Ho","non-dropping-particle":"","parse-names":false,"suffix":""}],"container-title":"Genetic Epidemiology","id":"ITEM-1","issue":"6","issued":{"date-parts":[["2012","9","1"]]},"page":"538-548","publisher":"John Wiley &amp; Sons, Ltd","title":"Power and Sample Size Calculations for SNP Association Studies With Censored Time-to-Event Outcomes","type":"article-journal","volume":"36"},"uris":["http://www.mendeley.com/documents/?uuid=d7d32ebd-93ea-3954-a07f-43d764d6e621"]}],"mendeley":{"formattedCitation":"[23]","plainTextFormattedCitation":"[23]","previouslyFormattedCitation":"[22]"},"properties":{"noteIndex":0},"schema":"https://github.com/citation-style-language/schema/raw/master/csl-citation.json"}</w:instrText>
      </w:r>
      <w:r>
        <w:rPr>
          <w:rFonts w:ascii="Arial" w:hAnsi="Arial" w:cs="Arial"/>
          <w:sz w:val="24"/>
          <w:szCs w:val="24"/>
        </w:rPr>
        <w:fldChar w:fldCharType="separate"/>
      </w:r>
      <w:r w:rsidR="00CB6B23" w:rsidRPr="00CB6B23">
        <w:rPr>
          <w:rFonts w:ascii="Arial" w:hAnsi="Arial" w:cs="Arial"/>
          <w:noProof/>
          <w:sz w:val="24"/>
          <w:szCs w:val="24"/>
        </w:rPr>
        <w:t>[23]</w:t>
      </w:r>
      <w:r>
        <w:rPr>
          <w:rFonts w:ascii="Arial" w:hAnsi="Arial" w:cs="Arial"/>
          <w:sz w:val="24"/>
          <w:szCs w:val="24"/>
        </w:rPr>
        <w:fldChar w:fldCharType="end"/>
      </w:r>
      <w:r w:rsidRPr="0090790E">
        <w:rPr>
          <w:rFonts w:ascii="Arial" w:hAnsi="Arial" w:cs="Arial"/>
          <w:sz w:val="24"/>
          <w:szCs w:val="24"/>
        </w:rPr>
        <w:t>. Similarly, for simulated genes with various cis-</w:t>
      </w:r>
      <m:oMath>
        <m:sSup>
          <m:sSupPr>
            <m:ctrlPr>
              <w:rPr>
                <w:rFonts w:ascii="Cambria Math" w:hAnsi="Cambria Math" w:cs="Arial"/>
                <w:i/>
                <w:sz w:val="24"/>
                <w:szCs w:val="24"/>
              </w:rPr>
            </m:ctrlPr>
          </m:sSupPr>
          <m:e>
            <m:r>
              <w:rPr>
                <w:rFonts w:ascii="Cambria Math" w:hAnsi="Cambria Math" w:cs="Arial"/>
                <w:sz w:val="24"/>
                <w:szCs w:val="24"/>
              </w:rPr>
              <m:t>h</m:t>
            </m:r>
          </m:e>
          <m:sup>
            <m:r>
              <w:rPr>
                <w:rFonts w:ascii="Cambria Math" w:hAnsi="Cambria Math" w:cs="Arial"/>
                <w:sz w:val="24"/>
                <w:szCs w:val="24"/>
              </w:rPr>
              <m:t>2</m:t>
            </m:r>
          </m:sup>
        </m:sSup>
      </m:oMath>
      <w:r w:rsidRPr="0090790E">
        <w:rPr>
          <w:rFonts w:ascii="Arial" w:hAnsi="Arial" w:cs="Arial"/>
          <w:sz w:val="24"/>
          <w:szCs w:val="24"/>
        </w:rPr>
        <w:t>, we assessed the</w:t>
      </w:r>
      <w:r w:rsidR="00930628">
        <w:rPr>
          <w:rFonts w:ascii="Arial" w:hAnsi="Arial" w:cs="Arial"/>
          <w:sz w:val="24"/>
          <w:szCs w:val="24"/>
        </w:rPr>
        <w:t xml:space="preserve"> </w:t>
      </w:r>
      <w:r w:rsidRPr="0090790E">
        <w:rPr>
          <w:rFonts w:ascii="Arial" w:hAnsi="Arial" w:cs="Arial"/>
          <w:sz w:val="24"/>
          <w:szCs w:val="24"/>
        </w:rPr>
        <w:t>power of a hypothetical TWAS analysis to detect various gene-mediated hazard ratios at</w:t>
      </w:r>
      <w:r w:rsidR="00930628">
        <w:rPr>
          <w:rFonts w:ascii="Arial" w:hAnsi="Arial" w:cs="Arial"/>
          <w:sz w:val="24"/>
          <w:szCs w:val="24"/>
        </w:rPr>
        <w:t xml:space="preserve"> </w:t>
      </w:r>
      <m:oMath>
        <m:r>
          <w:rPr>
            <w:rFonts w:ascii="Cambria Math" w:hAnsi="Cambria Math" w:cs="Arial"/>
            <w:sz w:val="24"/>
            <w:szCs w:val="24"/>
          </w:rPr>
          <m:t>P = 0.0096</m:t>
        </m:r>
      </m:oMath>
      <w:r w:rsidRPr="0090790E">
        <w:rPr>
          <w:rFonts w:ascii="Arial" w:hAnsi="Arial" w:cs="Arial"/>
          <w:sz w:val="24"/>
          <w:szCs w:val="24"/>
        </w:rPr>
        <w:t xml:space="preserve"> (corresponding to FDR-adjusted </w:t>
      </w:r>
      <m:oMath>
        <m:r>
          <w:rPr>
            <w:rFonts w:ascii="Cambria Math" w:hAnsi="Cambria Math" w:cs="Arial"/>
            <w:sz w:val="24"/>
            <w:szCs w:val="24"/>
          </w:rPr>
          <m:t>P = 0.10</m:t>
        </m:r>
      </m:oMath>
      <w:r w:rsidRPr="0090790E">
        <w:rPr>
          <w:rFonts w:ascii="Arial" w:hAnsi="Arial" w:cs="Arial"/>
          <w:sz w:val="24"/>
          <w:szCs w:val="24"/>
        </w:rPr>
        <w:t>) over 1,000 simulation replications from the empirical distribution function of the GReX. It is important to note that the detectable hazard ratios at 80% for GWAS and TWAS are incomparable due to di</w:t>
      </w:r>
      <w:r>
        <w:rPr>
          <w:rFonts w:ascii="Arial" w:hAnsi="Arial" w:cs="Arial"/>
          <w:sz w:val="24"/>
          <w:szCs w:val="24"/>
        </w:rPr>
        <w:t>ff</w:t>
      </w:r>
      <w:r w:rsidRPr="0090790E">
        <w:rPr>
          <w:rFonts w:ascii="Arial" w:hAnsi="Arial" w:cs="Arial"/>
          <w:sz w:val="24"/>
          <w:szCs w:val="24"/>
        </w:rPr>
        <w:t>erences</w:t>
      </w:r>
      <w:r>
        <w:rPr>
          <w:rFonts w:ascii="Arial" w:hAnsi="Arial" w:cs="Arial"/>
          <w:sz w:val="24"/>
          <w:szCs w:val="24"/>
        </w:rPr>
        <w:t xml:space="preserve"> </w:t>
      </w:r>
      <w:r w:rsidRPr="0090790E">
        <w:rPr>
          <w:rFonts w:ascii="Arial" w:hAnsi="Arial" w:cs="Arial"/>
          <w:sz w:val="24"/>
          <w:szCs w:val="24"/>
        </w:rPr>
        <w:t xml:space="preserve">in units of measure. At 80% power, a GWAS with CBCS data with </w:t>
      </w:r>
      <m:oMath>
        <m:r>
          <w:rPr>
            <w:rFonts w:ascii="Cambria Math" w:hAnsi="Cambria Math" w:cs="Arial"/>
            <w:sz w:val="24"/>
            <w:szCs w:val="24"/>
          </w:rPr>
          <m:t>N = 3,828</m:t>
        </m:r>
      </m:oMath>
      <w:r w:rsidRPr="0090790E">
        <w:rPr>
          <w:rFonts w:ascii="Arial" w:hAnsi="Arial" w:cs="Arial"/>
          <w:sz w:val="24"/>
          <w:szCs w:val="24"/>
        </w:rPr>
        <w:t xml:space="preserve"> is powered to detect a hazard ratio of breast cancer-speci</w:t>
      </w:r>
      <w:r>
        <w:rPr>
          <w:rFonts w:ascii="Arial" w:hAnsi="Arial" w:cs="Arial"/>
          <w:sz w:val="24"/>
          <w:szCs w:val="24"/>
        </w:rPr>
        <w:t>fi</w:t>
      </w:r>
      <w:r w:rsidRPr="0090790E">
        <w:rPr>
          <w:rFonts w:ascii="Arial" w:hAnsi="Arial" w:cs="Arial"/>
          <w:sz w:val="24"/>
          <w:szCs w:val="24"/>
        </w:rPr>
        <w:t>c survival of 1.88 with an addition of one alternative allele in a given SNP. At 80% power, in our study, TWAS can detect hazard ratios 1.186, 1.203, and 1.216 with the GReX of a gene with cis-</w:t>
      </w:r>
      <m:oMath>
        <m:sSup>
          <m:sSupPr>
            <m:ctrlPr>
              <w:rPr>
                <w:rFonts w:ascii="Cambria Math" w:hAnsi="Cambria Math" w:cs="Arial"/>
                <w:i/>
                <w:sz w:val="24"/>
                <w:szCs w:val="24"/>
              </w:rPr>
            </m:ctrlPr>
          </m:sSupPr>
          <m:e>
            <m:r>
              <w:rPr>
                <w:rFonts w:ascii="Cambria Math" w:hAnsi="Cambria Math" w:cs="Arial"/>
                <w:sz w:val="24"/>
                <w:szCs w:val="24"/>
              </w:rPr>
              <m:t>h</m:t>
            </m:r>
          </m:e>
          <m:sup>
            <m:r>
              <w:rPr>
                <w:rFonts w:ascii="Cambria Math" w:hAnsi="Cambria Math" w:cs="Arial"/>
                <w:sz w:val="24"/>
                <w:szCs w:val="24"/>
              </w:rPr>
              <m:t>2</m:t>
            </m:r>
          </m:sup>
        </m:sSup>
        <m:r>
          <w:rPr>
            <w:rFonts w:ascii="Cambria Math" w:eastAsiaTheme="minorEastAsia" w:hAnsi="Cambria Math" w:cs="Arial"/>
            <w:sz w:val="24"/>
            <w:szCs w:val="24"/>
          </w:rPr>
          <m:t>≈</m:t>
        </m:r>
      </m:oMath>
      <w:r w:rsidRPr="0090790E">
        <w:rPr>
          <w:rFonts w:ascii="Arial" w:hAnsi="Arial" w:cs="Arial"/>
          <w:sz w:val="24"/>
          <w:szCs w:val="24"/>
        </w:rPr>
        <w:t xml:space="preserve">  0</w:t>
      </w:r>
      <w:r>
        <w:rPr>
          <w:rFonts w:ascii="Arial" w:hAnsi="Arial" w:cs="Arial"/>
          <w:sz w:val="24"/>
          <w:szCs w:val="24"/>
        </w:rPr>
        <w:t>.</w:t>
      </w:r>
      <w:r w:rsidRPr="0090790E">
        <w:rPr>
          <w:rFonts w:ascii="Arial" w:hAnsi="Arial" w:cs="Arial"/>
          <w:sz w:val="24"/>
          <w:szCs w:val="24"/>
        </w:rPr>
        <w:t>100</w:t>
      </w:r>
      <w:r>
        <w:rPr>
          <w:rFonts w:ascii="Arial" w:hAnsi="Arial" w:cs="Arial"/>
          <w:sz w:val="24"/>
          <w:szCs w:val="24"/>
        </w:rPr>
        <w:t>,</w:t>
      </w:r>
      <w:r w:rsidRPr="0090790E">
        <w:rPr>
          <w:rFonts w:ascii="Arial" w:hAnsi="Arial" w:cs="Arial"/>
          <w:sz w:val="24"/>
          <w:szCs w:val="24"/>
        </w:rPr>
        <w:t xml:space="preserve"> 0</w:t>
      </w:r>
      <w:r>
        <w:rPr>
          <w:rFonts w:ascii="Arial" w:hAnsi="Arial" w:cs="Arial"/>
          <w:sz w:val="24"/>
          <w:szCs w:val="24"/>
        </w:rPr>
        <w:t>.</w:t>
      </w:r>
      <w:r w:rsidRPr="0090790E">
        <w:rPr>
          <w:rFonts w:ascii="Arial" w:hAnsi="Arial" w:cs="Arial"/>
          <w:sz w:val="24"/>
          <w:szCs w:val="24"/>
        </w:rPr>
        <w:t>055</w:t>
      </w:r>
      <w:r>
        <w:rPr>
          <w:rFonts w:ascii="Arial" w:hAnsi="Arial" w:cs="Arial"/>
          <w:sz w:val="24"/>
          <w:szCs w:val="24"/>
        </w:rPr>
        <w:t>,</w:t>
      </w:r>
      <w:r w:rsidRPr="0090790E">
        <w:rPr>
          <w:rFonts w:ascii="Arial" w:hAnsi="Arial" w:cs="Arial"/>
          <w:sz w:val="24"/>
          <w:szCs w:val="24"/>
        </w:rPr>
        <w:t xml:space="preserve"> and 0</w:t>
      </w:r>
      <w:r>
        <w:rPr>
          <w:rFonts w:ascii="Arial" w:hAnsi="Arial" w:cs="Arial"/>
          <w:sz w:val="24"/>
          <w:szCs w:val="24"/>
        </w:rPr>
        <w:t>.</w:t>
      </w:r>
      <w:r w:rsidRPr="0090790E">
        <w:rPr>
          <w:rFonts w:ascii="Arial" w:hAnsi="Arial" w:cs="Arial"/>
          <w:sz w:val="24"/>
          <w:szCs w:val="24"/>
        </w:rPr>
        <w:t>030,</w:t>
      </w:r>
      <w:r>
        <w:rPr>
          <w:rFonts w:ascii="Arial" w:hAnsi="Arial" w:cs="Arial"/>
          <w:sz w:val="24"/>
          <w:szCs w:val="24"/>
        </w:rPr>
        <w:t xml:space="preserve"> </w:t>
      </w:r>
      <w:r w:rsidRPr="0090790E">
        <w:rPr>
          <w:rFonts w:ascii="Arial" w:hAnsi="Arial" w:cs="Arial"/>
          <w:sz w:val="24"/>
          <w:szCs w:val="24"/>
        </w:rPr>
        <w:t>with respect to an increase of one standard deviation, respectively (</w:t>
      </w:r>
      <w:r w:rsidR="008735B5">
        <w:rPr>
          <w:rFonts w:ascii="Arial" w:hAnsi="Arial" w:cs="Arial"/>
          <w:b/>
          <w:bCs/>
          <w:sz w:val="24"/>
          <w:szCs w:val="24"/>
        </w:rPr>
        <w:t xml:space="preserve">Additional File 2: </w:t>
      </w:r>
      <w:r w:rsidR="008735B5" w:rsidRPr="00073AB2">
        <w:rPr>
          <w:rFonts w:ascii="Arial" w:hAnsi="Arial" w:cs="Arial"/>
          <w:b/>
          <w:bCs/>
          <w:sz w:val="24"/>
          <w:szCs w:val="24"/>
        </w:rPr>
        <w:t xml:space="preserve">Figure </w:t>
      </w:r>
      <w:r w:rsidR="008735B5">
        <w:rPr>
          <w:rFonts w:ascii="Arial" w:hAnsi="Arial" w:cs="Arial"/>
          <w:b/>
          <w:bCs/>
          <w:sz w:val="24"/>
          <w:szCs w:val="24"/>
        </w:rPr>
        <w:t>S</w:t>
      </w:r>
      <w:r w:rsidR="008735B5" w:rsidRPr="00073AB2">
        <w:rPr>
          <w:rFonts w:ascii="Arial" w:hAnsi="Arial" w:cs="Arial"/>
          <w:b/>
          <w:bCs/>
          <w:sz w:val="24"/>
          <w:szCs w:val="24"/>
        </w:rPr>
        <w:t>1</w:t>
      </w:r>
      <w:r w:rsidR="00E4453E">
        <w:rPr>
          <w:rFonts w:ascii="Arial" w:hAnsi="Arial" w:cs="Arial"/>
          <w:b/>
          <w:bCs/>
          <w:sz w:val="24"/>
          <w:szCs w:val="24"/>
        </w:rPr>
        <w:t>5</w:t>
      </w:r>
      <w:r w:rsidRPr="0090790E">
        <w:rPr>
          <w:rFonts w:ascii="Arial" w:hAnsi="Arial" w:cs="Arial"/>
          <w:sz w:val="24"/>
          <w:szCs w:val="24"/>
        </w:rPr>
        <w:t>).</w:t>
      </w:r>
      <w:r w:rsidR="0010485F" w:rsidRPr="0090790E">
        <w:rPr>
          <w:rFonts w:ascii="Arial" w:hAnsi="Arial" w:cs="Arial"/>
          <w:sz w:val="24"/>
          <w:szCs w:val="24"/>
        </w:rPr>
        <w:br w:type="page"/>
      </w:r>
    </w:p>
    <w:p w14:paraId="6C582D05" w14:textId="293152EF" w:rsidR="0010485F" w:rsidRPr="00CD56D1" w:rsidRDefault="00A50F7E" w:rsidP="0010485F">
      <w:pPr>
        <w:spacing w:after="0" w:line="480" w:lineRule="auto"/>
        <w:jc w:val="both"/>
        <w:rPr>
          <w:rFonts w:ascii="Arial" w:hAnsi="Arial" w:cs="Arial"/>
          <w:sz w:val="24"/>
          <w:szCs w:val="24"/>
        </w:rPr>
      </w:pPr>
      <w:r w:rsidRPr="00CD56D1">
        <w:rPr>
          <w:rFonts w:ascii="Arial" w:hAnsi="Arial" w:cs="Arial"/>
          <w:b/>
          <w:bCs/>
          <w:sz w:val="24"/>
          <w:szCs w:val="24"/>
          <w:u w:val="single"/>
        </w:rPr>
        <w:lastRenderedPageBreak/>
        <w:t>References</w:t>
      </w:r>
    </w:p>
    <w:p w14:paraId="159214B7" w14:textId="036ECB3B" w:rsidR="00CB6B23" w:rsidRPr="00CB6B23" w:rsidRDefault="00A50F7E" w:rsidP="00CB6B23">
      <w:pPr>
        <w:widowControl w:val="0"/>
        <w:autoSpaceDE w:val="0"/>
        <w:autoSpaceDN w:val="0"/>
        <w:adjustRightInd w:val="0"/>
        <w:spacing w:after="0" w:line="480" w:lineRule="auto"/>
        <w:rPr>
          <w:rFonts w:ascii="Arial" w:hAnsi="Arial" w:cs="Arial"/>
          <w:noProof/>
          <w:sz w:val="24"/>
          <w:szCs w:val="24"/>
        </w:rPr>
      </w:pPr>
      <w:r w:rsidRPr="00CD56D1">
        <w:rPr>
          <w:rFonts w:ascii="Arial" w:hAnsi="Arial" w:cs="Arial"/>
          <w:sz w:val="24"/>
          <w:szCs w:val="24"/>
        </w:rPr>
        <w:fldChar w:fldCharType="begin" w:fldLock="1"/>
      </w:r>
      <w:r w:rsidRPr="00CD56D1">
        <w:rPr>
          <w:rFonts w:ascii="Arial" w:hAnsi="Arial" w:cs="Arial"/>
          <w:sz w:val="24"/>
          <w:szCs w:val="24"/>
        </w:rPr>
        <w:instrText xml:space="preserve">ADDIN Mendeley Bibliography CSL_BIBLIOGRAPHY </w:instrText>
      </w:r>
      <w:r w:rsidRPr="00CD56D1">
        <w:rPr>
          <w:rFonts w:ascii="Arial" w:hAnsi="Arial" w:cs="Arial"/>
          <w:sz w:val="24"/>
          <w:szCs w:val="24"/>
        </w:rPr>
        <w:fldChar w:fldCharType="separate"/>
      </w:r>
      <w:r w:rsidR="00CB6B23" w:rsidRPr="00CB6B23">
        <w:rPr>
          <w:rFonts w:ascii="Arial" w:hAnsi="Arial" w:cs="Arial"/>
          <w:noProof/>
          <w:sz w:val="24"/>
          <w:szCs w:val="24"/>
        </w:rPr>
        <w:t>1. Ruiz-Narváez EA, Sucheston-Campbell L, Bensen JT, Yao S, Haddad S, Haiman CA, et al. Admixture Mapping of African-American Women in the AMBER Consortium Identifies New Loci for Breast Cancer and Estrogen-Receptor Subtypes. Front Genet [Internet]. Frontiers Media SA; 2016 [cited 2019 Jun 9];7:170. Available from: http://www.ncbi.nlm.nih.gov/pubmed/27708667</w:t>
      </w:r>
    </w:p>
    <w:p w14:paraId="203171D2" w14:textId="77777777" w:rsidR="00CB6B23" w:rsidRPr="00CB6B23" w:rsidRDefault="00CB6B23" w:rsidP="00CB6B23">
      <w:pPr>
        <w:widowControl w:val="0"/>
        <w:autoSpaceDE w:val="0"/>
        <w:autoSpaceDN w:val="0"/>
        <w:adjustRightInd w:val="0"/>
        <w:spacing w:after="0" w:line="480" w:lineRule="auto"/>
        <w:rPr>
          <w:rFonts w:ascii="Arial" w:hAnsi="Arial" w:cs="Arial"/>
          <w:noProof/>
          <w:sz w:val="24"/>
          <w:szCs w:val="24"/>
        </w:rPr>
      </w:pPr>
      <w:r w:rsidRPr="00CB6B23">
        <w:rPr>
          <w:rFonts w:ascii="Arial" w:hAnsi="Arial" w:cs="Arial"/>
          <w:noProof/>
          <w:sz w:val="24"/>
          <w:szCs w:val="24"/>
        </w:rPr>
        <w:t>2. Geeleher P, Nath A, Wang F, Zhang Z, Barbeira AN, Fessler J, et al. Cancer expression quantitative trait loci (eQTLs) can be determined from heterogeneous tumor gene expression data by modeling variation in tumor purity. Genome Biol [Internet]. BioMed Central; 2018 [cited 2019 Apr 30];19:130. Available from: https://genomebiology.biomedcentral.com/articles/10.1186/s13059-018-1507-0</w:t>
      </w:r>
    </w:p>
    <w:p w14:paraId="23E847C1" w14:textId="77777777" w:rsidR="00CB6B23" w:rsidRPr="00CB6B23" w:rsidRDefault="00CB6B23" w:rsidP="00CB6B23">
      <w:pPr>
        <w:widowControl w:val="0"/>
        <w:autoSpaceDE w:val="0"/>
        <w:autoSpaceDN w:val="0"/>
        <w:adjustRightInd w:val="0"/>
        <w:spacing w:after="0" w:line="480" w:lineRule="auto"/>
        <w:rPr>
          <w:rFonts w:ascii="Arial" w:hAnsi="Arial" w:cs="Arial"/>
          <w:noProof/>
          <w:sz w:val="24"/>
          <w:szCs w:val="24"/>
        </w:rPr>
      </w:pPr>
      <w:r w:rsidRPr="00CB6B23">
        <w:rPr>
          <w:rFonts w:ascii="Arial" w:hAnsi="Arial" w:cs="Arial"/>
          <w:noProof/>
          <w:sz w:val="24"/>
          <w:szCs w:val="24"/>
        </w:rPr>
        <w:t>3. Troester MA, Sun X, Allott EH, Geradts J, Cohen SM, Tse C-K, et al. Racial Differences in PAM50 Subtypes in the Carolina Breast Cancer Study. J Natl Cancer Inst [Internet]. Oxford University Press; 2018 [cited 2019 May 29];110:176. Available from: http://www.ncbi.nlm.nih.gov/pubmed/28859290</w:t>
      </w:r>
    </w:p>
    <w:p w14:paraId="21156F03" w14:textId="77777777" w:rsidR="00CB6B23" w:rsidRPr="00CB6B23" w:rsidRDefault="00CB6B23" w:rsidP="00CB6B23">
      <w:pPr>
        <w:widowControl w:val="0"/>
        <w:autoSpaceDE w:val="0"/>
        <w:autoSpaceDN w:val="0"/>
        <w:adjustRightInd w:val="0"/>
        <w:spacing w:after="0" w:line="480" w:lineRule="auto"/>
        <w:rPr>
          <w:rFonts w:ascii="Arial" w:hAnsi="Arial" w:cs="Arial"/>
          <w:noProof/>
          <w:sz w:val="24"/>
          <w:szCs w:val="24"/>
        </w:rPr>
      </w:pPr>
      <w:r w:rsidRPr="00CB6B23">
        <w:rPr>
          <w:rFonts w:ascii="Arial" w:hAnsi="Arial" w:cs="Arial"/>
          <w:noProof/>
          <w:sz w:val="24"/>
          <w:szCs w:val="24"/>
        </w:rPr>
        <w:t>4. Risso D, Ngai J, Speed TP, Dudoit S. Normalization of RNA-seq data using factor analysis of control genes or samples. Nat Biotechnol [Internet]. Nature Publishing Group; 2014 [cited 2019 Mar 22];32:896–902. Available from: http://www.nature.com/articles/nbt.2931</w:t>
      </w:r>
    </w:p>
    <w:p w14:paraId="4E508CE6" w14:textId="77777777" w:rsidR="00CB6B23" w:rsidRPr="00CB6B23" w:rsidRDefault="00CB6B23" w:rsidP="00CB6B23">
      <w:pPr>
        <w:widowControl w:val="0"/>
        <w:autoSpaceDE w:val="0"/>
        <w:autoSpaceDN w:val="0"/>
        <w:adjustRightInd w:val="0"/>
        <w:spacing w:after="0" w:line="480" w:lineRule="auto"/>
        <w:rPr>
          <w:rFonts w:ascii="Arial" w:hAnsi="Arial" w:cs="Arial"/>
          <w:noProof/>
          <w:sz w:val="24"/>
          <w:szCs w:val="24"/>
        </w:rPr>
      </w:pPr>
      <w:r w:rsidRPr="00CB6B23">
        <w:rPr>
          <w:rFonts w:ascii="Arial" w:hAnsi="Arial" w:cs="Arial"/>
          <w:noProof/>
          <w:sz w:val="24"/>
          <w:szCs w:val="24"/>
        </w:rPr>
        <w:t xml:space="preserve">5. Auton A, Abecasis GR, Altshuler DM, Durbin RM, Bentley DR, Chakravarti A, et al. A global reference for human genetic variation. Nature. Nature Publishing Group; 2015. p. 68–74. </w:t>
      </w:r>
    </w:p>
    <w:p w14:paraId="033A1FFC" w14:textId="77777777" w:rsidR="00CB6B23" w:rsidRPr="00CB6B23" w:rsidRDefault="00CB6B23" w:rsidP="00CB6B23">
      <w:pPr>
        <w:widowControl w:val="0"/>
        <w:autoSpaceDE w:val="0"/>
        <w:autoSpaceDN w:val="0"/>
        <w:adjustRightInd w:val="0"/>
        <w:spacing w:after="0" w:line="480" w:lineRule="auto"/>
        <w:rPr>
          <w:rFonts w:ascii="Arial" w:hAnsi="Arial" w:cs="Arial"/>
          <w:noProof/>
          <w:sz w:val="24"/>
          <w:szCs w:val="24"/>
        </w:rPr>
      </w:pPr>
      <w:r w:rsidRPr="00CB6B23">
        <w:rPr>
          <w:rFonts w:ascii="Arial" w:hAnsi="Arial" w:cs="Arial"/>
          <w:noProof/>
          <w:sz w:val="24"/>
          <w:szCs w:val="24"/>
        </w:rPr>
        <w:t xml:space="preserve">6. Fang H, Hui Q, Lynch J, Honerlaw J, Assimes TL, Huang J, et al. Harmonizing </w:t>
      </w:r>
      <w:r w:rsidRPr="00CB6B23">
        <w:rPr>
          <w:rFonts w:ascii="Arial" w:hAnsi="Arial" w:cs="Arial"/>
          <w:noProof/>
          <w:sz w:val="24"/>
          <w:szCs w:val="24"/>
        </w:rPr>
        <w:lastRenderedPageBreak/>
        <w:t xml:space="preserve">Genetic Ancestry and Self-identified Race/Ethnicity in Genome-wide Association Studies. Am J Hum Genet. Elsevier BV; 2019;105:763–72. </w:t>
      </w:r>
    </w:p>
    <w:p w14:paraId="67E9C483" w14:textId="77777777" w:rsidR="00CB6B23" w:rsidRPr="00CB6B23" w:rsidRDefault="00CB6B23" w:rsidP="00CB6B23">
      <w:pPr>
        <w:widowControl w:val="0"/>
        <w:autoSpaceDE w:val="0"/>
        <w:autoSpaceDN w:val="0"/>
        <w:adjustRightInd w:val="0"/>
        <w:spacing w:after="0" w:line="480" w:lineRule="auto"/>
        <w:rPr>
          <w:rFonts w:ascii="Arial" w:hAnsi="Arial" w:cs="Arial"/>
          <w:noProof/>
          <w:sz w:val="24"/>
          <w:szCs w:val="24"/>
        </w:rPr>
      </w:pPr>
      <w:r w:rsidRPr="00CB6B23">
        <w:rPr>
          <w:rFonts w:ascii="Arial" w:hAnsi="Arial" w:cs="Arial"/>
          <w:noProof/>
          <w:sz w:val="24"/>
          <w:szCs w:val="24"/>
        </w:rPr>
        <w:t>7. Mogil LS, Andaleon A, Badalamenti A, Dickinson SP, Guo X, Rotter JI, et al. Genetic architecture of gene expression traits across diverse populations. Epstein MP, editor. PLOS Genet [Internet]. Public Library of Science; 2018 [cited 2019 Jun 13];14:e1007586. Available from: https://dx.plos.org/10.1371/journal.pgen.1007586</w:t>
      </w:r>
    </w:p>
    <w:p w14:paraId="0E24B7C0" w14:textId="77777777" w:rsidR="00CB6B23" w:rsidRPr="00CB6B23" w:rsidRDefault="00CB6B23" w:rsidP="00CB6B23">
      <w:pPr>
        <w:widowControl w:val="0"/>
        <w:autoSpaceDE w:val="0"/>
        <w:autoSpaceDN w:val="0"/>
        <w:adjustRightInd w:val="0"/>
        <w:spacing w:after="0" w:line="480" w:lineRule="auto"/>
        <w:rPr>
          <w:rFonts w:ascii="Arial" w:hAnsi="Arial" w:cs="Arial"/>
          <w:noProof/>
          <w:sz w:val="24"/>
          <w:szCs w:val="24"/>
        </w:rPr>
      </w:pPr>
      <w:r w:rsidRPr="00CB6B23">
        <w:rPr>
          <w:rFonts w:ascii="Arial" w:hAnsi="Arial" w:cs="Arial"/>
          <w:noProof/>
          <w:sz w:val="24"/>
          <w:szCs w:val="24"/>
        </w:rPr>
        <w:t xml:space="preserve">8. Zhong Y, Perera MA, Gamazon ER. On Using Local Ancestry to Characterize the Genetic Architecture of Human Traits: Genetic Regulation of Gene Expression in Multiethnic or Admixed Populations. Am J Hum Genet. Cell Press; 2019;104:1097–115. </w:t>
      </w:r>
    </w:p>
    <w:p w14:paraId="31AA0948" w14:textId="77777777" w:rsidR="00CB6B23" w:rsidRPr="00CB6B23" w:rsidRDefault="00CB6B23" w:rsidP="00CB6B23">
      <w:pPr>
        <w:widowControl w:val="0"/>
        <w:autoSpaceDE w:val="0"/>
        <w:autoSpaceDN w:val="0"/>
        <w:adjustRightInd w:val="0"/>
        <w:spacing w:after="0" w:line="480" w:lineRule="auto"/>
        <w:rPr>
          <w:rFonts w:ascii="Arial" w:hAnsi="Arial" w:cs="Arial"/>
          <w:noProof/>
          <w:sz w:val="24"/>
          <w:szCs w:val="24"/>
        </w:rPr>
      </w:pPr>
      <w:r w:rsidRPr="00CB6B23">
        <w:rPr>
          <w:rFonts w:ascii="Arial" w:hAnsi="Arial" w:cs="Arial"/>
          <w:noProof/>
          <w:sz w:val="24"/>
          <w:szCs w:val="24"/>
        </w:rPr>
        <w:t xml:space="preserve">9. Baharian S, Barakatt M, Gignoux CR, Shringarpure S, Errington J, Blot WJ, et al. The Great Migration and African-American Genomic Diversity. PLoS Genet. Public Library of Science; 2016;12. </w:t>
      </w:r>
    </w:p>
    <w:p w14:paraId="6332E266" w14:textId="77777777" w:rsidR="00CB6B23" w:rsidRPr="00CB6B23" w:rsidRDefault="00CB6B23" w:rsidP="00CB6B23">
      <w:pPr>
        <w:widowControl w:val="0"/>
        <w:autoSpaceDE w:val="0"/>
        <w:autoSpaceDN w:val="0"/>
        <w:adjustRightInd w:val="0"/>
        <w:spacing w:after="0" w:line="480" w:lineRule="auto"/>
        <w:rPr>
          <w:rFonts w:ascii="Arial" w:hAnsi="Arial" w:cs="Arial"/>
          <w:noProof/>
          <w:sz w:val="24"/>
          <w:szCs w:val="24"/>
        </w:rPr>
      </w:pPr>
      <w:r w:rsidRPr="00CB6B23">
        <w:rPr>
          <w:rFonts w:ascii="Arial" w:hAnsi="Arial" w:cs="Arial"/>
          <w:noProof/>
          <w:sz w:val="24"/>
          <w:szCs w:val="24"/>
        </w:rPr>
        <w:t xml:space="preserve">10. Bryc K, Durand EY, Macpherson JM, Reich D, Mountain JL. The genetic ancestry of african americans, latinos, and european Americans across the United States. Am J Hum Genet. Cell Press; 2015;96:37–53. </w:t>
      </w:r>
    </w:p>
    <w:p w14:paraId="32245BB1" w14:textId="77777777" w:rsidR="00CB6B23" w:rsidRPr="00CB6B23" w:rsidRDefault="00CB6B23" w:rsidP="00CB6B23">
      <w:pPr>
        <w:widowControl w:val="0"/>
        <w:autoSpaceDE w:val="0"/>
        <w:autoSpaceDN w:val="0"/>
        <w:adjustRightInd w:val="0"/>
        <w:spacing w:after="0" w:line="480" w:lineRule="auto"/>
        <w:rPr>
          <w:rFonts w:ascii="Arial" w:hAnsi="Arial" w:cs="Arial"/>
          <w:noProof/>
          <w:sz w:val="24"/>
          <w:szCs w:val="24"/>
        </w:rPr>
      </w:pPr>
      <w:r w:rsidRPr="00CB6B23">
        <w:rPr>
          <w:rFonts w:ascii="Arial" w:hAnsi="Arial" w:cs="Arial"/>
          <w:noProof/>
          <w:sz w:val="24"/>
          <w:szCs w:val="24"/>
        </w:rPr>
        <w:t>11. Gusev A, Ko A, Shi H, Bhatia G, Chung W, Penninx BWJH, et al. Integrative approaches for large-scale transcriptome-wide association studies. Nat Genet [Internet]. 2016 [cited 2019 Apr 6];48:245–52. Available from: http://www.ncbi.nlm.nih.gov/pubmed/26854917</w:t>
      </w:r>
    </w:p>
    <w:p w14:paraId="37DE59B6" w14:textId="77777777" w:rsidR="00CB6B23" w:rsidRPr="00CB6B23" w:rsidRDefault="00CB6B23" w:rsidP="00CB6B23">
      <w:pPr>
        <w:widowControl w:val="0"/>
        <w:autoSpaceDE w:val="0"/>
        <w:autoSpaceDN w:val="0"/>
        <w:adjustRightInd w:val="0"/>
        <w:spacing w:after="0" w:line="480" w:lineRule="auto"/>
        <w:rPr>
          <w:rFonts w:ascii="Arial" w:hAnsi="Arial" w:cs="Arial"/>
          <w:noProof/>
          <w:sz w:val="24"/>
          <w:szCs w:val="24"/>
        </w:rPr>
      </w:pPr>
      <w:r w:rsidRPr="00CB6B23">
        <w:rPr>
          <w:rFonts w:ascii="Arial" w:hAnsi="Arial" w:cs="Arial"/>
          <w:noProof/>
          <w:sz w:val="24"/>
          <w:szCs w:val="24"/>
        </w:rPr>
        <w:t xml:space="preserve">12. Emami NC, Hoffman J, Ziv E, Witte JS. Abstract 2968: Imputation of the prostate cancer transcriptome in over 230,000 men reveals novel germline-somatic interaction mechanism of cancer risk. Epidemiology [Internet]. American Association for Cancer Research; 2018 [cited 2019 Jun 10]. p. 2968–2968. Available from: </w:t>
      </w:r>
      <w:r w:rsidRPr="00CB6B23">
        <w:rPr>
          <w:rFonts w:ascii="Arial" w:hAnsi="Arial" w:cs="Arial"/>
          <w:noProof/>
          <w:sz w:val="24"/>
          <w:szCs w:val="24"/>
        </w:rPr>
        <w:lastRenderedPageBreak/>
        <w:t>http://cancerres.aacrjournals.org/lookup/doi/10.1158/1538-7445.AM2018-2968</w:t>
      </w:r>
    </w:p>
    <w:p w14:paraId="68246EBC" w14:textId="77777777" w:rsidR="00CB6B23" w:rsidRPr="00CB6B23" w:rsidRDefault="00CB6B23" w:rsidP="00CB6B23">
      <w:pPr>
        <w:widowControl w:val="0"/>
        <w:autoSpaceDE w:val="0"/>
        <w:autoSpaceDN w:val="0"/>
        <w:adjustRightInd w:val="0"/>
        <w:spacing w:after="0" w:line="480" w:lineRule="auto"/>
        <w:rPr>
          <w:rFonts w:ascii="Arial" w:hAnsi="Arial" w:cs="Arial"/>
          <w:noProof/>
          <w:sz w:val="24"/>
          <w:szCs w:val="24"/>
        </w:rPr>
      </w:pPr>
      <w:r w:rsidRPr="00CB6B23">
        <w:rPr>
          <w:rFonts w:ascii="Arial" w:hAnsi="Arial" w:cs="Arial"/>
          <w:noProof/>
          <w:sz w:val="24"/>
          <w:szCs w:val="24"/>
        </w:rPr>
        <w:t>13. Parker JS, Mullins M, Cheang MCU, Leung S, Voduc D, Vickery T, et al. Supervised risk predictor of breast cancer based on intrinsic subtypes. J Clin Oncol [Internet]. American Society of Clinical Oncology; 2009 [cited 2019 May 20];27:1160–7. Available from: http://www.ncbi.nlm.nih.gov/pubmed/19204204</w:t>
      </w:r>
    </w:p>
    <w:p w14:paraId="58B91769" w14:textId="77777777" w:rsidR="00CB6B23" w:rsidRPr="00CB6B23" w:rsidRDefault="00CB6B23" w:rsidP="00CB6B23">
      <w:pPr>
        <w:widowControl w:val="0"/>
        <w:autoSpaceDE w:val="0"/>
        <w:autoSpaceDN w:val="0"/>
        <w:adjustRightInd w:val="0"/>
        <w:spacing w:after="0" w:line="480" w:lineRule="auto"/>
        <w:rPr>
          <w:rFonts w:ascii="Arial" w:hAnsi="Arial" w:cs="Arial"/>
          <w:noProof/>
          <w:sz w:val="24"/>
          <w:szCs w:val="24"/>
        </w:rPr>
      </w:pPr>
      <w:r w:rsidRPr="00CB6B23">
        <w:rPr>
          <w:rFonts w:ascii="Arial" w:hAnsi="Arial" w:cs="Arial"/>
          <w:noProof/>
          <w:sz w:val="24"/>
          <w:szCs w:val="24"/>
        </w:rPr>
        <w:t xml:space="preserve">14. Shimoi T, Hamada A, Yamagishi M, Hirai M, Yoshida M, Nishikawa T, et al. </w:t>
      </w:r>
      <w:r w:rsidRPr="00CB6B23">
        <w:rPr>
          <w:rFonts w:ascii="Arial" w:hAnsi="Arial" w:cs="Arial"/>
          <w:i/>
          <w:iCs/>
          <w:noProof/>
          <w:sz w:val="24"/>
          <w:szCs w:val="24"/>
        </w:rPr>
        <w:t>PIK3CA</w:t>
      </w:r>
      <w:r w:rsidRPr="00CB6B23">
        <w:rPr>
          <w:rFonts w:ascii="Arial" w:hAnsi="Arial" w:cs="Arial"/>
          <w:noProof/>
          <w:sz w:val="24"/>
          <w:szCs w:val="24"/>
        </w:rPr>
        <w:t xml:space="preserve"> mutation profiling in patients with breast cancer, using a highly sensitive detection system. Cancer Sci [Internet]. Wiley-Blackwell; 2018 [cited 2019 Aug 20];109:2558–66. Available from: http://www.ncbi.nlm.nih.gov/pubmed/29906308</w:t>
      </w:r>
    </w:p>
    <w:p w14:paraId="4FC3ED50" w14:textId="77777777" w:rsidR="00CB6B23" w:rsidRPr="00CB6B23" w:rsidRDefault="00CB6B23" w:rsidP="00CB6B23">
      <w:pPr>
        <w:widowControl w:val="0"/>
        <w:autoSpaceDE w:val="0"/>
        <w:autoSpaceDN w:val="0"/>
        <w:adjustRightInd w:val="0"/>
        <w:spacing w:after="0" w:line="480" w:lineRule="auto"/>
        <w:rPr>
          <w:rFonts w:ascii="Arial" w:hAnsi="Arial" w:cs="Arial"/>
          <w:noProof/>
          <w:sz w:val="24"/>
          <w:szCs w:val="24"/>
        </w:rPr>
      </w:pPr>
      <w:r w:rsidRPr="00CB6B23">
        <w:rPr>
          <w:rFonts w:ascii="Arial" w:hAnsi="Arial" w:cs="Arial"/>
          <w:noProof/>
          <w:sz w:val="24"/>
          <w:szCs w:val="24"/>
        </w:rPr>
        <w:t>15. Cizkova M, Susini A, Vacher S, Cizeron-Clairac G, Andrieu C, Driouch K, et al. PIK3CA mutation impact on survival in breast cancer patients and in ERα, PR and ERBB2-based subgroups. Breast Cancer Res [Internet]. BioMed Central; 2012 [cited 2019 Aug 20];14:R28. Available from: http://www.ncbi.nlm.nih.gov/pubmed/22330809</w:t>
      </w:r>
    </w:p>
    <w:p w14:paraId="2A73EB8F" w14:textId="77777777" w:rsidR="00CB6B23" w:rsidRPr="00CB6B23" w:rsidRDefault="00CB6B23" w:rsidP="00CB6B23">
      <w:pPr>
        <w:widowControl w:val="0"/>
        <w:autoSpaceDE w:val="0"/>
        <w:autoSpaceDN w:val="0"/>
        <w:adjustRightInd w:val="0"/>
        <w:spacing w:after="0" w:line="480" w:lineRule="auto"/>
        <w:rPr>
          <w:rFonts w:ascii="Arial" w:hAnsi="Arial" w:cs="Arial"/>
          <w:noProof/>
          <w:sz w:val="24"/>
          <w:szCs w:val="24"/>
        </w:rPr>
      </w:pPr>
      <w:r w:rsidRPr="00CB6B23">
        <w:rPr>
          <w:rFonts w:ascii="Arial" w:hAnsi="Arial" w:cs="Arial"/>
          <w:noProof/>
          <w:sz w:val="24"/>
          <w:szCs w:val="24"/>
        </w:rPr>
        <w:t>16. Liao Y, Liao Y, Li J, Li J, Fan Y, Xu B. Polymorphisms in AURKA and AURKB are associated with the survival of triple-negative breast cancer patients treated with taxane-based adjuvant chemotherapy. Cancer Manag Res [Internet]. Dove Press; 2018 [cited 2019 Aug 20];10:3801–8. Available from: http://www.ncbi.nlm.nih.gov/pubmed/30288111</w:t>
      </w:r>
    </w:p>
    <w:p w14:paraId="3C208A17" w14:textId="77777777" w:rsidR="00CB6B23" w:rsidRPr="00CB6B23" w:rsidRDefault="00CB6B23" w:rsidP="00CB6B23">
      <w:pPr>
        <w:widowControl w:val="0"/>
        <w:autoSpaceDE w:val="0"/>
        <w:autoSpaceDN w:val="0"/>
        <w:adjustRightInd w:val="0"/>
        <w:spacing w:after="0" w:line="480" w:lineRule="auto"/>
        <w:rPr>
          <w:rFonts w:ascii="Arial" w:hAnsi="Arial" w:cs="Arial"/>
          <w:noProof/>
          <w:sz w:val="24"/>
          <w:szCs w:val="24"/>
        </w:rPr>
      </w:pPr>
      <w:r w:rsidRPr="00CB6B23">
        <w:rPr>
          <w:rFonts w:ascii="Arial" w:hAnsi="Arial" w:cs="Arial"/>
          <w:noProof/>
          <w:sz w:val="24"/>
          <w:szCs w:val="24"/>
        </w:rPr>
        <w:t>17. Vecchi M, Confalonieri S, Nuciforo P, Viganò MA, Capra M, Bianchi M, et al. Breast cancer metastases are molecularly distinct from their primary tumors. Oncogene [Internet]. 2008 [cited 2019 Jun 5];27:2148–58. Available from: http://www.ncbi.nlm.nih.gov/pubmed/17952122</w:t>
      </w:r>
    </w:p>
    <w:p w14:paraId="475E7696" w14:textId="77777777" w:rsidR="00CB6B23" w:rsidRPr="00CB6B23" w:rsidRDefault="00CB6B23" w:rsidP="00CB6B23">
      <w:pPr>
        <w:widowControl w:val="0"/>
        <w:autoSpaceDE w:val="0"/>
        <w:autoSpaceDN w:val="0"/>
        <w:adjustRightInd w:val="0"/>
        <w:spacing w:after="0" w:line="480" w:lineRule="auto"/>
        <w:rPr>
          <w:rFonts w:ascii="Arial" w:hAnsi="Arial" w:cs="Arial"/>
          <w:noProof/>
          <w:sz w:val="24"/>
          <w:szCs w:val="24"/>
        </w:rPr>
      </w:pPr>
      <w:r w:rsidRPr="00CB6B23">
        <w:rPr>
          <w:rFonts w:ascii="Arial" w:hAnsi="Arial" w:cs="Arial"/>
          <w:noProof/>
          <w:sz w:val="24"/>
          <w:szCs w:val="24"/>
        </w:rPr>
        <w:t xml:space="preserve">18. Storr SJ, Thompson N, Pu X, Zhang Y, Martin SG. Calpain in Breast Cancer: Role </w:t>
      </w:r>
      <w:r w:rsidRPr="00CB6B23">
        <w:rPr>
          <w:rFonts w:ascii="Arial" w:hAnsi="Arial" w:cs="Arial"/>
          <w:noProof/>
          <w:sz w:val="24"/>
          <w:szCs w:val="24"/>
        </w:rPr>
        <w:lastRenderedPageBreak/>
        <w:t>in Disease Progression and Treatment Response. Pathobiology [Internet]. Karger Publishers; 2015 [cited 2019 Jun 5];82:133–41. Available from: http://www.ncbi.nlm.nih.gov/pubmed/26330354</w:t>
      </w:r>
    </w:p>
    <w:p w14:paraId="0DF8375B" w14:textId="77777777" w:rsidR="00CB6B23" w:rsidRPr="00CB6B23" w:rsidRDefault="00CB6B23" w:rsidP="00CB6B23">
      <w:pPr>
        <w:widowControl w:val="0"/>
        <w:autoSpaceDE w:val="0"/>
        <w:autoSpaceDN w:val="0"/>
        <w:adjustRightInd w:val="0"/>
        <w:spacing w:after="0" w:line="480" w:lineRule="auto"/>
        <w:rPr>
          <w:rFonts w:ascii="Arial" w:hAnsi="Arial" w:cs="Arial"/>
          <w:noProof/>
          <w:sz w:val="24"/>
          <w:szCs w:val="24"/>
        </w:rPr>
      </w:pPr>
      <w:r w:rsidRPr="00CB6B23">
        <w:rPr>
          <w:rFonts w:ascii="Arial" w:hAnsi="Arial" w:cs="Arial"/>
          <w:noProof/>
          <w:sz w:val="24"/>
          <w:szCs w:val="24"/>
        </w:rPr>
        <w:t>19. Storr SJ, Zhang S, Perren T, Lansdown M, Fatayer H, Sharma N, et al. The calpain system is associated with survival of breast cancer patients with large but operable inflammatory and non-inflammatory tumours treated with neoadjuvant chemotherapy. Oncotarget [Internet]. 2016 [cited 2019 Jun 5];7:47927–37. Available from: http://www.ncbi.nlm.nih.gov/pubmed/27323818</w:t>
      </w:r>
    </w:p>
    <w:p w14:paraId="06704FE4" w14:textId="77777777" w:rsidR="00CB6B23" w:rsidRPr="00CB6B23" w:rsidRDefault="00CB6B23" w:rsidP="00CB6B23">
      <w:pPr>
        <w:widowControl w:val="0"/>
        <w:autoSpaceDE w:val="0"/>
        <w:autoSpaceDN w:val="0"/>
        <w:adjustRightInd w:val="0"/>
        <w:spacing w:after="0" w:line="480" w:lineRule="auto"/>
        <w:rPr>
          <w:rFonts w:ascii="Arial" w:hAnsi="Arial" w:cs="Arial"/>
          <w:noProof/>
          <w:sz w:val="24"/>
          <w:szCs w:val="24"/>
        </w:rPr>
      </w:pPr>
      <w:r w:rsidRPr="00CB6B23">
        <w:rPr>
          <w:rFonts w:ascii="Arial" w:hAnsi="Arial" w:cs="Arial"/>
          <w:noProof/>
          <w:sz w:val="24"/>
          <w:szCs w:val="24"/>
        </w:rPr>
        <w:t>20. Leloup L, Wells A. Calpains as potential anti-cancer targets. Expert Opin Ther Targets [Internet]. NIH Public Access; 2011 [cited 2019 Jun 5];15:309–23. Available from: http://www.ncbi.nlm.nih.gov/pubmed/21244345</w:t>
      </w:r>
    </w:p>
    <w:p w14:paraId="1DB5894A" w14:textId="77777777" w:rsidR="00CB6B23" w:rsidRPr="00CB6B23" w:rsidRDefault="00CB6B23" w:rsidP="00CB6B23">
      <w:pPr>
        <w:widowControl w:val="0"/>
        <w:autoSpaceDE w:val="0"/>
        <w:autoSpaceDN w:val="0"/>
        <w:adjustRightInd w:val="0"/>
        <w:spacing w:after="0" w:line="480" w:lineRule="auto"/>
        <w:rPr>
          <w:rFonts w:ascii="Arial" w:hAnsi="Arial" w:cs="Arial"/>
          <w:noProof/>
          <w:sz w:val="24"/>
          <w:szCs w:val="24"/>
        </w:rPr>
      </w:pPr>
      <w:r w:rsidRPr="00CB6B23">
        <w:rPr>
          <w:rFonts w:ascii="Arial" w:hAnsi="Arial" w:cs="Arial"/>
          <w:noProof/>
          <w:sz w:val="24"/>
          <w:szCs w:val="24"/>
        </w:rPr>
        <w:t>21. Wu L, Shi W, Long J, Guo X, Michailidou K, Beesley J, et al. A transcriptome-wide association study of 229,000 women identifies new candidate susceptibility genes for breast cancer. Nat Genet [Internet]. NIH Public Access; 2018 [cited 2019 Apr 25];50:968–78. Available from: http://www.ncbi.nlm.nih.gov/pubmed/29915430</w:t>
      </w:r>
    </w:p>
    <w:p w14:paraId="58609CD8" w14:textId="77777777" w:rsidR="00CB6B23" w:rsidRPr="00CB6B23" w:rsidRDefault="00CB6B23" w:rsidP="00CB6B23">
      <w:pPr>
        <w:widowControl w:val="0"/>
        <w:autoSpaceDE w:val="0"/>
        <w:autoSpaceDN w:val="0"/>
        <w:adjustRightInd w:val="0"/>
        <w:spacing w:after="0" w:line="480" w:lineRule="auto"/>
        <w:rPr>
          <w:rFonts w:ascii="Arial" w:hAnsi="Arial" w:cs="Arial"/>
          <w:noProof/>
          <w:sz w:val="24"/>
          <w:szCs w:val="24"/>
        </w:rPr>
      </w:pPr>
      <w:r w:rsidRPr="00CB6B23">
        <w:rPr>
          <w:rFonts w:ascii="Arial" w:hAnsi="Arial" w:cs="Arial"/>
          <w:noProof/>
          <w:sz w:val="24"/>
          <w:szCs w:val="24"/>
        </w:rPr>
        <w:t>22. Gusev A, Mancuso N, Won H, Kousi M, Finucane HK, Reshef Y, et al. Transcriptome-wide association study of schizophrenia and chromatin activity yields mechanistic disease insights. Nat Genet [Internet]. Nature Publishing Group; 2018 [cited 2019 Apr 6];50:538–48. Available from: http://www.nature.com/articles/s41588-018-0092-1</w:t>
      </w:r>
      <w:bookmarkStart w:id="0" w:name="_GoBack"/>
      <w:bookmarkEnd w:id="0"/>
    </w:p>
    <w:p w14:paraId="0D6DF6D2" w14:textId="77777777" w:rsidR="00CB6B23" w:rsidRPr="00CB6B23" w:rsidRDefault="00CB6B23" w:rsidP="00CB6B23">
      <w:pPr>
        <w:widowControl w:val="0"/>
        <w:autoSpaceDE w:val="0"/>
        <w:autoSpaceDN w:val="0"/>
        <w:adjustRightInd w:val="0"/>
        <w:spacing w:after="0" w:line="480" w:lineRule="auto"/>
        <w:rPr>
          <w:rFonts w:ascii="Arial" w:hAnsi="Arial" w:cs="Arial"/>
          <w:noProof/>
          <w:sz w:val="24"/>
        </w:rPr>
      </w:pPr>
      <w:r w:rsidRPr="00CB6B23">
        <w:rPr>
          <w:rFonts w:ascii="Arial" w:hAnsi="Arial" w:cs="Arial"/>
          <w:noProof/>
          <w:sz w:val="24"/>
          <w:szCs w:val="24"/>
        </w:rPr>
        <w:t xml:space="preserve">23. Owzar K, Li Z, Cox N, Jung S-H. Power and Sample Size Calculations for SNP Association Studies With Censored Time-to-Event Outcomes. Genet Epidemiol [Internet]. John Wiley &amp; Sons, Ltd; 2012 [cited 2019 Jun 4];36:538–48. Available from: </w:t>
      </w:r>
      <w:r w:rsidRPr="00CB6B23">
        <w:rPr>
          <w:rFonts w:ascii="Arial" w:hAnsi="Arial" w:cs="Arial"/>
          <w:noProof/>
          <w:sz w:val="24"/>
          <w:szCs w:val="24"/>
        </w:rPr>
        <w:lastRenderedPageBreak/>
        <w:t>http://doi.wiley.com/10.1002/gepi.21645</w:t>
      </w:r>
    </w:p>
    <w:p w14:paraId="64475EEF" w14:textId="3390B532" w:rsidR="00A50F7E" w:rsidRPr="00CD56D1" w:rsidRDefault="00A50F7E" w:rsidP="00B90857">
      <w:pPr>
        <w:widowControl w:val="0"/>
        <w:autoSpaceDE w:val="0"/>
        <w:autoSpaceDN w:val="0"/>
        <w:adjustRightInd w:val="0"/>
        <w:spacing w:after="0" w:line="480" w:lineRule="auto"/>
        <w:rPr>
          <w:rFonts w:ascii="Arial" w:hAnsi="Arial" w:cs="Arial"/>
          <w:sz w:val="24"/>
          <w:szCs w:val="24"/>
        </w:rPr>
      </w:pPr>
      <w:r w:rsidRPr="00CD56D1">
        <w:rPr>
          <w:rFonts w:ascii="Arial" w:hAnsi="Arial" w:cs="Arial"/>
          <w:sz w:val="24"/>
          <w:szCs w:val="24"/>
        </w:rPr>
        <w:fldChar w:fldCharType="end"/>
      </w:r>
    </w:p>
    <w:sectPr w:rsidR="00A50F7E" w:rsidRPr="00CD56D1" w:rsidSect="000309C5">
      <w:pgSz w:w="12240" w:h="15840"/>
      <w:pgMar w:top="1440" w:right="1440" w:bottom="1440" w:left="1440"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Total_Editing_Time" w:val="296"/>
  </w:docVars>
  <w:rsids>
    <w:rsidRoot w:val="0010485F"/>
    <w:rsid w:val="00003087"/>
    <w:rsid w:val="00003DF6"/>
    <w:rsid w:val="00007FF0"/>
    <w:rsid w:val="000309C5"/>
    <w:rsid w:val="0004025B"/>
    <w:rsid w:val="00073AB2"/>
    <w:rsid w:val="00081496"/>
    <w:rsid w:val="00091680"/>
    <w:rsid w:val="000A6E4B"/>
    <w:rsid w:val="000E17C8"/>
    <w:rsid w:val="0010485F"/>
    <w:rsid w:val="002008DD"/>
    <w:rsid w:val="00220350"/>
    <w:rsid w:val="00237DE9"/>
    <w:rsid w:val="00285AA4"/>
    <w:rsid w:val="00285E45"/>
    <w:rsid w:val="002A75E0"/>
    <w:rsid w:val="002B140E"/>
    <w:rsid w:val="002B2D0D"/>
    <w:rsid w:val="002C257D"/>
    <w:rsid w:val="002E72A2"/>
    <w:rsid w:val="00315251"/>
    <w:rsid w:val="00315EB4"/>
    <w:rsid w:val="0035598A"/>
    <w:rsid w:val="003B3A1E"/>
    <w:rsid w:val="003B5DA4"/>
    <w:rsid w:val="003E13DD"/>
    <w:rsid w:val="00444D86"/>
    <w:rsid w:val="00461B3E"/>
    <w:rsid w:val="00534EB8"/>
    <w:rsid w:val="005526E7"/>
    <w:rsid w:val="005C5056"/>
    <w:rsid w:val="006449E6"/>
    <w:rsid w:val="006C3FE6"/>
    <w:rsid w:val="006F48D5"/>
    <w:rsid w:val="006F55AB"/>
    <w:rsid w:val="00725A71"/>
    <w:rsid w:val="007578E8"/>
    <w:rsid w:val="007C530A"/>
    <w:rsid w:val="0080044E"/>
    <w:rsid w:val="00832CFF"/>
    <w:rsid w:val="0084258D"/>
    <w:rsid w:val="00865A2B"/>
    <w:rsid w:val="008735B5"/>
    <w:rsid w:val="00897660"/>
    <w:rsid w:val="008A77AC"/>
    <w:rsid w:val="008C4258"/>
    <w:rsid w:val="0090790E"/>
    <w:rsid w:val="00913D28"/>
    <w:rsid w:val="00930628"/>
    <w:rsid w:val="009520DF"/>
    <w:rsid w:val="00967064"/>
    <w:rsid w:val="009A6A1A"/>
    <w:rsid w:val="009B2F84"/>
    <w:rsid w:val="009B51CD"/>
    <w:rsid w:val="00A303B2"/>
    <w:rsid w:val="00A44EC2"/>
    <w:rsid w:val="00A46316"/>
    <w:rsid w:val="00A50F7E"/>
    <w:rsid w:val="00A826AD"/>
    <w:rsid w:val="00A8658C"/>
    <w:rsid w:val="00A95B7B"/>
    <w:rsid w:val="00AA2BB3"/>
    <w:rsid w:val="00AA44FD"/>
    <w:rsid w:val="00B27116"/>
    <w:rsid w:val="00B90857"/>
    <w:rsid w:val="00BA2887"/>
    <w:rsid w:val="00BC6D3F"/>
    <w:rsid w:val="00BD5760"/>
    <w:rsid w:val="00BE3EA8"/>
    <w:rsid w:val="00C144CB"/>
    <w:rsid w:val="00C242CE"/>
    <w:rsid w:val="00C84433"/>
    <w:rsid w:val="00C867C0"/>
    <w:rsid w:val="00CB6B23"/>
    <w:rsid w:val="00CC06E6"/>
    <w:rsid w:val="00CD56D1"/>
    <w:rsid w:val="00CF671D"/>
    <w:rsid w:val="00D37A4B"/>
    <w:rsid w:val="00D43B4A"/>
    <w:rsid w:val="00D477A3"/>
    <w:rsid w:val="00D818C2"/>
    <w:rsid w:val="00DF5433"/>
    <w:rsid w:val="00E2005C"/>
    <w:rsid w:val="00E21706"/>
    <w:rsid w:val="00E4453E"/>
    <w:rsid w:val="00E70E3B"/>
    <w:rsid w:val="00EB3E4F"/>
    <w:rsid w:val="00ED35E0"/>
    <w:rsid w:val="00ED658B"/>
    <w:rsid w:val="00F05771"/>
    <w:rsid w:val="00F0643C"/>
    <w:rsid w:val="00F714BD"/>
    <w:rsid w:val="00F75C82"/>
    <w:rsid w:val="00FE5C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E7D43"/>
  <w15:docId w15:val="{A5E0D64E-59A2-4452-A5B6-62681ADC0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D56D1"/>
    <w:rPr>
      <w:color w:val="808080"/>
    </w:rPr>
  </w:style>
  <w:style w:type="character" w:styleId="LineNumber">
    <w:name w:val="line number"/>
    <w:basedOn w:val="DefaultParagraphFont"/>
    <w:uiPriority w:val="99"/>
    <w:semiHidden/>
    <w:unhideWhenUsed/>
    <w:rsid w:val="000309C5"/>
  </w:style>
  <w:style w:type="paragraph" w:styleId="BalloonText">
    <w:name w:val="Balloon Text"/>
    <w:basedOn w:val="Normal"/>
    <w:link w:val="BalloonTextChar"/>
    <w:uiPriority w:val="99"/>
    <w:semiHidden/>
    <w:unhideWhenUsed/>
    <w:rsid w:val="0035598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598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C68421-8952-4AE9-BC09-8B660F5B1D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25169</Words>
  <Characters>143466</Characters>
  <Application>Microsoft Office Word</Application>
  <DocSecurity>0</DocSecurity>
  <Lines>1195</Lines>
  <Paragraphs>336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Bhattacharya, Arjun</dc:creator>
  <cp:keywords/>
  <dc:description/>
  <cp:lastModifiedBy>Arjun Bhattacharya</cp:lastModifiedBy>
  <cp:revision>2</cp:revision>
  <dcterms:created xsi:type="dcterms:W3CDTF">2020-01-29T01:51:00Z</dcterms:created>
  <dcterms:modified xsi:type="dcterms:W3CDTF">2020-01-29T01:51:00Z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03856ca1-e5ef-33a1-87b6-0fb0fada9161</vt:lpwstr>
  </property>
  <property fmtid="{D5CDD505-2E9C-101B-9397-08002B2CF9AE}" pid="4" name="Mendeley Citation Style_1">
    <vt:lpwstr>http://www.zotero.org/styles/genome-biology</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http://www.zotero.org/styles/genome-biology</vt:lpwstr>
  </property>
  <property fmtid="{D5CDD505-2E9C-101B-9397-08002B2CF9AE}" pid="16" name="Mendeley Recent Style Name 5_1">
    <vt:lpwstr>Genome Biology</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