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328C" w:rsidRPr="005D328C" w:rsidRDefault="005D328C" w:rsidP="005D328C">
      <w:pPr>
        <w:spacing w:after="0" w:line="360" w:lineRule="auto"/>
        <w:rPr>
          <w:rFonts w:ascii="Times New Roman" w:eastAsia="Times New Roman" w:hAnsi="Times New Roman" w:cs="Times New Roman"/>
          <w:lang w:eastAsia="en-GB"/>
        </w:rPr>
      </w:pPr>
      <w:bookmarkStart w:id="0" w:name="_GoBack"/>
    </w:p>
    <w:p w:rsidR="005D328C" w:rsidRPr="005D328C" w:rsidRDefault="005D328C" w:rsidP="005D328C">
      <w:pPr>
        <w:spacing w:after="200" w:line="360" w:lineRule="auto"/>
        <w:rPr>
          <w:rFonts w:ascii="Times New Roman" w:eastAsia="Times New Roman" w:hAnsi="Times New Roman" w:cs="Times New Roman"/>
          <w:lang w:eastAsia="en-GB"/>
        </w:rPr>
      </w:pPr>
      <w:r w:rsidRPr="005D328C">
        <w:rPr>
          <w:rFonts w:ascii="Times New Roman" w:eastAsia="Times New Roman" w:hAnsi="Times New Roman" w:cs="Times New Roman"/>
          <w:color w:val="000000"/>
          <w:lang w:eastAsia="en-GB"/>
        </w:rPr>
        <w:t>Review History</w:t>
      </w:r>
    </w:p>
    <w:p w:rsidR="005D328C" w:rsidRPr="005D328C" w:rsidRDefault="005D328C" w:rsidP="005D328C">
      <w:pPr>
        <w:spacing w:after="0" w:line="360" w:lineRule="auto"/>
        <w:rPr>
          <w:rFonts w:ascii="Times New Roman" w:eastAsia="Times New Roman" w:hAnsi="Times New Roman" w:cs="Times New Roman"/>
          <w:lang w:eastAsia="en-GB"/>
        </w:rPr>
      </w:pPr>
      <w:r w:rsidRPr="005D328C">
        <w:rPr>
          <w:rFonts w:ascii="Times New Roman" w:eastAsia="Times New Roman" w:hAnsi="Times New Roman" w:cs="Times New Roman"/>
          <w:b/>
          <w:bCs/>
          <w:color w:val="000000"/>
          <w:lang w:eastAsia="en-GB"/>
        </w:rPr>
        <w:t>First round of review</w:t>
      </w:r>
    </w:p>
    <w:p w:rsidR="005D328C" w:rsidRPr="005D328C" w:rsidRDefault="005D328C" w:rsidP="005D328C">
      <w:pPr>
        <w:spacing w:after="0" w:line="360" w:lineRule="auto"/>
        <w:rPr>
          <w:rFonts w:ascii="Times New Roman" w:eastAsia="Times New Roman" w:hAnsi="Times New Roman" w:cs="Times New Roman"/>
          <w:lang w:eastAsia="en-GB"/>
        </w:rPr>
      </w:pPr>
      <w:r w:rsidRPr="005D328C">
        <w:rPr>
          <w:rFonts w:ascii="Times New Roman" w:eastAsia="Times New Roman" w:hAnsi="Times New Roman" w:cs="Times New Roman"/>
          <w:b/>
          <w:bCs/>
          <w:color w:val="000000"/>
          <w:lang w:eastAsia="en-GB"/>
        </w:rPr>
        <w:t>Reviewer 1</w:t>
      </w:r>
    </w:p>
    <w:p w:rsidR="005D328C" w:rsidRPr="005D328C" w:rsidRDefault="005D328C" w:rsidP="005D328C">
      <w:pPr>
        <w:spacing w:after="0" w:line="360" w:lineRule="auto"/>
        <w:rPr>
          <w:rFonts w:ascii="Times New Roman" w:eastAsia="Times New Roman" w:hAnsi="Times New Roman" w:cs="Times New Roman"/>
          <w:lang w:eastAsia="en-GB"/>
        </w:rPr>
      </w:pPr>
    </w:p>
    <w:p w:rsidR="005D328C" w:rsidRPr="005D328C" w:rsidRDefault="005D328C" w:rsidP="005D328C">
      <w:pPr>
        <w:spacing w:after="0" w:line="360" w:lineRule="auto"/>
        <w:rPr>
          <w:rFonts w:ascii="Times New Roman" w:eastAsia="Times New Roman" w:hAnsi="Times New Roman" w:cs="Times New Roman"/>
          <w:lang w:eastAsia="en-GB"/>
        </w:rPr>
      </w:pPr>
      <w:r w:rsidRPr="005D328C">
        <w:rPr>
          <w:rFonts w:ascii="Times New Roman" w:eastAsia="Times New Roman" w:hAnsi="Times New Roman" w:cs="Times New Roman"/>
          <w:b/>
          <w:bCs/>
          <w:color w:val="000033"/>
          <w:shd w:val="clear" w:color="auto" w:fill="FFFFFF"/>
          <w:lang w:eastAsia="en-GB"/>
        </w:rPr>
        <w:t xml:space="preserve">Are you able to assess all statistics in the manuscript, including the appropriateness of statistical tests used? </w:t>
      </w:r>
      <w:r w:rsidRPr="005D328C">
        <w:rPr>
          <w:rFonts w:ascii="Times New Roman" w:eastAsia="Times New Roman" w:hAnsi="Times New Roman" w:cs="Times New Roman"/>
          <w:bCs/>
          <w:color w:val="000033"/>
          <w:shd w:val="clear" w:color="auto" w:fill="FFFFFF"/>
          <w:lang w:eastAsia="en-GB"/>
        </w:rPr>
        <w:t>Yes, and I have assessed the statistics in my report.</w:t>
      </w:r>
    </w:p>
    <w:p w:rsidR="005D328C" w:rsidRPr="005D328C" w:rsidRDefault="005D328C" w:rsidP="005D328C">
      <w:pPr>
        <w:spacing w:after="0" w:line="360" w:lineRule="auto"/>
        <w:rPr>
          <w:rFonts w:ascii="Times New Roman" w:eastAsia="Times New Roman" w:hAnsi="Times New Roman" w:cs="Times New Roman"/>
          <w:lang w:eastAsia="en-GB"/>
        </w:rPr>
      </w:pPr>
    </w:p>
    <w:p w:rsidR="005D328C" w:rsidRPr="005D328C" w:rsidRDefault="005D328C" w:rsidP="005D328C">
      <w:pPr>
        <w:spacing w:after="0" w:line="360" w:lineRule="auto"/>
        <w:rPr>
          <w:rFonts w:ascii="Times New Roman" w:eastAsia="Times New Roman" w:hAnsi="Times New Roman" w:cs="Times New Roman"/>
          <w:lang w:eastAsia="en-GB"/>
        </w:rPr>
      </w:pPr>
      <w:r w:rsidRPr="005D328C">
        <w:rPr>
          <w:rFonts w:ascii="Times New Roman" w:eastAsia="Times New Roman" w:hAnsi="Times New Roman" w:cs="Times New Roman"/>
          <w:b/>
          <w:bCs/>
          <w:color w:val="000000"/>
          <w:lang w:eastAsia="en-GB"/>
        </w:rPr>
        <w:t>Comments to author:</w:t>
      </w:r>
    </w:p>
    <w:p w:rsidR="005D328C" w:rsidRPr="005D328C" w:rsidRDefault="005D328C" w:rsidP="005D328C">
      <w:pPr>
        <w:spacing w:after="240" w:line="360" w:lineRule="auto"/>
        <w:rPr>
          <w:rFonts w:ascii="Times New Roman" w:eastAsia="Times New Roman" w:hAnsi="Times New Roman" w:cs="Times New Roman"/>
          <w:lang w:eastAsia="en-GB"/>
        </w:rPr>
      </w:pPr>
      <w:r w:rsidRPr="005D328C">
        <w:rPr>
          <w:rFonts w:ascii="Times New Roman" w:eastAsia="Times New Roman" w:hAnsi="Times New Roman" w:cs="Times New Roman"/>
          <w:lang w:eastAsia="en-GB"/>
        </w:rPr>
        <w:t>Shen et al have investigated the relationship between G-</w:t>
      </w:r>
      <w:proofErr w:type="spellStart"/>
      <w:r w:rsidRPr="005D328C">
        <w:rPr>
          <w:rFonts w:ascii="Times New Roman" w:eastAsia="Times New Roman" w:hAnsi="Times New Roman" w:cs="Times New Roman"/>
          <w:lang w:eastAsia="en-GB"/>
        </w:rPr>
        <w:t>quadruplexes</w:t>
      </w:r>
      <w:proofErr w:type="spellEnd"/>
      <w:r w:rsidRPr="005D328C">
        <w:rPr>
          <w:rFonts w:ascii="Times New Roman" w:eastAsia="Times New Roman" w:hAnsi="Times New Roman" w:cs="Times New Roman"/>
          <w:lang w:eastAsia="en-GB"/>
        </w:rPr>
        <w:t xml:space="preserve"> (G4s) and transcription by Pol II.</w:t>
      </w:r>
    </w:p>
    <w:p w:rsidR="005D328C" w:rsidRPr="005D328C" w:rsidRDefault="005D328C" w:rsidP="005D328C">
      <w:pPr>
        <w:spacing w:after="240" w:line="360" w:lineRule="auto"/>
        <w:rPr>
          <w:rFonts w:ascii="Times New Roman" w:eastAsia="Times New Roman" w:hAnsi="Times New Roman" w:cs="Times New Roman"/>
          <w:lang w:eastAsia="en-GB"/>
        </w:rPr>
      </w:pPr>
      <w:r w:rsidRPr="005D328C">
        <w:rPr>
          <w:rFonts w:ascii="Times New Roman" w:eastAsia="Times New Roman" w:hAnsi="Times New Roman" w:cs="Times New Roman"/>
          <w:lang w:eastAsia="en-GB"/>
        </w:rPr>
        <w:t>They have carried out genome-wide analysis of G4s and Pol II levels and ATAC-</w:t>
      </w:r>
      <w:proofErr w:type="spellStart"/>
      <w:r w:rsidRPr="005D328C">
        <w:rPr>
          <w:rFonts w:ascii="Times New Roman" w:eastAsia="Times New Roman" w:hAnsi="Times New Roman" w:cs="Times New Roman"/>
          <w:lang w:eastAsia="en-GB"/>
        </w:rPr>
        <w:t>seq</w:t>
      </w:r>
      <w:proofErr w:type="spellEnd"/>
      <w:r w:rsidRPr="005D328C">
        <w:rPr>
          <w:rFonts w:ascii="Times New Roman" w:eastAsia="Times New Roman" w:hAnsi="Times New Roman" w:cs="Times New Roman"/>
          <w:lang w:eastAsia="en-GB"/>
        </w:rPr>
        <w:t xml:space="preserve">, and the results provide good evidence that these are positively correlated. Inhibiting pol II transcription by DRB or </w:t>
      </w:r>
      <w:proofErr w:type="spellStart"/>
      <w:r w:rsidRPr="005D328C">
        <w:rPr>
          <w:rFonts w:ascii="Times New Roman" w:eastAsia="Times New Roman" w:hAnsi="Times New Roman" w:cs="Times New Roman"/>
          <w:lang w:eastAsia="en-GB"/>
        </w:rPr>
        <w:t>Triptolide</w:t>
      </w:r>
      <w:proofErr w:type="spellEnd"/>
      <w:r w:rsidRPr="005D328C">
        <w:rPr>
          <w:rFonts w:ascii="Times New Roman" w:eastAsia="Times New Roman" w:hAnsi="Times New Roman" w:cs="Times New Roman"/>
          <w:lang w:eastAsia="en-GB"/>
        </w:rPr>
        <w:t xml:space="preserve"> has only a modest (and opposite!) effect on G4 levels, indicating that G4s are largely independent of Pol II initiation and occupancy.  On the other hand, conditions that reduce G4s, like hypoxia, also cause a reduction of Pol II occupancy. As hypoxia causes some compaction of chromatin, the authors conclude that chromatin compaction is causing disruption of G4, which, in turn, leads to a reduction in Pol II levels. The authors have also investigated the effect of a G4-stabilising small molecule, </w:t>
      </w:r>
      <w:proofErr w:type="spellStart"/>
      <w:r w:rsidRPr="005D328C">
        <w:rPr>
          <w:rFonts w:ascii="Times New Roman" w:eastAsia="Times New Roman" w:hAnsi="Times New Roman" w:cs="Times New Roman"/>
          <w:lang w:eastAsia="en-GB"/>
        </w:rPr>
        <w:t>pyPDS</w:t>
      </w:r>
      <w:proofErr w:type="spellEnd"/>
      <w:r w:rsidRPr="005D328C">
        <w:rPr>
          <w:rFonts w:ascii="Times New Roman" w:eastAsia="Times New Roman" w:hAnsi="Times New Roman" w:cs="Times New Roman"/>
          <w:lang w:eastAsia="en-GB"/>
        </w:rPr>
        <w:t xml:space="preserve">. </w:t>
      </w:r>
      <w:proofErr w:type="spellStart"/>
      <w:r w:rsidRPr="005D328C">
        <w:rPr>
          <w:rFonts w:ascii="Times New Roman" w:eastAsia="Times New Roman" w:hAnsi="Times New Roman" w:cs="Times New Roman"/>
          <w:lang w:eastAsia="en-GB"/>
        </w:rPr>
        <w:t>pyPDS</w:t>
      </w:r>
      <w:proofErr w:type="spellEnd"/>
      <w:r w:rsidRPr="005D328C">
        <w:rPr>
          <w:rFonts w:ascii="Times New Roman" w:eastAsia="Times New Roman" w:hAnsi="Times New Roman" w:cs="Times New Roman"/>
          <w:lang w:eastAsia="en-GB"/>
        </w:rPr>
        <w:t xml:space="preserve"> treatment causes an increase of both G4s and Pol II levels in hypoxia, further suggesting that G4 occupancy has a positive effect on pol II occupancy.</w:t>
      </w:r>
    </w:p>
    <w:p w:rsidR="005D328C" w:rsidRPr="005D328C" w:rsidRDefault="005D328C" w:rsidP="005D328C">
      <w:pPr>
        <w:spacing w:after="240" w:line="360" w:lineRule="auto"/>
        <w:rPr>
          <w:rFonts w:ascii="Times New Roman" w:eastAsia="Times New Roman" w:hAnsi="Times New Roman" w:cs="Times New Roman"/>
          <w:lang w:eastAsia="en-GB"/>
        </w:rPr>
      </w:pPr>
      <w:r w:rsidRPr="005D328C">
        <w:rPr>
          <w:rFonts w:ascii="Times New Roman" w:eastAsia="Times New Roman" w:hAnsi="Times New Roman" w:cs="Times New Roman"/>
          <w:lang w:eastAsia="en-GB"/>
        </w:rPr>
        <w:t>The data presented is convincing and the conclusions are generally supported by the data. In addition, the methods are appropriate, the paper is well-written and clear and the results will be of interest to others investigating the relationship between G4s and Pol II.</w:t>
      </w:r>
    </w:p>
    <w:p w:rsidR="005D328C" w:rsidRPr="005D328C" w:rsidRDefault="005D328C" w:rsidP="005D328C">
      <w:pPr>
        <w:spacing w:after="240" w:line="360" w:lineRule="auto"/>
        <w:rPr>
          <w:rFonts w:ascii="Times New Roman" w:eastAsia="Times New Roman" w:hAnsi="Times New Roman" w:cs="Times New Roman"/>
          <w:lang w:eastAsia="en-GB"/>
        </w:rPr>
      </w:pPr>
      <w:r w:rsidRPr="005D328C">
        <w:rPr>
          <w:rFonts w:ascii="Times New Roman" w:eastAsia="Times New Roman" w:hAnsi="Times New Roman" w:cs="Times New Roman"/>
          <w:lang w:eastAsia="en-GB"/>
        </w:rPr>
        <w:t xml:space="preserve">However, I have a couple of comments.  </w:t>
      </w:r>
    </w:p>
    <w:p w:rsidR="005D328C" w:rsidRPr="005D328C" w:rsidRDefault="005D328C" w:rsidP="005D328C">
      <w:pPr>
        <w:spacing w:after="240" w:line="360" w:lineRule="auto"/>
        <w:rPr>
          <w:rFonts w:ascii="Times New Roman" w:eastAsia="Times New Roman" w:hAnsi="Times New Roman" w:cs="Times New Roman"/>
          <w:lang w:eastAsia="en-GB"/>
        </w:rPr>
      </w:pPr>
      <w:r w:rsidRPr="005D328C">
        <w:rPr>
          <w:rFonts w:ascii="Times New Roman" w:eastAsia="Times New Roman" w:hAnsi="Times New Roman" w:cs="Times New Roman"/>
          <w:lang w:eastAsia="en-GB"/>
        </w:rPr>
        <w:t xml:space="preserve">Using hypoxia to cause chromatin compaction leads to the problem that it could be something else that happens in hypoxia that is causing loss of G4s rather than compaction itself. I therefore think that the conclusion that only chromatin compaction is playing a role is </w:t>
      </w:r>
      <w:proofErr w:type="spellStart"/>
      <w:r w:rsidRPr="005D328C">
        <w:rPr>
          <w:rFonts w:ascii="Times New Roman" w:eastAsia="Times New Roman" w:hAnsi="Times New Roman" w:cs="Times New Roman"/>
          <w:lang w:eastAsia="en-GB"/>
        </w:rPr>
        <w:t>overinterpretation</w:t>
      </w:r>
      <w:proofErr w:type="spellEnd"/>
      <w:r w:rsidRPr="005D328C">
        <w:rPr>
          <w:rFonts w:ascii="Times New Roman" w:eastAsia="Times New Roman" w:hAnsi="Times New Roman" w:cs="Times New Roman"/>
          <w:lang w:eastAsia="en-GB"/>
        </w:rPr>
        <w:t xml:space="preserve"> of the data.</w:t>
      </w:r>
    </w:p>
    <w:p w:rsidR="005D328C" w:rsidRPr="005D328C" w:rsidRDefault="005D328C" w:rsidP="005D328C">
      <w:pPr>
        <w:spacing w:after="240" w:line="360" w:lineRule="auto"/>
        <w:rPr>
          <w:rFonts w:ascii="Times New Roman" w:eastAsia="Times New Roman" w:hAnsi="Times New Roman" w:cs="Times New Roman"/>
          <w:lang w:eastAsia="en-GB"/>
        </w:rPr>
      </w:pPr>
      <w:r w:rsidRPr="005D328C">
        <w:rPr>
          <w:rFonts w:ascii="Times New Roman" w:eastAsia="Times New Roman" w:hAnsi="Times New Roman" w:cs="Times New Roman"/>
          <w:lang w:eastAsia="en-GB"/>
        </w:rPr>
        <w:t xml:space="preserve">In addition, the molecular mechanisms that are operating are not at all clear to me-are the G4s recruiting proteins needed for transcription? If so, what does </w:t>
      </w:r>
      <w:proofErr w:type="spellStart"/>
      <w:r w:rsidRPr="005D328C">
        <w:rPr>
          <w:rFonts w:ascii="Times New Roman" w:eastAsia="Times New Roman" w:hAnsi="Times New Roman" w:cs="Times New Roman"/>
          <w:lang w:eastAsia="en-GB"/>
        </w:rPr>
        <w:t>pyPDS</w:t>
      </w:r>
      <w:proofErr w:type="spellEnd"/>
      <w:r w:rsidRPr="005D328C">
        <w:rPr>
          <w:rFonts w:ascii="Times New Roman" w:eastAsia="Times New Roman" w:hAnsi="Times New Roman" w:cs="Times New Roman"/>
          <w:lang w:eastAsia="en-GB"/>
        </w:rPr>
        <w:t xml:space="preserve"> do to binding of these proteins? If the authors think that Pol II subunits are binding to G4s, can they show this?</w:t>
      </w:r>
    </w:p>
    <w:p w:rsidR="005D328C" w:rsidRPr="005D328C" w:rsidRDefault="005D328C" w:rsidP="005D328C">
      <w:pPr>
        <w:spacing w:after="0" w:line="360" w:lineRule="auto"/>
        <w:rPr>
          <w:rFonts w:ascii="Times New Roman" w:eastAsia="Times New Roman" w:hAnsi="Times New Roman" w:cs="Times New Roman"/>
          <w:lang w:eastAsia="en-GB"/>
        </w:rPr>
      </w:pPr>
      <w:r w:rsidRPr="005D328C">
        <w:rPr>
          <w:rFonts w:ascii="Times New Roman" w:eastAsia="Times New Roman" w:hAnsi="Times New Roman" w:cs="Times New Roman"/>
          <w:b/>
          <w:bCs/>
          <w:color w:val="000000"/>
          <w:lang w:eastAsia="en-GB"/>
        </w:rPr>
        <w:t>Reviewer 2</w:t>
      </w:r>
    </w:p>
    <w:p w:rsidR="005D328C" w:rsidRPr="005D328C" w:rsidRDefault="005D328C" w:rsidP="005D328C">
      <w:pPr>
        <w:spacing w:after="0" w:line="360" w:lineRule="auto"/>
        <w:rPr>
          <w:rFonts w:ascii="Times New Roman" w:eastAsia="Times New Roman" w:hAnsi="Times New Roman" w:cs="Times New Roman"/>
          <w:lang w:eastAsia="en-GB"/>
        </w:rPr>
      </w:pPr>
    </w:p>
    <w:p w:rsidR="005D328C" w:rsidRPr="005D328C" w:rsidRDefault="005D328C" w:rsidP="005D328C">
      <w:pPr>
        <w:spacing w:after="0" w:line="360" w:lineRule="auto"/>
        <w:rPr>
          <w:rFonts w:ascii="Times New Roman" w:eastAsia="Times New Roman" w:hAnsi="Times New Roman" w:cs="Times New Roman"/>
          <w:lang w:eastAsia="en-GB"/>
        </w:rPr>
      </w:pPr>
      <w:r w:rsidRPr="005D328C">
        <w:rPr>
          <w:rFonts w:ascii="Times New Roman" w:eastAsia="Times New Roman" w:hAnsi="Times New Roman" w:cs="Times New Roman"/>
          <w:b/>
          <w:bCs/>
          <w:color w:val="000033"/>
          <w:shd w:val="clear" w:color="auto" w:fill="FFFFFF"/>
          <w:lang w:eastAsia="en-GB"/>
        </w:rPr>
        <w:lastRenderedPageBreak/>
        <w:t>Are you able to assess all statistics in the manuscript, including the appropriateness of statistical tests used? Yes, and I have assessed the statistics in my report.</w:t>
      </w:r>
    </w:p>
    <w:p w:rsidR="005D328C" w:rsidRPr="005D328C" w:rsidRDefault="005D328C" w:rsidP="005D328C">
      <w:pPr>
        <w:spacing w:after="0" w:line="360" w:lineRule="auto"/>
        <w:rPr>
          <w:rFonts w:ascii="Times New Roman" w:eastAsia="Times New Roman" w:hAnsi="Times New Roman" w:cs="Times New Roman"/>
          <w:lang w:eastAsia="en-GB"/>
        </w:rPr>
      </w:pPr>
    </w:p>
    <w:p w:rsidR="005D328C" w:rsidRPr="005D328C" w:rsidRDefault="005D328C" w:rsidP="005D328C">
      <w:pPr>
        <w:spacing w:after="200" w:line="360" w:lineRule="auto"/>
        <w:rPr>
          <w:rFonts w:ascii="Times New Roman" w:eastAsia="Times New Roman" w:hAnsi="Times New Roman" w:cs="Times New Roman"/>
          <w:b/>
          <w:bCs/>
          <w:color w:val="000000"/>
          <w:lang w:eastAsia="en-GB"/>
        </w:rPr>
      </w:pPr>
      <w:r w:rsidRPr="005D328C">
        <w:rPr>
          <w:rFonts w:ascii="Times New Roman" w:eastAsia="Times New Roman" w:hAnsi="Times New Roman" w:cs="Times New Roman"/>
          <w:b/>
          <w:bCs/>
          <w:color w:val="000000"/>
          <w:lang w:eastAsia="en-GB"/>
        </w:rPr>
        <w:t>Comments to author:</w:t>
      </w:r>
    </w:p>
    <w:p w:rsidR="005D328C" w:rsidRPr="005D328C" w:rsidRDefault="005D328C" w:rsidP="005D328C">
      <w:pPr>
        <w:spacing w:after="200" w:line="360" w:lineRule="auto"/>
        <w:rPr>
          <w:rFonts w:ascii="Times New Roman" w:eastAsia="Times New Roman" w:hAnsi="Times New Roman" w:cs="Times New Roman"/>
          <w:lang w:eastAsia="en-GB"/>
        </w:rPr>
      </w:pPr>
      <w:r w:rsidRPr="005D328C">
        <w:rPr>
          <w:rFonts w:ascii="Times New Roman" w:eastAsia="Times New Roman" w:hAnsi="Times New Roman" w:cs="Times New Roman"/>
          <w:lang w:eastAsia="en-GB"/>
        </w:rPr>
        <w:t>The work entitled 'Promoter G-</w:t>
      </w:r>
      <w:proofErr w:type="spellStart"/>
      <w:r w:rsidRPr="005D328C">
        <w:rPr>
          <w:rFonts w:ascii="Times New Roman" w:eastAsia="Times New Roman" w:hAnsi="Times New Roman" w:cs="Times New Roman"/>
          <w:lang w:eastAsia="en-GB"/>
        </w:rPr>
        <w:t>quadruplex</w:t>
      </w:r>
      <w:proofErr w:type="spellEnd"/>
      <w:r w:rsidRPr="005D328C">
        <w:rPr>
          <w:rFonts w:ascii="Times New Roman" w:eastAsia="Times New Roman" w:hAnsi="Times New Roman" w:cs="Times New Roman"/>
          <w:lang w:eastAsia="en-GB"/>
        </w:rPr>
        <w:t xml:space="preserve"> folding precedes transcription and is controlled by chromatin' carried out in the </w:t>
      </w:r>
      <w:proofErr w:type="spellStart"/>
      <w:r w:rsidRPr="005D328C">
        <w:rPr>
          <w:rFonts w:ascii="Times New Roman" w:eastAsia="Times New Roman" w:hAnsi="Times New Roman" w:cs="Times New Roman"/>
          <w:lang w:eastAsia="en-GB"/>
        </w:rPr>
        <w:t>Balasubramanian´s</w:t>
      </w:r>
      <w:proofErr w:type="spellEnd"/>
      <w:r w:rsidRPr="005D328C">
        <w:rPr>
          <w:rFonts w:ascii="Times New Roman" w:eastAsia="Times New Roman" w:hAnsi="Times New Roman" w:cs="Times New Roman"/>
          <w:lang w:eastAsia="en-GB"/>
        </w:rPr>
        <w:t xml:space="preserve"> Lab deals with one of the major questions in the G4-research field. The current hypothesis states that G4 folding at promoters depends on active transcription, which leads to torsional stress and negative </w:t>
      </w:r>
      <w:proofErr w:type="spellStart"/>
      <w:r w:rsidRPr="005D328C">
        <w:rPr>
          <w:rFonts w:ascii="Times New Roman" w:eastAsia="Times New Roman" w:hAnsi="Times New Roman" w:cs="Times New Roman"/>
          <w:lang w:eastAsia="en-GB"/>
        </w:rPr>
        <w:t>superhelicity</w:t>
      </w:r>
      <w:proofErr w:type="spellEnd"/>
      <w:r w:rsidRPr="005D328C">
        <w:rPr>
          <w:rFonts w:ascii="Times New Roman" w:eastAsia="Times New Roman" w:hAnsi="Times New Roman" w:cs="Times New Roman"/>
          <w:lang w:eastAsia="en-GB"/>
        </w:rPr>
        <w:t>. However, by means of well-done experimental strategies, the authors were able to collect data suggesting that G4 folding is coupled to the establishment of accessible chromatin and does not require active transcription. In this sense, the work represents a significant advance over previously published studies.</w:t>
      </w:r>
    </w:p>
    <w:p w:rsidR="005D328C" w:rsidRPr="005D328C" w:rsidRDefault="005D328C" w:rsidP="005D328C">
      <w:pPr>
        <w:spacing w:after="200" w:line="360" w:lineRule="auto"/>
        <w:rPr>
          <w:rFonts w:ascii="Times New Roman" w:eastAsia="Times New Roman" w:hAnsi="Times New Roman" w:cs="Times New Roman"/>
          <w:lang w:eastAsia="en-GB"/>
        </w:rPr>
      </w:pPr>
      <w:r w:rsidRPr="005D328C">
        <w:rPr>
          <w:rFonts w:ascii="Times New Roman" w:eastAsia="Times New Roman" w:hAnsi="Times New Roman" w:cs="Times New Roman"/>
          <w:lang w:eastAsia="en-GB"/>
        </w:rPr>
        <w:t>The design of study was appropriated, allowing answering the research question. The methods are appropriate to the aims of the study, they are well described, and proper controls are included. Results are clearly presented and have been statistically well-treated. In general, conclusions are supported by the experimental data shown.</w:t>
      </w:r>
    </w:p>
    <w:p w:rsidR="005D328C" w:rsidRPr="005D328C" w:rsidRDefault="005D328C" w:rsidP="005D328C">
      <w:pPr>
        <w:spacing w:after="200" w:line="360" w:lineRule="auto"/>
        <w:rPr>
          <w:rFonts w:ascii="Times New Roman" w:eastAsia="Times New Roman" w:hAnsi="Times New Roman" w:cs="Times New Roman"/>
          <w:lang w:eastAsia="en-GB"/>
        </w:rPr>
      </w:pPr>
      <w:r w:rsidRPr="005D328C">
        <w:rPr>
          <w:rFonts w:ascii="Times New Roman" w:eastAsia="Times New Roman" w:hAnsi="Times New Roman" w:cs="Times New Roman"/>
          <w:lang w:eastAsia="en-GB"/>
        </w:rPr>
        <w:t>Minor concerns:</w:t>
      </w:r>
    </w:p>
    <w:p w:rsidR="005D328C" w:rsidRPr="005D328C" w:rsidRDefault="005D328C" w:rsidP="005D328C">
      <w:pPr>
        <w:spacing w:after="200" w:line="360" w:lineRule="auto"/>
        <w:rPr>
          <w:rFonts w:ascii="Times New Roman" w:eastAsia="Times New Roman" w:hAnsi="Times New Roman" w:cs="Times New Roman"/>
          <w:lang w:eastAsia="en-GB"/>
        </w:rPr>
      </w:pPr>
      <w:r w:rsidRPr="005D328C">
        <w:rPr>
          <w:rFonts w:ascii="Times New Roman" w:eastAsia="Times New Roman" w:hAnsi="Times New Roman" w:cs="Times New Roman"/>
          <w:lang w:eastAsia="en-GB"/>
        </w:rPr>
        <w:t>The Background section is clear, accurately describing the current answers and hypothesis in the research field. The references have been properly selected; however, I recommend including a work on the role of CNBP in G4-folding recently appeared in Nucleic Acids Research (</w:t>
      </w:r>
      <w:proofErr w:type="spellStart"/>
      <w:r w:rsidRPr="005D328C">
        <w:rPr>
          <w:rFonts w:ascii="Times New Roman" w:eastAsia="Times New Roman" w:hAnsi="Times New Roman" w:cs="Times New Roman"/>
          <w:lang w:eastAsia="en-GB"/>
        </w:rPr>
        <w:t>doi</w:t>
      </w:r>
      <w:proofErr w:type="spellEnd"/>
      <w:r w:rsidRPr="005D328C">
        <w:rPr>
          <w:rFonts w:ascii="Times New Roman" w:eastAsia="Times New Roman" w:hAnsi="Times New Roman" w:cs="Times New Roman"/>
          <w:lang w:eastAsia="en-GB"/>
        </w:rPr>
        <w:t>: 10.1093/</w:t>
      </w:r>
      <w:proofErr w:type="spellStart"/>
      <w:r w:rsidRPr="005D328C">
        <w:rPr>
          <w:rFonts w:ascii="Times New Roman" w:eastAsia="Times New Roman" w:hAnsi="Times New Roman" w:cs="Times New Roman"/>
          <w:lang w:eastAsia="en-GB"/>
        </w:rPr>
        <w:t>nar</w:t>
      </w:r>
      <w:proofErr w:type="spellEnd"/>
      <w:r w:rsidRPr="005D328C">
        <w:rPr>
          <w:rFonts w:ascii="Times New Roman" w:eastAsia="Times New Roman" w:hAnsi="Times New Roman" w:cs="Times New Roman"/>
          <w:lang w:eastAsia="en-GB"/>
        </w:rPr>
        <w:t>/gkz527).</w:t>
      </w:r>
    </w:p>
    <w:p w:rsidR="005D328C" w:rsidRPr="005D328C" w:rsidRDefault="005D328C" w:rsidP="005D328C">
      <w:pPr>
        <w:spacing w:after="200" w:line="360" w:lineRule="auto"/>
        <w:rPr>
          <w:rFonts w:ascii="Times New Roman" w:eastAsia="Times New Roman" w:hAnsi="Times New Roman" w:cs="Times New Roman"/>
          <w:lang w:eastAsia="en-GB"/>
        </w:rPr>
      </w:pPr>
      <w:r w:rsidRPr="005D328C">
        <w:rPr>
          <w:rFonts w:ascii="Times New Roman" w:eastAsia="Times New Roman" w:hAnsi="Times New Roman" w:cs="Times New Roman"/>
          <w:lang w:eastAsia="en-GB"/>
        </w:rPr>
        <w:t>Regarding the results:</w:t>
      </w:r>
    </w:p>
    <w:p w:rsidR="005D328C" w:rsidRPr="005D328C" w:rsidRDefault="005D328C" w:rsidP="005D328C">
      <w:pPr>
        <w:spacing w:after="200" w:line="360" w:lineRule="auto"/>
        <w:rPr>
          <w:rFonts w:ascii="Times New Roman" w:eastAsia="Times New Roman" w:hAnsi="Times New Roman" w:cs="Times New Roman"/>
          <w:lang w:eastAsia="en-GB"/>
        </w:rPr>
      </w:pPr>
      <w:r w:rsidRPr="005D328C">
        <w:rPr>
          <w:rFonts w:ascii="Times New Roman" w:eastAsia="Times New Roman" w:hAnsi="Times New Roman" w:cs="Times New Roman"/>
          <w:lang w:eastAsia="en-GB"/>
        </w:rPr>
        <w:t xml:space="preserve">1- K562 human chronic </w:t>
      </w:r>
      <w:proofErr w:type="spellStart"/>
      <w:r w:rsidRPr="005D328C">
        <w:rPr>
          <w:rFonts w:ascii="Times New Roman" w:eastAsia="Times New Roman" w:hAnsi="Times New Roman" w:cs="Times New Roman"/>
          <w:lang w:eastAsia="en-GB"/>
        </w:rPr>
        <w:t>myelogenous</w:t>
      </w:r>
      <w:proofErr w:type="spellEnd"/>
      <w:r w:rsidRPr="005D328C">
        <w:rPr>
          <w:rFonts w:ascii="Times New Roman" w:eastAsia="Times New Roman" w:hAnsi="Times New Roman" w:cs="Times New Roman"/>
          <w:lang w:eastAsia="en-GB"/>
        </w:rPr>
        <w:t xml:space="preserve"> leukaemia cell line was used as a model system. Obtaining similar results in other cell lines may possibly strengthen the conclusions. Indeed, as authors mentioned, adenocarcinoma cells do not show G4 alterations following TPL treatment.</w:t>
      </w:r>
    </w:p>
    <w:p w:rsidR="005D328C" w:rsidRPr="005D328C" w:rsidRDefault="005D328C" w:rsidP="005D328C">
      <w:pPr>
        <w:spacing w:after="200" w:line="360" w:lineRule="auto"/>
        <w:rPr>
          <w:rFonts w:ascii="Times New Roman" w:eastAsia="Times New Roman" w:hAnsi="Times New Roman" w:cs="Times New Roman"/>
          <w:lang w:eastAsia="en-GB"/>
        </w:rPr>
      </w:pPr>
      <w:r w:rsidRPr="005D328C">
        <w:rPr>
          <w:rFonts w:ascii="Times New Roman" w:eastAsia="Times New Roman" w:hAnsi="Times New Roman" w:cs="Times New Roman"/>
          <w:lang w:eastAsia="en-GB"/>
        </w:rPr>
        <w:t xml:space="preserve">2- Genome browser views for the ATXN1L and FSCN1 promoter G4s are shown in Fig. 3E. Why the authors did select these genes among many others? A brief argumentation regarding this issue might improve the work.  </w:t>
      </w:r>
    </w:p>
    <w:p w:rsidR="005D328C" w:rsidRPr="005D328C" w:rsidRDefault="005D328C" w:rsidP="005D328C">
      <w:pPr>
        <w:spacing w:after="0" w:line="360" w:lineRule="auto"/>
        <w:rPr>
          <w:rFonts w:ascii="Times New Roman" w:eastAsia="Times New Roman" w:hAnsi="Times New Roman" w:cs="Times New Roman"/>
          <w:lang w:eastAsia="en-GB"/>
        </w:rPr>
      </w:pPr>
    </w:p>
    <w:p w:rsidR="005D328C" w:rsidRPr="005D328C" w:rsidRDefault="005D328C" w:rsidP="005D328C">
      <w:pPr>
        <w:spacing w:after="200" w:line="360" w:lineRule="auto"/>
        <w:rPr>
          <w:rFonts w:ascii="Times New Roman" w:eastAsia="Times New Roman" w:hAnsi="Times New Roman" w:cs="Times New Roman"/>
          <w:lang w:eastAsia="en-GB"/>
        </w:rPr>
      </w:pPr>
      <w:r w:rsidRPr="005D328C">
        <w:rPr>
          <w:rFonts w:ascii="Times New Roman" w:eastAsia="Times New Roman" w:hAnsi="Times New Roman" w:cs="Times New Roman"/>
          <w:b/>
          <w:bCs/>
          <w:color w:val="000000"/>
          <w:lang w:eastAsia="en-GB"/>
        </w:rPr>
        <w:t>Authors Response</w:t>
      </w:r>
    </w:p>
    <w:p w:rsidR="005D328C" w:rsidRPr="005D328C" w:rsidRDefault="005D328C" w:rsidP="005D328C">
      <w:pPr>
        <w:spacing w:after="200" w:line="360" w:lineRule="auto"/>
        <w:rPr>
          <w:rFonts w:ascii="Times New Roman" w:eastAsia="Times New Roman" w:hAnsi="Times New Roman" w:cs="Times New Roman"/>
          <w:lang w:eastAsia="en-GB"/>
        </w:rPr>
      </w:pPr>
      <w:r w:rsidRPr="005D328C">
        <w:rPr>
          <w:rFonts w:ascii="Times New Roman" w:eastAsia="Times New Roman" w:hAnsi="Times New Roman" w:cs="Times New Roman"/>
          <w:b/>
          <w:bCs/>
          <w:color w:val="000000"/>
          <w:lang w:eastAsia="en-GB"/>
        </w:rPr>
        <w:t>Point-by-point responses to the reviewers’ comments: </w:t>
      </w:r>
    </w:p>
    <w:p w:rsidR="005D328C" w:rsidRPr="005D328C" w:rsidRDefault="005D328C" w:rsidP="005D328C">
      <w:pPr>
        <w:pStyle w:val="ListParagraph"/>
        <w:numPr>
          <w:ilvl w:val="0"/>
          <w:numId w:val="1"/>
        </w:numPr>
        <w:spacing w:line="360" w:lineRule="auto"/>
        <w:ind w:left="284" w:hanging="284"/>
        <w:jc w:val="both"/>
        <w:rPr>
          <w:rFonts w:ascii="Times New Roman" w:eastAsia="Times New Roman" w:hAnsi="Times New Roman"/>
          <w:color w:val="000000"/>
          <w:sz w:val="22"/>
          <w:szCs w:val="22"/>
        </w:rPr>
      </w:pPr>
      <w:r w:rsidRPr="005D328C">
        <w:rPr>
          <w:rFonts w:ascii="Times New Roman" w:eastAsia="Times New Roman" w:hAnsi="Times New Roman"/>
          <w:color w:val="000000"/>
          <w:sz w:val="22"/>
          <w:szCs w:val="22"/>
        </w:rPr>
        <w:lastRenderedPageBreak/>
        <w:t xml:space="preserve">Using hypoxia to cause chromatin compaction leads to the problem that it could be something else that happens in hypoxia that is causing loss of G4s rather than compaction itself. I therefore think that the conclusion that only chromatin compaction is playing a role is </w:t>
      </w:r>
      <w:proofErr w:type="spellStart"/>
      <w:r w:rsidRPr="005D328C">
        <w:rPr>
          <w:rFonts w:ascii="Times New Roman" w:eastAsia="Times New Roman" w:hAnsi="Times New Roman"/>
          <w:color w:val="000000"/>
          <w:sz w:val="22"/>
          <w:szCs w:val="22"/>
        </w:rPr>
        <w:t>overinterpretation</w:t>
      </w:r>
      <w:proofErr w:type="spellEnd"/>
      <w:r w:rsidRPr="005D328C">
        <w:rPr>
          <w:rFonts w:ascii="Times New Roman" w:eastAsia="Times New Roman" w:hAnsi="Times New Roman"/>
          <w:color w:val="000000"/>
          <w:sz w:val="22"/>
          <w:szCs w:val="22"/>
        </w:rPr>
        <w:t xml:space="preserve"> of the data.</w:t>
      </w:r>
    </w:p>
    <w:p w:rsidR="005D328C" w:rsidRPr="005D328C" w:rsidRDefault="005D328C" w:rsidP="005D328C">
      <w:pPr>
        <w:pStyle w:val="ListParagraph"/>
        <w:spacing w:line="360" w:lineRule="auto"/>
        <w:ind w:left="284"/>
        <w:jc w:val="both"/>
        <w:rPr>
          <w:rFonts w:ascii="Times New Roman" w:eastAsia="Times New Roman" w:hAnsi="Times New Roman"/>
          <w:color w:val="2E74B5"/>
          <w:sz w:val="22"/>
          <w:szCs w:val="22"/>
        </w:rPr>
      </w:pPr>
      <w:r w:rsidRPr="005D328C">
        <w:rPr>
          <w:rFonts w:ascii="Times New Roman" w:eastAsia="Times New Roman" w:hAnsi="Times New Roman"/>
          <w:color w:val="2E74B5"/>
          <w:sz w:val="22"/>
          <w:szCs w:val="22"/>
        </w:rPr>
        <w:t xml:space="preserve">We used acute hypoxia (1 hour) to achieve rapid chromatin compaction and assess the impact on promoter G4 formation. This short treatment time circumvents non-specific or downstream effects on G4s. We clearly demonstrate chromatin compaction at sites that show G4 loss and importantly have ruled out DNA damage as a possible cause of G4 loss in this system. G4s are only observed in accessible chromatin </w:t>
      </w:r>
      <w:r w:rsidRPr="005D328C">
        <w:rPr>
          <w:rFonts w:ascii="Times New Roman" w:hAnsi="Times New Roman"/>
          <w:color w:val="2E74B5"/>
          <w:sz w:val="22"/>
          <w:szCs w:val="22"/>
        </w:rPr>
        <w:t>and earlier work has suggested that chromatin relaxation leads to increased G4 formation (</w:t>
      </w:r>
      <w:proofErr w:type="spellStart"/>
      <w:r w:rsidRPr="005D328C">
        <w:rPr>
          <w:rFonts w:ascii="Times New Roman" w:hAnsi="Times New Roman"/>
          <w:color w:val="2E74B5"/>
          <w:sz w:val="22"/>
          <w:szCs w:val="22"/>
        </w:rPr>
        <w:t>doi</w:t>
      </w:r>
      <w:proofErr w:type="spellEnd"/>
      <w:r w:rsidRPr="005D328C">
        <w:rPr>
          <w:rFonts w:ascii="Times New Roman" w:hAnsi="Times New Roman"/>
          <w:color w:val="2E74B5"/>
          <w:sz w:val="22"/>
          <w:szCs w:val="22"/>
        </w:rPr>
        <w:t xml:space="preserve">: </w:t>
      </w:r>
      <w:r w:rsidRPr="005D328C">
        <w:rPr>
          <w:rFonts w:ascii="Tahoma" w:hAnsi="Tahoma" w:cs="Tahoma"/>
          <w:color w:val="2E74B5"/>
          <w:sz w:val="22"/>
          <w:szCs w:val="22"/>
        </w:rPr>
        <w:t>﻿</w:t>
      </w:r>
      <w:r w:rsidRPr="005D328C">
        <w:rPr>
          <w:rFonts w:ascii="Times New Roman" w:hAnsi="Times New Roman"/>
          <w:color w:val="2E74B5"/>
          <w:sz w:val="22"/>
          <w:szCs w:val="22"/>
        </w:rPr>
        <w:t xml:space="preserve">10.1038/ng.3662). While we cannot rule out </w:t>
      </w:r>
      <w:r w:rsidRPr="005D328C">
        <w:rPr>
          <w:rFonts w:ascii="Times New Roman" w:eastAsia="Times New Roman" w:hAnsi="Times New Roman"/>
          <w:color w:val="2E74B5"/>
          <w:sz w:val="22"/>
          <w:szCs w:val="22"/>
        </w:rPr>
        <w:t xml:space="preserve">unknown factors that might influence G4 formation, the </w:t>
      </w:r>
      <w:r w:rsidRPr="005D328C">
        <w:rPr>
          <w:rFonts w:ascii="Times New Roman" w:hAnsi="Times New Roman"/>
          <w:color w:val="2E74B5"/>
          <w:sz w:val="22"/>
          <w:szCs w:val="22"/>
        </w:rPr>
        <w:t xml:space="preserve">most parsimonious interpretation of the data is </w:t>
      </w:r>
      <w:r w:rsidRPr="005D328C">
        <w:rPr>
          <w:rFonts w:ascii="Times New Roman" w:eastAsia="Times New Roman" w:hAnsi="Times New Roman"/>
          <w:color w:val="2E74B5"/>
          <w:sz w:val="22"/>
          <w:szCs w:val="22"/>
        </w:rPr>
        <w:t>that chromatin compaction in acute hypoxia is a direct cause of G4 loss.</w:t>
      </w:r>
    </w:p>
    <w:p w:rsidR="005D328C" w:rsidRPr="005D328C" w:rsidRDefault="005D328C" w:rsidP="005D328C">
      <w:pPr>
        <w:pStyle w:val="ListParagraph"/>
        <w:spacing w:line="360" w:lineRule="auto"/>
        <w:ind w:left="284"/>
        <w:jc w:val="both"/>
        <w:rPr>
          <w:rFonts w:ascii="Times New Roman" w:eastAsia="Times New Roman" w:hAnsi="Times New Roman"/>
          <w:color w:val="2E74B5"/>
          <w:sz w:val="22"/>
          <w:szCs w:val="22"/>
        </w:rPr>
      </w:pPr>
    </w:p>
    <w:p w:rsidR="005D328C" w:rsidRPr="005D328C" w:rsidRDefault="005D328C" w:rsidP="005D328C">
      <w:pPr>
        <w:pStyle w:val="ListParagraph"/>
        <w:numPr>
          <w:ilvl w:val="0"/>
          <w:numId w:val="1"/>
        </w:numPr>
        <w:spacing w:line="360" w:lineRule="auto"/>
        <w:ind w:left="284" w:hanging="284"/>
        <w:jc w:val="both"/>
        <w:rPr>
          <w:rFonts w:ascii="Times New Roman" w:eastAsia="Times New Roman" w:hAnsi="Times New Roman"/>
          <w:color w:val="000000"/>
          <w:sz w:val="22"/>
          <w:szCs w:val="22"/>
        </w:rPr>
      </w:pPr>
      <w:r w:rsidRPr="005D328C">
        <w:rPr>
          <w:rFonts w:ascii="Times New Roman" w:eastAsia="Times New Roman" w:hAnsi="Times New Roman"/>
          <w:color w:val="000000"/>
          <w:sz w:val="22"/>
          <w:szCs w:val="22"/>
        </w:rPr>
        <w:t xml:space="preserve">In addition, the molecular mechanisms that are operating are not at all clear to me - are the G4s recruiting proteins needed for transcription? If so, what does </w:t>
      </w:r>
      <w:proofErr w:type="spellStart"/>
      <w:r w:rsidRPr="005D328C">
        <w:rPr>
          <w:rFonts w:ascii="Times New Roman" w:eastAsia="Times New Roman" w:hAnsi="Times New Roman"/>
          <w:color w:val="000000"/>
          <w:sz w:val="22"/>
          <w:szCs w:val="22"/>
        </w:rPr>
        <w:t>pyPDS</w:t>
      </w:r>
      <w:proofErr w:type="spellEnd"/>
      <w:r w:rsidRPr="005D328C">
        <w:rPr>
          <w:rFonts w:ascii="Times New Roman" w:eastAsia="Times New Roman" w:hAnsi="Times New Roman"/>
          <w:color w:val="000000"/>
          <w:sz w:val="22"/>
          <w:szCs w:val="22"/>
        </w:rPr>
        <w:t xml:space="preserve"> do to binding of these proteins? If the authors think that Pol II subunits are binding to G4s, can they show this?</w:t>
      </w:r>
    </w:p>
    <w:p w:rsidR="005D328C" w:rsidRPr="005D328C" w:rsidRDefault="005D328C" w:rsidP="005D328C">
      <w:pPr>
        <w:pStyle w:val="ListParagraph"/>
        <w:spacing w:line="360" w:lineRule="auto"/>
        <w:ind w:left="284"/>
        <w:jc w:val="both"/>
        <w:rPr>
          <w:rFonts w:ascii="Times New Roman" w:eastAsia="Times New Roman" w:hAnsi="Times New Roman"/>
          <w:color w:val="2E74B5"/>
          <w:sz w:val="22"/>
          <w:szCs w:val="22"/>
        </w:rPr>
      </w:pPr>
      <w:r w:rsidRPr="005D328C">
        <w:rPr>
          <w:rFonts w:ascii="Times New Roman" w:eastAsia="Times New Roman" w:hAnsi="Times New Roman"/>
          <w:color w:val="2E74B5"/>
          <w:sz w:val="22"/>
          <w:szCs w:val="22"/>
        </w:rPr>
        <w:t>G4s have been shown to interact with multiple proteins involved in the transcriptional process, which includes transcription factors and RNA polymerase subunits (</w:t>
      </w:r>
      <w:proofErr w:type="spellStart"/>
      <w:r w:rsidRPr="005D328C">
        <w:rPr>
          <w:rFonts w:ascii="Times New Roman" w:eastAsia="Times New Roman" w:hAnsi="Times New Roman"/>
          <w:color w:val="2E74B5"/>
          <w:sz w:val="22"/>
          <w:szCs w:val="22"/>
        </w:rPr>
        <w:t>doi</w:t>
      </w:r>
      <w:proofErr w:type="spellEnd"/>
      <w:r w:rsidRPr="005D328C">
        <w:rPr>
          <w:rFonts w:ascii="Times New Roman" w:eastAsia="Times New Roman" w:hAnsi="Times New Roman"/>
          <w:color w:val="2E74B5"/>
          <w:sz w:val="22"/>
          <w:szCs w:val="22"/>
        </w:rPr>
        <w:t xml:space="preserve">: 10.1038/s41467-018-04084-0). To elaborate this further, we have added the following text to the discussion on page 9, line 189-190: “Pol II recruitment at promoter G4s might be mediated by TF binding </w:t>
      </w:r>
      <w:r w:rsidRPr="005D328C">
        <w:rPr>
          <w:rFonts w:ascii="Times New Roman" w:eastAsia="Times New Roman" w:hAnsi="Times New Roman"/>
          <w:color w:val="2E74B5"/>
          <w:sz w:val="22"/>
          <w:szCs w:val="22"/>
        </w:rPr>
        <w:fldChar w:fldCharType="begin" w:fldLock="1"/>
      </w:r>
      <w:r w:rsidRPr="005D328C">
        <w:rPr>
          <w:rFonts w:ascii="Times New Roman" w:eastAsia="Times New Roman" w:hAnsi="Times New Roman"/>
          <w:color w:val="2E74B5"/>
          <w:sz w:val="22"/>
          <w:szCs w:val="22"/>
        </w:rPr>
        <w:instrText>ADDIN CSL_CITATION {"citationItems":[{"id":"ITEM-1","itemData":{"DOI":"10.1093/nar/gkr882","ISSN":"03051048","abstract":"SP1 is a ubiquitous transcription factor that is involved in the regulation of various house-keeping genes. It is known that it acts by binding to a double-stranded consensus motif. Here, we have discovered that SP1 binds also to a non-canonical DNA structure, a G-quadruplex, with high affinity. In particular, we have studied the SP1 binding site within the promoter region of the c-KIT oncogene and found that this site can fold into an anti-parallel two-tetrad G-quadruplex. SP1 pull-down experiments from cellular extracts, together with biophysical binding assays revealed that SP1 has a comparable binding affinity for this G-quadruplex structure and the canonical SP1 duplex sequence. Using SP1 ChIP-on-chip data sets, we have also found that 87 of SP1 binding sites overlap with G-quadruplex forming sequences. Furthermore, while many of these immuoprecipitated sequences (36) even lack the minimal SP1 consensus motif, 5′-GGGCGG-3′, we have shown that 77 of them are putative G-quadruplexes. Collectively, these data suggest that SP1 is able to bind both, canonical SP1 duplex DNA as well as G-quadruplex structures in vitro and we hypothesize that both types of interactions may occur in cells. © 2012 The Author(s).","author":[{"dropping-particle":"","family":"Raiber","given":"Eun Ang","non-dropping-particle":"","parse-names":false,"suffix":""},{"dropping-particle":"","family":"Kranaster","given":"Ramon","non-dropping-particle":"","parse-names":false,"suffix":""},{"dropping-particle":"","family":"Lam","given":"Enid","non-dropping-particle":"","parse-names":false,"suffix":""},{"dropping-particle":"","family":"Nikan","given":"Mehran","non-dropping-particle":"","parse-names":false,"suffix":""},{"dropping-particle":"","family":"Balasubramanian","given":"Shankar","non-dropping-particle":"","parse-names":false,"suffix":""}],"container-title":"Nucleic Acids Research","id":"ITEM-1","issue":"4","issued":{"date-parts":[["2012"]]},"page":"1499-1508","title":"A non-canonical DNA structure is a binding motif for the transcription factor SP1 in vitro","type":"article-journal","volume":"40"},"uris":["http://www.mendeley.com/documents/?uuid=c6c3ef9b-d160-4478-a688-5333874e24b0"]},{"id":"ITEM-2","itemData":{"DOI":"10.1021/acs.biochem.9b00030","ISSN":"15204995","abstract":"The nuclease hypersensitive element III1 (NHE III1) upstream c-MYC promoter harbors a transcription-silencing G-quadruplex (Pu27) element. Dynamic turnover of various transcription factors (TFs) across Pu27 to control c-MYC transcription homeostasis is enigmatic. Here, we reveal that native Pu27 evolves truncated G-quadruplex isomers (Pu19, Pu22, Pu24, and Pu25) in cells that are optimal intracellular targets of specific TFs in a sequence- and structure-dependent manner. Nuclear magnetic resonance and isothermal titration calorimetry envisaged that NM23-H2 (nucleoside diphosphate kinase) and nucleolin induce conformational fluctuations in Pu27 to sample specific conformationally restricted conformer(s). Structural investigations revealed that the flanking guanines at 5′-Pu27 control solvent exposure at G-quartets upon NM23-H2 and nucleolin binding driving Pu27 unfolding and folding, respectively. Transient chromatin immunoprecipitations confirmed that NM23-H2 drives the conformation switch to Pu24 that outcompetes nucleolin recruitment. Similarly, nucleolin arrests Pu27 in the Pu22 conformer minimizing NM23-H2 binding at Pu27. hnRNPK (heterogeneous nuclear ribonucleoprotein K) positively regulates NM23-H2 and nucleolin association at Pu27 despite their antagonism. On the basis of these results, we simulated the transcription kinetics in a feed-forward loop in which the transcription output responds to hnRNPK-induced early activation via NM23-H2 association, which favors Pu24 formation at NHE III1 reducing nucleolin occupancy and driving quadruplex unfolding to initiate transcription. NM23-H2 further promotes hnRNPK deposition across NHE III1 altering Pu27 plasticity that finally enriches the nucleolin abundance to drive Pu22 formation and weaken NM23-H2 binding to extinguish transcription. This mechanism involves three positive feedback loops (NM23-H2-hnRNPK, NM23-H2-CNBP, and hnRNPK-nucleolin) and one negative feedback loop (NM23-H2-nucleolin) controlling optimal turnover and residence time of TFs at Pu27 to homeostatically regulate c-MYC transcription.","author":[{"dropping-particle":"","family":"Sengupta","given":"Pallabi","non-dropping-particle":"","parse-names":false,"suffix":""},{"dropping-particle":"","family":"Bhattacharya","given":"Apoorva","non-dropping-particle":"","parse-names":false,"suffix":""},{"dropping-particle":"","family":"Sa","given":"Gaurisankar","non-dropping-particle":"","parse-names":false,"suffix":""},{"dropping-particle":"","family":"Das","given":"Tanya","non-dropping-particle":"","parse-names":false,"suffix":""},{"dropping-particle":"","family":"Chatterjee","given":"Subhrangsu","non-dropping-particle":"","parse-names":false,"suffix":""}],"container-title":"Biochemistry","id":"ITEM-2","issue":"15","issued":{"date-parts":[["2019"]]},"page":"1975-1991","title":"Truncated G-Quadruplex Isomers Cross-Talk with the Transcription Factors to Maintain Homeostatic Equilibria in c-MYC Transcription","type":"article-journal","volume":"58"},"uris":["http://www.mendeley.com/documents/?uuid=aac15d2c-0e9a-4e61-a3bb-9d85c385fc5f"]},{"id":"ITEM-3","itemData":{"DOI":"10.1093/nar/gkz484","ISSN":"13624962","PMID":"31165881","abstract":"Double-stranded DNAs are usually present in the form of linear B-form double-helix with the base pairs of adenine (A) and thymine (T) or cytosine (C) and guanine (G), but G-rich DNA can form four-stranded G-quadruplex (G4) structures, which plays important roles in transcription, replication, translation and protection of telomeres. In this study, a RNA recognition motif (RRM)-containing protein, BmLARK, was identified and demonstrated to bind G4 structures in the promoters of a transcription factor BmPOUM2 and other three unidentified genes of Bombyx mori, as well as three well-defined G4 structures in the human genes. Homologous LARKs from Bombyx mori, Drosophila melanogaster, Mus musculus and Homo sapiens bound G4 structures in BmPOUM2 and other genes in B. mori and H. sapiens. Upon binding, LARK facilitated the formation and stability of the G4 structure, enhancing the transcription of target genes. The G4 structure was visualized in vivo in cells and testis from invertebrate B. mori and vertebrate Chinese hamster ovary (CHO) cells. The results of this study strongly suggest that LARK is a novel and conserved G4-binding protein and that the G4 structure may have developed into an elaborate epigenetic mechanism of gene transcription regulation during evolution.","author":[{"dropping-particle":"","family":"Niu","given":"Kangkang","non-dropping-particle":"","parse-names":false,"suffix":""},{"dropping-particle":"","family":"Xiang","given":"Lijun","non-dropping-particle":"","parse-names":false,"suffix":""},{"dropping-particle":"","family":"Jin","given":"Ying","non-dropping-particle":"","parse-names":false,"suffix":""},{"dropping-particle":"","family":"Peng","given":"Yuling","non-dropping-particle":"","parse-names":false,"suffix":""},{"dropping-particle":"","family":"Wu","given":"Feng","non-dropping-particle":"","parse-names":false,"suffix":""},{"dropping-particle":"","family":"Tang","given":"Wenhuan","non-dropping-particle":"","parse-names":false,"suffix":""},{"dropping-particle":"","family":"Zhang","given":"Xiaojuan","non-dropping-particle":"","parse-names":false,"suffix":""},{"dropping-particle":"","family":"Deng","given":"Huimin","non-dropping-particle":"","parse-names":false,"suffix":""},{"dropping-particle":"","family":"Xiang","given":"Hui","non-dropping-particle":"","parse-names":false,"suffix":""},{"dropping-particle":"","family":"Li","given":"Sheng","non-dropping-particle":"","parse-names":false,"suffix":""},{"dropping-particle":"","family":"Wang","given":"Jian","non-dropping-particle":"","parse-names":false,"suffix":""},{"dropping-particle":"","family":"Song","given":"Qisheng","non-dropping-particle":"","parse-names":false,"suffix":""},{"dropping-particle":"","family":"Feng","given":"Qili","non-dropping-particle":"","parse-names":false,"suffix":""}],"container-title":"Nucleic acids research","id":"ITEM-3","issue":"14","issued":{"date-parts":[["2019"]]},"page":"7306-7320","title":"Identification of LARK as a novel and conserved G-quadruplex binding protein in invertebrates and vertebrates","type":"article-journal","volume":"47"},"uris":["http://www.mendeley.com/documents/?uuid=24d3d6b2-79f6-48b2-8cd0-c58844e25569"]}],"mendeley":{"formattedCitation":"[8–10]","plainTextFormattedCitation":"[8–10]","previouslyFormattedCitation":"[8–10]"},"properties":{"noteIndex":0},"schema":"https://github.com/citation-style-language/schema/raw/master/csl-citation.json"}</w:instrText>
      </w:r>
      <w:r w:rsidRPr="005D328C">
        <w:rPr>
          <w:rFonts w:ascii="Times New Roman" w:eastAsia="Times New Roman" w:hAnsi="Times New Roman"/>
          <w:color w:val="2E74B5"/>
          <w:sz w:val="22"/>
          <w:szCs w:val="22"/>
        </w:rPr>
        <w:fldChar w:fldCharType="separate"/>
      </w:r>
      <w:r w:rsidRPr="005D328C">
        <w:rPr>
          <w:rFonts w:ascii="Times New Roman" w:eastAsia="Times New Roman" w:hAnsi="Times New Roman"/>
          <w:color w:val="2E74B5"/>
          <w:sz w:val="22"/>
          <w:szCs w:val="22"/>
        </w:rPr>
        <w:t>[8–10]</w:t>
      </w:r>
      <w:r w:rsidRPr="005D328C">
        <w:rPr>
          <w:rFonts w:ascii="Times New Roman" w:eastAsia="Times New Roman" w:hAnsi="Times New Roman"/>
          <w:color w:val="2E74B5"/>
          <w:sz w:val="22"/>
          <w:szCs w:val="22"/>
        </w:rPr>
        <w:fldChar w:fldCharType="end"/>
      </w:r>
      <w:r w:rsidRPr="005D328C">
        <w:rPr>
          <w:rFonts w:ascii="Times New Roman" w:eastAsia="Times New Roman" w:hAnsi="Times New Roman"/>
          <w:color w:val="2E74B5"/>
          <w:sz w:val="22"/>
          <w:szCs w:val="22"/>
        </w:rPr>
        <w:t xml:space="preserve">, though it is also possible that G4s interact directly with subunits of RNA Pol II </w:t>
      </w:r>
      <w:r w:rsidRPr="005D328C">
        <w:rPr>
          <w:rFonts w:ascii="Times New Roman" w:eastAsia="Times New Roman" w:hAnsi="Times New Roman"/>
          <w:color w:val="2E74B5"/>
          <w:sz w:val="22"/>
          <w:szCs w:val="22"/>
        </w:rPr>
        <w:fldChar w:fldCharType="begin" w:fldLock="1"/>
      </w:r>
      <w:r w:rsidRPr="005D328C">
        <w:rPr>
          <w:rFonts w:ascii="Times New Roman" w:eastAsia="Times New Roman" w:hAnsi="Times New Roman"/>
          <w:color w:val="2E74B5"/>
          <w:sz w:val="22"/>
          <w:szCs w:val="22"/>
        </w:rPr>
        <w:instrText>ADDIN CSL_CITATION {"citationItems":[{"id":"ITEM-1","itemData":{"DOI":"10.1038/s41467-018-04084-0","ISSN":"20411723","abstract":"Interaction proteomics studies have provided fundamental insights into multimeric biomolecular assemblies and cell-scale molecular networks. Significant recent developments in mass spectrometry-based interaction proteomics have been fueled by rapid advances in label-free, isotopic, and isobaric quantitation workflows. Here, we report a quantitative protein-DNA and protein-nucleosome binding assay that uses affinity purifications from nuclear extracts coupled with isobaric chemical labeling and mass spectrometry to quantify apparent binding affinities proteome-wide. We use this assay with a variety of DNA and nucleosome baits to quantify apparent binding affinities of monomeric and multimeric transcription factors and chromatin remodeling complexes.","author":[{"dropping-particle":"","family":"Makowski","given":"Matthew M.","non-dropping-particle":"","parse-names":false,"suffix":""},{"dropping-particle":"","family":"Gräwe","given":"Cathrin","non-dropping-particle":"","parse-names":false,"suffix":""},{"dropping-particle":"","family":"Foster","given":"Benjamin M.","non-dropping-particle":"","parse-names":false,"suffix":""},{"dropping-particle":"V.","family":"Nguyen","given":"Nhuong","non-dropping-particle":"","parse-names":false,"suffix":""},{"dropping-particle":"","family":"Bartke","given":"Till","non-dropping-particle":"","parse-names":false,"suffix":""},{"dropping-particle":"","family":"Vermeulen","given":"Michiel","non-dropping-particle":"","parse-names":false,"suffix":""}],"container-title":"Nature Communications","id":"ITEM-1","issued":{"date-parts":[["2018"]]},"page":"1653","title":"Global profiling of protein-DNA and protein-nucleosome binding affinities using quantitative mass spectrometry","type":"article-journal","volume":"9"},"uris":["http://www.mendeley.com/documents/?uuid=581697c0-260a-4f26-812c-1a4632c950c2"]}],"mendeley":{"formattedCitation":"[34]","plainTextFormattedCitation":"[34]","previouslyFormattedCitation":"[33]"},"properties":{"noteIndex":0},"schema":"https://github.com/citation-style-language/schema/raw/master/csl-citation.json"}</w:instrText>
      </w:r>
      <w:r w:rsidRPr="005D328C">
        <w:rPr>
          <w:rFonts w:ascii="Times New Roman" w:eastAsia="Times New Roman" w:hAnsi="Times New Roman"/>
          <w:color w:val="2E74B5"/>
          <w:sz w:val="22"/>
          <w:szCs w:val="22"/>
        </w:rPr>
        <w:fldChar w:fldCharType="separate"/>
      </w:r>
      <w:r w:rsidRPr="005D328C">
        <w:rPr>
          <w:rFonts w:ascii="Times New Roman" w:eastAsia="Times New Roman" w:hAnsi="Times New Roman"/>
          <w:color w:val="2E74B5"/>
          <w:sz w:val="22"/>
          <w:szCs w:val="22"/>
        </w:rPr>
        <w:t>[34]</w:t>
      </w:r>
      <w:r w:rsidRPr="005D328C">
        <w:rPr>
          <w:rFonts w:ascii="Times New Roman" w:eastAsia="Times New Roman" w:hAnsi="Times New Roman"/>
          <w:color w:val="2E74B5"/>
          <w:sz w:val="22"/>
          <w:szCs w:val="22"/>
        </w:rPr>
        <w:fldChar w:fldCharType="end"/>
      </w:r>
      <w:r w:rsidRPr="005D328C">
        <w:rPr>
          <w:rFonts w:ascii="Times New Roman" w:eastAsia="Times New Roman" w:hAnsi="Times New Roman"/>
          <w:color w:val="2E74B5"/>
          <w:sz w:val="22"/>
          <w:szCs w:val="22"/>
        </w:rPr>
        <w:t>.”</w:t>
      </w:r>
    </w:p>
    <w:p w:rsidR="005D328C" w:rsidRPr="005D328C" w:rsidRDefault="005D328C" w:rsidP="005D328C">
      <w:pPr>
        <w:pStyle w:val="ListParagraph"/>
        <w:spacing w:line="360" w:lineRule="auto"/>
        <w:ind w:left="284"/>
        <w:jc w:val="both"/>
        <w:rPr>
          <w:rFonts w:ascii="Times New Roman" w:eastAsia="Times New Roman" w:hAnsi="Times New Roman"/>
          <w:color w:val="2E74B5"/>
          <w:sz w:val="22"/>
          <w:szCs w:val="22"/>
        </w:rPr>
      </w:pPr>
    </w:p>
    <w:p w:rsidR="005D328C" w:rsidRPr="005D328C" w:rsidRDefault="005D328C" w:rsidP="005D328C">
      <w:pPr>
        <w:pStyle w:val="ListParagraph"/>
        <w:spacing w:line="360" w:lineRule="auto"/>
        <w:ind w:left="284"/>
        <w:jc w:val="both"/>
        <w:rPr>
          <w:rFonts w:ascii="Times New Roman" w:eastAsia="Times New Roman" w:hAnsi="Times New Roman"/>
          <w:color w:val="2E74B5"/>
          <w:sz w:val="22"/>
          <w:szCs w:val="22"/>
        </w:rPr>
      </w:pPr>
      <w:r w:rsidRPr="005D328C">
        <w:rPr>
          <w:rFonts w:ascii="Times New Roman" w:eastAsia="Times New Roman" w:hAnsi="Times New Roman"/>
          <w:color w:val="2E74B5"/>
          <w:sz w:val="22"/>
          <w:szCs w:val="22"/>
        </w:rPr>
        <w:t xml:space="preserve">In our experiments, the presence of </w:t>
      </w:r>
      <w:proofErr w:type="spellStart"/>
      <w:r w:rsidRPr="005D328C">
        <w:rPr>
          <w:rFonts w:ascii="Times New Roman" w:eastAsia="Times New Roman" w:hAnsi="Times New Roman"/>
          <w:color w:val="2E74B5"/>
          <w:sz w:val="22"/>
          <w:szCs w:val="22"/>
        </w:rPr>
        <w:t>pyPDS</w:t>
      </w:r>
      <w:proofErr w:type="spellEnd"/>
      <w:r w:rsidRPr="005D328C">
        <w:rPr>
          <w:rFonts w:ascii="Times New Roman" w:eastAsia="Times New Roman" w:hAnsi="Times New Roman"/>
          <w:color w:val="2E74B5"/>
          <w:sz w:val="22"/>
          <w:szCs w:val="22"/>
        </w:rPr>
        <w:t xml:space="preserve"> has allowed retention of Pol II at promoter G4s, which suggests that ligand binding does not perturb Pol II occupancy. The general impact of ligand binding on G4-protein interactions has not been systematically explored, but several reports provide evidence that small molecules can co-bind to G4 structures without perturbing protein interactions (</w:t>
      </w:r>
      <w:proofErr w:type="spellStart"/>
      <w:r w:rsidRPr="005D328C">
        <w:rPr>
          <w:rFonts w:ascii="Times New Roman" w:eastAsia="Times New Roman" w:hAnsi="Times New Roman"/>
          <w:color w:val="2E74B5"/>
          <w:sz w:val="22"/>
          <w:szCs w:val="22"/>
        </w:rPr>
        <w:t>doi</w:t>
      </w:r>
      <w:proofErr w:type="spellEnd"/>
      <w:r w:rsidRPr="005D328C">
        <w:rPr>
          <w:rFonts w:ascii="Times New Roman" w:eastAsia="Times New Roman" w:hAnsi="Times New Roman"/>
          <w:color w:val="2E74B5"/>
          <w:sz w:val="22"/>
          <w:szCs w:val="22"/>
        </w:rPr>
        <w:t xml:space="preserve">: </w:t>
      </w:r>
      <w:r w:rsidRPr="005D328C">
        <w:rPr>
          <w:rFonts w:ascii="Tahoma" w:eastAsia="Times New Roman" w:hAnsi="Tahoma" w:cs="Tahoma"/>
          <w:color w:val="2E74B5"/>
          <w:sz w:val="22"/>
          <w:szCs w:val="22"/>
        </w:rPr>
        <w:t>﻿</w:t>
      </w:r>
      <w:r w:rsidRPr="005D328C">
        <w:rPr>
          <w:rFonts w:ascii="Times New Roman" w:eastAsia="Times New Roman" w:hAnsi="Times New Roman"/>
          <w:color w:val="2E74B5"/>
          <w:sz w:val="22"/>
          <w:szCs w:val="22"/>
        </w:rPr>
        <w:t xml:space="preserve">10.1021/jacs.0c10792, doi.org/10.1073/pnas.1603724113, </w:t>
      </w:r>
      <w:proofErr w:type="spellStart"/>
      <w:r w:rsidRPr="005D328C">
        <w:rPr>
          <w:rFonts w:ascii="Times New Roman" w:eastAsia="Times New Roman" w:hAnsi="Times New Roman"/>
          <w:color w:val="2E74B5"/>
          <w:sz w:val="22"/>
          <w:szCs w:val="22"/>
        </w:rPr>
        <w:t>doi</w:t>
      </w:r>
      <w:proofErr w:type="spellEnd"/>
      <w:r w:rsidRPr="005D328C">
        <w:rPr>
          <w:rFonts w:ascii="Times New Roman" w:eastAsia="Times New Roman" w:hAnsi="Times New Roman"/>
          <w:color w:val="2E74B5"/>
          <w:sz w:val="22"/>
          <w:szCs w:val="22"/>
        </w:rPr>
        <w:t xml:space="preserve">: </w:t>
      </w:r>
      <w:r w:rsidRPr="005D328C">
        <w:rPr>
          <w:rFonts w:ascii="Tahoma" w:eastAsia="Times New Roman" w:hAnsi="Tahoma" w:cs="Tahoma"/>
          <w:color w:val="2E74B5"/>
          <w:sz w:val="22"/>
          <w:szCs w:val="22"/>
        </w:rPr>
        <w:t>﻿</w:t>
      </w:r>
      <w:r w:rsidRPr="005D328C">
        <w:rPr>
          <w:rFonts w:ascii="Times New Roman" w:eastAsia="Times New Roman" w:hAnsi="Times New Roman"/>
          <w:color w:val="2E74B5"/>
          <w:sz w:val="22"/>
          <w:szCs w:val="22"/>
        </w:rPr>
        <w:t>10.1093/</w:t>
      </w:r>
      <w:proofErr w:type="spellStart"/>
      <w:r w:rsidRPr="005D328C">
        <w:rPr>
          <w:rFonts w:ascii="Times New Roman" w:eastAsia="Times New Roman" w:hAnsi="Times New Roman"/>
          <w:color w:val="2E74B5"/>
          <w:sz w:val="22"/>
          <w:szCs w:val="22"/>
        </w:rPr>
        <w:t>nar</w:t>
      </w:r>
      <w:proofErr w:type="spellEnd"/>
      <w:r w:rsidRPr="005D328C">
        <w:rPr>
          <w:rFonts w:ascii="Times New Roman" w:eastAsia="Times New Roman" w:hAnsi="Times New Roman"/>
          <w:color w:val="2E74B5"/>
          <w:sz w:val="22"/>
          <w:szCs w:val="22"/>
        </w:rPr>
        <w:t xml:space="preserve">/gkv051 and </w:t>
      </w:r>
      <w:proofErr w:type="spellStart"/>
      <w:r w:rsidRPr="005D328C">
        <w:rPr>
          <w:rFonts w:ascii="Times New Roman" w:eastAsia="Times New Roman" w:hAnsi="Times New Roman"/>
          <w:color w:val="2E74B5"/>
          <w:sz w:val="22"/>
          <w:szCs w:val="22"/>
        </w:rPr>
        <w:t>doi</w:t>
      </w:r>
      <w:proofErr w:type="spellEnd"/>
      <w:r w:rsidRPr="005D328C">
        <w:rPr>
          <w:rFonts w:ascii="Times New Roman" w:eastAsia="Times New Roman" w:hAnsi="Times New Roman"/>
          <w:color w:val="2E74B5"/>
          <w:sz w:val="22"/>
          <w:szCs w:val="22"/>
        </w:rPr>
        <w:t>: 10.1002/anie.201408113).</w:t>
      </w:r>
    </w:p>
    <w:p w:rsidR="005D328C" w:rsidRPr="005D328C" w:rsidRDefault="005D328C" w:rsidP="005D328C">
      <w:pPr>
        <w:pStyle w:val="ListParagraph"/>
        <w:spacing w:line="360" w:lineRule="auto"/>
        <w:ind w:left="284"/>
        <w:jc w:val="both"/>
        <w:rPr>
          <w:rFonts w:ascii="Times New Roman" w:eastAsia="Times New Roman" w:hAnsi="Times New Roman"/>
          <w:color w:val="2E74B5"/>
          <w:sz w:val="22"/>
          <w:szCs w:val="22"/>
        </w:rPr>
      </w:pPr>
    </w:p>
    <w:p w:rsidR="005D328C" w:rsidRPr="005D328C" w:rsidRDefault="005D328C" w:rsidP="005D328C">
      <w:pPr>
        <w:spacing w:line="360" w:lineRule="auto"/>
        <w:jc w:val="both"/>
        <w:rPr>
          <w:rFonts w:ascii="Times New Roman" w:eastAsia="Times New Roman" w:hAnsi="Times New Roman" w:cs="Times New Roman"/>
          <w:color w:val="000000"/>
        </w:rPr>
      </w:pPr>
      <w:r w:rsidRPr="005D328C">
        <w:rPr>
          <w:rFonts w:ascii="Times New Roman" w:eastAsia="Times New Roman" w:hAnsi="Times New Roman" w:cs="Times New Roman"/>
          <w:color w:val="000000"/>
        </w:rPr>
        <w:t>Reviewer #2:</w:t>
      </w:r>
    </w:p>
    <w:p w:rsidR="005D328C" w:rsidRPr="005D328C" w:rsidRDefault="005D328C" w:rsidP="005D328C">
      <w:pPr>
        <w:pStyle w:val="ListParagraph"/>
        <w:numPr>
          <w:ilvl w:val="0"/>
          <w:numId w:val="1"/>
        </w:numPr>
        <w:spacing w:line="360" w:lineRule="auto"/>
        <w:ind w:left="284" w:hanging="284"/>
        <w:jc w:val="both"/>
        <w:rPr>
          <w:rFonts w:ascii="Times New Roman" w:eastAsia="Times New Roman" w:hAnsi="Times New Roman"/>
          <w:color w:val="000000"/>
          <w:sz w:val="22"/>
          <w:szCs w:val="22"/>
        </w:rPr>
      </w:pPr>
      <w:r w:rsidRPr="005D328C">
        <w:rPr>
          <w:rFonts w:ascii="Times New Roman" w:eastAsia="Times New Roman" w:hAnsi="Times New Roman"/>
          <w:color w:val="000000"/>
          <w:sz w:val="22"/>
          <w:szCs w:val="22"/>
        </w:rPr>
        <w:t>Minor concerns: The Background section is clear, accurately describing the current answers and hypothesis in the research field. The references have been properly selected; however, I recommend including a work on the role of CNBP in G4-folding recently appeared in Nucleic Acids Research (</w:t>
      </w:r>
      <w:proofErr w:type="spellStart"/>
      <w:r w:rsidRPr="005D328C">
        <w:rPr>
          <w:rFonts w:ascii="Times New Roman" w:eastAsia="Times New Roman" w:hAnsi="Times New Roman"/>
          <w:color w:val="000000"/>
          <w:sz w:val="22"/>
          <w:szCs w:val="22"/>
        </w:rPr>
        <w:t>doi</w:t>
      </w:r>
      <w:proofErr w:type="spellEnd"/>
      <w:r w:rsidRPr="005D328C">
        <w:rPr>
          <w:rFonts w:ascii="Times New Roman" w:eastAsia="Times New Roman" w:hAnsi="Times New Roman"/>
          <w:color w:val="000000"/>
          <w:sz w:val="22"/>
          <w:szCs w:val="22"/>
        </w:rPr>
        <w:t>: 10.1093/</w:t>
      </w:r>
      <w:proofErr w:type="spellStart"/>
      <w:r w:rsidRPr="005D328C">
        <w:rPr>
          <w:rFonts w:ascii="Times New Roman" w:eastAsia="Times New Roman" w:hAnsi="Times New Roman"/>
          <w:color w:val="000000"/>
          <w:sz w:val="22"/>
          <w:szCs w:val="22"/>
        </w:rPr>
        <w:t>nar</w:t>
      </w:r>
      <w:proofErr w:type="spellEnd"/>
      <w:r w:rsidRPr="005D328C">
        <w:rPr>
          <w:rFonts w:ascii="Times New Roman" w:eastAsia="Times New Roman" w:hAnsi="Times New Roman"/>
          <w:color w:val="000000"/>
          <w:sz w:val="22"/>
          <w:szCs w:val="22"/>
        </w:rPr>
        <w:t>/gkz527).</w:t>
      </w:r>
    </w:p>
    <w:p w:rsidR="005D328C" w:rsidRPr="005D328C" w:rsidRDefault="005D328C" w:rsidP="005D328C">
      <w:pPr>
        <w:pStyle w:val="ListParagraph"/>
        <w:spacing w:line="360" w:lineRule="auto"/>
        <w:ind w:left="284"/>
        <w:jc w:val="both"/>
        <w:rPr>
          <w:rFonts w:ascii="Times New Roman" w:eastAsia="Times New Roman" w:hAnsi="Times New Roman"/>
          <w:color w:val="2E74B5"/>
          <w:sz w:val="22"/>
          <w:szCs w:val="22"/>
        </w:rPr>
      </w:pPr>
      <w:r w:rsidRPr="005D328C">
        <w:rPr>
          <w:rFonts w:ascii="Times New Roman" w:eastAsia="Times New Roman" w:hAnsi="Times New Roman"/>
          <w:color w:val="2E74B5"/>
          <w:sz w:val="22"/>
          <w:szCs w:val="22"/>
        </w:rPr>
        <w:t>We now include the mentioned work in the Background section on page 3, line 45-47 to state: “</w:t>
      </w:r>
      <w:r w:rsidRPr="005D328C">
        <w:rPr>
          <w:rFonts w:ascii="Times New Roman" w:hAnsi="Times New Roman"/>
          <w:color w:val="2E74B5"/>
          <w:sz w:val="22"/>
          <w:szCs w:val="22"/>
        </w:rPr>
        <w:t xml:space="preserve">Alternatively, TF recruitment to G4s could enhance transcription by unfolding the G4 structure, as has been suggested for CNBP </w:t>
      </w:r>
      <w:r w:rsidRPr="005D328C">
        <w:rPr>
          <w:rFonts w:ascii="Times New Roman" w:hAnsi="Times New Roman"/>
          <w:color w:val="2E74B5"/>
          <w:sz w:val="22"/>
          <w:szCs w:val="22"/>
        </w:rPr>
        <w:fldChar w:fldCharType="begin" w:fldLock="1"/>
      </w:r>
      <w:r w:rsidRPr="005D328C">
        <w:rPr>
          <w:rFonts w:ascii="Times New Roman" w:hAnsi="Times New Roman"/>
          <w:color w:val="2E74B5"/>
          <w:sz w:val="22"/>
          <w:szCs w:val="22"/>
        </w:rPr>
        <w:instrText>ADDIN CSL_CITATION {"citationItems":[{"id":"ITEM-1","itemData":{"DOI":"10.1093/nar/gkz527","ISSN":"13624962","PMID":"31219592","abstract":"Guanine-rich DNA strands can fold into non-canonical four-stranded secondary structures named G-quadruplexes (G4). Experimental evidences suggest that G4-DNA surrounding transcription start sites act as cis-regulatory elements by either stimulating or inhibiting gene transcription. Therefore, proteins able to target and regulate specific G4 formation/unfolding are crucial for G4-mediated transcriptional control. Here we present data revealing that CNBP acts in vitro as a G4-unfolding protein over a tetramolecular G4 formed by the TG4T oligonucleotide, as well as over the G4 folded in the promoters of several oncogenes. CNBP depletion in cellulo led to a reduction in the transcription of endogenous KRAS, suggesting a regulatory role of CNBP in relieving the transcriptional abrogation due to G4 formation. CNBP activity was also assayed over the evolutionary conserved G4 enhancing the transcription of NOGGIN (NOG) developmental gene. CNBP unfolded in vitro NOG G4 and experiments performed in cellulo and in vivo in developing zebrafish showed a repressive role of CNBP on the transcription of this gene by G4 unwinding. Our results shed light on the mechanisms underlying CNBP way of action, as well as reinforce the notion about the existence and function of G4s in whole living organisms.","author":[{"dropping-particle":"","family":"David","given":"Aldana P.","non-dropping-particle":"","parse-names":false,"suffix":""},{"dropping-particle":"","family":"Pipier","given":"Angélique","non-dropping-particle":"","parse-names":false,"suffix":""},{"dropping-particle":"","family":"Pascutti","given":"Federico","non-dropping-particle":"","parse-names":false,"suffix":""},{"dropping-particle":"","family":"Binolfi","given":"Andrés","non-dropping-particle":"","parse-names":false,"suffix":""},{"dropping-particle":"","family":"Weiner","given":"Andrea M.J.","non-dropping-particle":"","parse-names":false,"suffix":""},{"dropping-particle":"","family":"Challier","given":"Emilse","non-dropping-particle":"","parse-names":false,"suffix":""},{"dropping-particle":"","family":"Heckel","given":"Sofía","non-dropping-particle":"","parse-names":false,"suffix":""},{"dropping-particle":"","family":"Calsou","given":"Patrick","non-dropping-particle":"","parse-names":false,"suffix":""},{"dropping-particle":"","family":"Gomez","given":"Dennis","non-dropping-particle":"","parse-names":false,"suffix":""},{"dropping-particle":"","family":"Calcaterra","given":"Nora B.","non-dropping-particle":"","parse-names":false,"suffix":""},{"dropping-particle":"","family":"Armas","given":"Pablo","non-dropping-particle":"","parse-names":false,"suffix":""}],"container-title":"Nucleic Acids Research","id":"ITEM-1","issue":"15","issued":{"date-parts":[["2019"]]},"page":"7901-7913","title":"CNBP controls transcription by unfolding DNA G-quadruplex structures","type":"article-journal","volume":"47"},"uris":["http://www.mendeley.com/documents/?uuid=53e46645-9cb6-4551-b279-d83e8a6dd7e7"]}],"mendeley":{"formattedCitation":"[11]","plainTextFormattedCitation":"[11]"},"properties":{"noteIndex":0},"schema":"https://github.com/citation-style-language/schema/raw/master/csl-citation.json"}</w:instrText>
      </w:r>
      <w:r w:rsidRPr="005D328C">
        <w:rPr>
          <w:rFonts w:ascii="Times New Roman" w:hAnsi="Times New Roman"/>
          <w:color w:val="2E74B5"/>
          <w:sz w:val="22"/>
          <w:szCs w:val="22"/>
        </w:rPr>
        <w:fldChar w:fldCharType="separate"/>
      </w:r>
      <w:r w:rsidRPr="005D328C">
        <w:rPr>
          <w:rFonts w:ascii="Times New Roman" w:hAnsi="Times New Roman"/>
          <w:noProof/>
          <w:color w:val="2E74B5"/>
          <w:sz w:val="22"/>
          <w:szCs w:val="22"/>
        </w:rPr>
        <w:t>[11]</w:t>
      </w:r>
      <w:r w:rsidRPr="005D328C">
        <w:rPr>
          <w:rFonts w:ascii="Times New Roman" w:hAnsi="Times New Roman"/>
          <w:color w:val="2E74B5"/>
          <w:sz w:val="22"/>
          <w:szCs w:val="22"/>
        </w:rPr>
        <w:fldChar w:fldCharType="end"/>
      </w:r>
      <w:r w:rsidRPr="005D328C">
        <w:rPr>
          <w:rFonts w:ascii="Times New Roman" w:hAnsi="Times New Roman"/>
          <w:color w:val="2E74B5"/>
          <w:sz w:val="22"/>
          <w:szCs w:val="22"/>
        </w:rPr>
        <w:t>.”</w:t>
      </w:r>
    </w:p>
    <w:p w:rsidR="005D328C" w:rsidRPr="005D328C" w:rsidRDefault="005D328C" w:rsidP="005D328C">
      <w:pPr>
        <w:pStyle w:val="ListParagraph"/>
        <w:spacing w:line="360" w:lineRule="auto"/>
        <w:ind w:left="284"/>
        <w:jc w:val="both"/>
        <w:rPr>
          <w:rFonts w:ascii="Times New Roman" w:eastAsia="Times New Roman" w:hAnsi="Times New Roman"/>
          <w:color w:val="000000"/>
          <w:sz w:val="22"/>
          <w:szCs w:val="22"/>
        </w:rPr>
      </w:pPr>
    </w:p>
    <w:p w:rsidR="005D328C" w:rsidRPr="005D328C" w:rsidRDefault="005D328C" w:rsidP="005D328C">
      <w:pPr>
        <w:pStyle w:val="ListParagraph"/>
        <w:numPr>
          <w:ilvl w:val="0"/>
          <w:numId w:val="1"/>
        </w:numPr>
        <w:spacing w:line="360" w:lineRule="auto"/>
        <w:ind w:left="284" w:hanging="284"/>
        <w:jc w:val="both"/>
        <w:rPr>
          <w:rFonts w:ascii="Times New Roman" w:eastAsia="Times New Roman" w:hAnsi="Times New Roman"/>
          <w:color w:val="000000"/>
          <w:sz w:val="22"/>
          <w:szCs w:val="22"/>
        </w:rPr>
      </w:pPr>
      <w:r w:rsidRPr="005D328C">
        <w:rPr>
          <w:rFonts w:ascii="Times New Roman" w:eastAsia="Times New Roman" w:hAnsi="Times New Roman"/>
          <w:color w:val="000000"/>
          <w:sz w:val="22"/>
          <w:szCs w:val="22"/>
        </w:rPr>
        <w:t xml:space="preserve">Regarding the results: K562 human chronic </w:t>
      </w:r>
      <w:proofErr w:type="spellStart"/>
      <w:r w:rsidRPr="005D328C">
        <w:rPr>
          <w:rFonts w:ascii="Times New Roman" w:eastAsia="Times New Roman" w:hAnsi="Times New Roman"/>
          <w:color w:val="000000"/>
          <w:sz w:val="22"/>
          <w:szCs w:val="22"/>
        </w:rPr>
        <w:t>myelogenous</w:t>
      </w:r>
      <w:proofErr w:type="spellEnd"/>
      <w:r w:rsidRPr="005D328C">
        <w:rPr>
          <w:rFonts w:ascii="Times New Roman" w:eastAsia="Times New Roman" w:hAnsi="Times New Roman"/>
          <w:color w:val="000000"/>
          <w:sz w:val="22"/>
          <w:szCs w:val="22"/>
        </w:rPr>
        <w:t xml:space="preserve"> leukaemia cell line was used as a model system. Obtaining similar results in other cell lines may possibly strengthen the conclusions. Indeed, as authors mentioned, adenocarcinoma cells do not show G4 alterations following TPL treatment.</w:t>
      </w:r>
    </w:p>
    <w:p w:rsidR="005D328C" w:rsidRPr="005D328C" w:rsidRDefault="005D328C" w:rsidP="005D328C">
      <w:pPr>
        <w:pStyle w:val="ListParagraph"/>
        <w:spacing w:line="360" w:lineRule="auto"/>
        <w:ind w:left="284"/>
        <w:jc w:val="both"/>
        <w:rPr>
          <w:rFonts w:ascii="Times New Roman" w:eastAsia="Times New Roman" w:hAnsi="Times New Roman"/>
          <w:color w:val="2E74B5"/>
          <w:sz w:val="22"/>
          <w:szCs w:val="22"/>
        </w:rPr>
      </w:pPr>
      <w:r w:rsidRPr="005D328C">
        <w:rPr>
          <w:rFonts w:ascii="Times New Roman" w:eastAsia="Times New Roman" w:hAnsi="Times New Roman"/>
          <w:color w:val="2E74B5"/>
          <w:sz w:val="22"/>
          <w:szCs w:val="22"/>
        </w:rPr>
        <w:t xml:space="preserve">We have carried out additional experiments and now provide additional experimental data confirming the loss of endogenous G4s following hypoxia-driven chromatin compaction in the human osteosarcoma cell line, U2OS. This strengthens our key conclusion that formation of promoter G4s is controlled by chromatin accessibility. We have appended these data as a new supplementary figure and added the following text on page 7, line 135-138: “We next validated the general principle of G4 loss upon hypoxia-associated chromatin compaction by using an additional unrelated cell line. Acute hypoxia in human osteosarcoma U2OS cells also induced chromatin compaction and led to a reduction of G4 signal intensity at promoters (p &lt; 0.05; 6,150/8,505 down, 72.3%; Supplementary Fig. 3).” </w:t>
      </w:r>
    </w:p>
    <w:p w:rsidR="005D328C" w:rsidRPr="005D328C" w:rsidRDefault="005D328C" w:rsidP="005D328C">
      <w:pPr>
        <w:spacing w:line="360" w:lineRule="auto"/>
        <w:jc w:val="both"/>
        <w:rPr>
          <w:rFonts w:ascii="Times New Roman" w:eastAsia="Times New Roman" w:hAnsi="Times New Roman" w:cs="Times New Roman"/>
          <w:color w:val="2E74B5"/>
        </w:rPr>
      </w:pPr>
    </w:p>
    <w:p w:rsidR="005D328C" w:rsidRPr="005D328C" w:rsidRDefault="005D328C" w:rsidP="005D328C">
      <w:pPr>
        <w:pStyle w:val="ListParagraph"/>
        <w:numPr>
          <w:ilvl w:val="0"/>
          <w:numId w:val="1"/>
        </w:numPr>
        <w:spacing w:line="360" w:lineRule="auto"/>
        <w:ind w:left="284" w:hanging="284"/>
        <w:jc w:val="both"/>
        <w:rPr>
          <w:rFonts w:ascii="Times New Roman" w:eastAsia="Times New Roman" w:hAnsi="Times New Roman"/>
          <w:color w:val="000000"/>
          <w:sz w:val="22"/>
          <w:szCs w:val="22"/>
        </w:rPr>
      </w:pPr>
      <w:r w:rsidRPr="005D328C">
        <w:rPr>
          <w:rFonts w:ascii="Times New Roman" w:eastAsia="Times New Roman" w:hAnsi="Times New Roman"/>
          <w:color w:val="000000"/>
          <w:sz w:val="22"/>
          <w:szCs w:val="22"/>
        </w:rPr>
        <w:t>Genome browser views for the ATXN1L and FSCN1 promoter G4s are shown in Fig. 3E. Why the authors did select these genes among many others? A brief argumentation regarding this issue might improve the work.</w:t>
      </w:r>
    </w:p>
    <w:p w:rsidR="005D328C" w:rsidRPr="005D328C" w:rsidRDefault="005D328C" w:rsidP="005D328C">
      <w:pPr>
        <w:pStyle w:val="ListParagraph"/>
        <w:spacing w:line="360" w:lineRule="auto"/>
        <w:ind w:left="284"/>
        <w:jc w:val="both"/>
        <w:rPr>
          <w:rFonts w:ascii="Times New Roman" w:eastAsia="Times New Roman" w:hAnsi="Times New Roman"/>
          <w:color w:val="2E74B5"/>
          <w:sz w:val="22"/>
          <w:szCs w:val="22"/>
        </w:rPr>
      </w:pPr>
      <w:r w:rsidRPr="005D328C">
        <w:rPr>
          <w:rFonts w:ascii="Times New Roman" w:eastAsia="Times New Roman" w:hAnsi="Times New Roman"/>
          <w:color w:val="2E74B5"/>
          <w:sz w:val="22"/>
          <w:szCs w:val="22"/>
        </w:rPr>
        <w:t xml:space="preserve">There was no particular reason for choosing </w:t>
      </w:r>
      <w:r w:rsidRPr="005D328C">
        <w:rPr>
          <w:rFonts w:ascii="Times New Roman" w:eastAsia="Times New Roman" w:hAnsi="Times New Roman"/>
          <w:i/>
          <w:iCs/>
          <w:color w:val="2E74B5"/>
          <w:sz w:val="22"/>
          <w:szCs w:val="22"/>
        </w:rPr>
        <w:t>ATXN1L</w:t>
      </w:r>
      <w:r w:rsidRPr="005D328C">
        <w:rPr>
          <w:rFonts w:ascii="Times New Roman" w:eastAsia="Times New Roman" w:hAnsi="Times New Roman"/>
          <w:color w:val="2E74B5"/>
          <w:sz w:val="22"/>
          <w:szCs w:val="22"/>
        </w:rPr>
        <w:t xml:space="preserve"> and </w:t>
      </w:r>
      <w:r w:rsidRPr="005D328C">
        <w:rPr>
          <w:rFonts w:ascii="Times New Roman" w:eastAsia="Times New Roman" w:hAnsi="Times New Roman"/>
          <w:i/>
          <w:iCs/>
          <w:color w:val="2E74B5"/>
          <w:sz w:val="22"/>
          <w:szCs w:val="22"/>
        </w:rPr>
        <w:t>FSCN1</w:t>
      </w:r>
      <w:r w:rsidRPr="005D328C">
        <w:rPr>
          <w:rFonts w:ascii="Times New Roman" w:eastAsia="Times New Roman" w:hAnsi="Times New Roman"/>
          <w:color w:val="2E74B5"/>
          <w:sz w:val="22"/>
          <w:szCs w:val="22"/>
        </w:rPr>
        <w:t xml:space="preserve">, which were simply representative examples. We have now replaced the </w:t>
      </w:r>
      <w:r w:rsidRPr="005D328C">
        <w:rPr>
          <w:rFonts w:ascii="Times New Roman" w:eastAsia="Times New Roman" w:hAnsi="Times New Roman"/>
          <w:i/>
          <w:iCs/>
          <w:color w:val="2E74B5"/>
          <w:sz w:val="22"/>
          <w:szCs w:val="22"/>
        </w:rPr>
        <w:t>ATXNL1</w:t>
      </w:r>
      <w:r w:rsidRPr="005D328C">
        <w:rPr>
          <w:rFonts w:ascii="Times New Roman" w:eastAsia="Times New Roman" w:hAnsi="Times New Roman"/>
          <w:color w:val="2E74B5"/>
          <w:sz w:val="22"/>
          <w:szCs w:val="22"/>
        </w:rPr>
        <w:t xml:space="preserve"> and </w:t>
      </w:r>
      <w:r w:rsidRPr="005D328C">
        <w:rPr>
          <w:rFonts w:ascii="Times New Roman" w:eastAsia="Times New Roman" w:hAnsi="Times New Roman"/>
          <w:i/>
          <w:iCs/>
          <w:color w:val="2E74B5"/>
          <w:sz w:val="22"/>
          <w:szCs w:val="22"/>
        </w:rPr>
        <w:t>FSCN1</w:t>
      </w:r>
      <w:r w:rsidRPr="005D328C">
        <w:rPr>
          <w:rFonts w:ascii="Times New Roman" w:eastAsia="Times New Roman" w:hAnsi="Times New Roman"/>
          <w:color w:val="2E74B5"/>
          <w:sz w:val="22"/>
          <w:szCs w:val="22"/>
        </w:rPr>
        <w:t xml:space="preserve"> with </w:t>
      </w:r>
      <w:r w:rsidRPr="005D328C">
        <w:rPr>
          <w:rFonts w:ascii="Times New Roman" w:eastAsia="Times New Roman" w:hAnsi="Times New Roman"/>
          <w:i/>
          <w:iCs/>
          <w:color w:val="2E74B5"/>
          <w:sz w:val="22"/>
          <w:szCs w:val="22"/>
        </w:rPr>
        <w:t>BRD4</w:t>
      </w:r>
      <w:r w:rsidRPr="005D328C">
        <w:rPr>
          <w:rFonts w:ascii="Times New Roman" w:eastAsia="Times New Roman" w:hAnsi="Times New Roman"/>
          <w:color w:val="2E74B5"/>
          <w:sz w:val="22"/>
          <w:szCs w:val="22"/>
        </w:rPr>
        <w:t xml:space="preserve"> and </w:t>
      </w:r>
      <w:r w:rsidRPr="005D328C">
        <w:rPr>
          <w:rFonts w:ascii="Times New Roman" w:eastAsia="Times New Roman" w:hAnsi="Times New Roman"/>
          <w:i/>
          <w:iCs/>
          <w:color w:val="2E74B5"/>
          <w:sz w:val="22"/>
          <w:szCs w:val="22"/>
        </w:rPr>
        <w:t xml:space="preserve">CBX1 </w:t>
      </w:r>
      <w:r w:rsidRPr="005D328C">
        <w:rPr>
          <w:rFonts w:ascii="Times New Roman" w:eastAsia="Times New Roman" w:hAnsi="Times New Roman"/>
          <w:color w:val="2E74B5"/>
          <w:sz w:val="22"/>
          <w:szCs w:val="22"/>
        </w:rPr>
        <w:t xml:space="preserve">in Fig. 3E as genes of particular interest that are involved in the regulation of chromatin. </w:t>
      </w:r>
      <w:proofErr w:type="spellStart"/>
      <w:r w:rsidRPr="005D328C">
        <w:rPr>
          <w:rFonts w:ascii="Times New Roman" w:eastAsia="Times New Roman" w:hAnsi="Times New Roman"/>
          <w:color w:val="2E74B5"/>
          <w:sz w:val="22"/>
          <w:szCs w:val="22"/>
        </w:rPr>
        <w:t>Bromodomain</w:t>
      </w:r>
      <w:proofErr w:type="spellEnd"/>
      <w:r w:rsidRPr="005D328C">
        <w:rPr>
          <w:rFonts w:ascii="Times New Roman" w:eastAsia="Times New Roman" w:hAnsi="Times New Roman"/>
          <w:color w:val="2E74B5"/>
          <w:sz w:val="22"/>
          <w:szCs w:val="22"/>
        </w:rPr>
        <w:t xml:space="preserve"> protein BRD4 recognises acetyl-lysine of histones and plays an important role in regulating transcription and chromatin (</w:t>
      </w:r>
      <w:proofErr w:type="spellStart"/>
      <w:r w:rsidRPr="005D328C">
        <w:rPr>
          <w:rFonts w:ascii="Times New Roman" w:eastAsia="Times New Roman" w:hAnsi="Times New Roman"/>
          <w:color w:val="2E74B5"/>
          <w:sz w:val="22"/>
          <w:szCs w:val="22"/>
        </w:rPr>
        <w:t>doi</w:t>
      </w:r>
      <w:proofErr w:type="spellEnd"/>
      <w:r w:rsidRPr="005D328C">
        <w:rPr>
          <w:rFonts w:ascii="Times New Roman" w:eastAsia="Times New Roman" w:hAnsi="Times New Roman"/>
          <w:color w:val="2E74B5"/>
          <w:sz w:val="22"/>
          <w:szCs w:val="22"/>
        </w:rPr>
        <w:t xml:space="preserve">: 10.1016/S0014-5793(01)03309-9; </w:t>
      </w:r>
      <w:proofErr w:type="spellStart"/>
      <w:r w:rsidRPr="005D328C">
        <w:rPr>
          <w:rFonts w:ascii="Times New Roman" w:eastAsia="Times New Roman" w:hAnsi="Times New Roman"/>
          <w:color w:val="2E74B5"/>
          <w:sz w:val="22"/>
          <w:szCs w:val="22"/>
        </w:rPr>
        <w:t>doi</w:t>
      </w:r>
      <w:proofErr w:type="spellEnd"/>
      <w:r w:rsidRPr="005D328C">
        <w:rPr>
          <w:rFonts w:ascii="Times New Roman" w:eastAsia="Times New Roman" w:hAnsi="Times New Roman"/>
          <w:color w:val="2E74B5"/>
          <w:sz w:val="22"/>
          <w:szCs w:val="22"/>
        </w:rPr>
        <w:t xml:space="preserve">: 10.1016/j.celrep.2018.10.003). CBX1 encodes non-histone protein </w:t>
      </w:r>
      <w:proofErr w:type="spellStart"/>
      <w:r w:rsidRPr="005D328C">
        <w:rPr>
          <w:rFonts w:ascii="Times New Roman" w:eastAsia="Times New Roman" w:hAnsi="Times New Roman"/>
          <w:color w:val="2E74B5"/>
          <w:sz w:val="22"/>
          <w:szCs w:val="22"/>
        </w:rPr>
        <w:t>Chromobox</w:t>
      </w:r>
      <w:proofErr w:type="spellEnd"/>
      <w:r w:rsidRPr="005D328C">
        <w:rPr>
          <w:rFonts w:ascii="Times New Roman" w:eastAsia="Times New Roman" w:hAnsi="Times New Roman"/>
          <w:color w:val="2E74B5"/>
          <w:sz w:val="22"/>
          <w:szCs w:val="22"/>
        </w:rPr>
        <w:t xml:space="preserve"> protein homolog 1, which is a component of heterochromatin proteins HP1 (</w:t>
      </w:r>
      <w:proofErr w:type="spellStart"/>
      <w:r w:rsidRPr="005D328C">
        <w:rPr>
          <w:rFonts w:ascii="Times New Roman" w:eastAsia="Times New Roman" w:hAnsi="Times New Roman"/>
          <w:color w:val="2E74B5"/>
          <w:sz w:val="22"/>
          <w:szCs w:val="22"/>
        </w:rPr>
        <w:t>doi</w:t>
      </w:r>
      <w:proofErr w:type="spellEnd"/>
      <w:r w:rsidRPr="005D328C">
        <w:rPr>
          <w:rFonts w:ascii="Times New Roman" w:eastAsia="Times New Roman" w:hAnsi="Times New Roman"/>
          <w:color w:val="2E74B5"/>
          <w:sz w:val="22"/>
          <w:szCs w:val="22"/>
        </w:rPr>
        <w:t xml:space="preserve">: </w:t>
      </w:r>
      <w:r w:rsidRPr="005D328C">
        <w:rPr>
          <w:rFonts w:ascii="Tahoma" w:eastAsia="Times New Roman" w:hAnsi="Tahoma" w:cs="Tahoma"/>
          <w:color w:val="2E74B5"/>
          <w:sz w:val="22"/>
          <w:szCs w:val="22"/>
        </w:rPr>
        <w:t>﻿</w:t>
      </w:r>
      <w:r w:rsidRPr="005D328C">
        <w:rPr>
          <w:rFonts w:ascii="Times New Roman" w:eastAsia="Times New Roman" w:hAnsi="Times New Roman"/>
          <w:color w:val="2E74B5"/>
          <w:sz w:val="22"/>
          <w:szCs w:val="22"/>
        </w:rPr>
        <w:t xml:space="preserve">10.1186/gb-2006-7-7-228). We have altered the results section to reflect this change on page 8, line 161-163 to state: “These findings are exemplified by genome browser views for the promoters of the chromatin regulators </w:t>
      </w:r>
      <w:r w:rsidRPr="005D328C">
        <w:rPr>
          <w:rFonts w:ascii="Times New Roman" w:eastAsia="Times New Roman" w:hAnsi="Times New Roman"/>
          <w:i/>
          <w:iCs/>
          <w:color w:val="2E74B5"/>
          <w:sz w:val="22"/>
          <w:szCs w:val="22"/>
        </w:rPr>
        <w:t>BRD4</w:t>
      </w:r>
      <w:r w:rsidRPr="005D328C">
        <w:rPr>
          <w:rFonts w:ascii="Times New Roman" w:eastAsia="Times New Roman" w:hAnsi="Times New Roman"/>
          <w:color w:val="2E74B5"/>
          <w:sz w:val="22"/>
          <w:szCs w:val="22"/>
        </w:rPr>
        <w:t xml:space="preserve"> and </w:t>
      </w:r>
      <w:r w:rsidRPr="005D328C">
        <w:rPr>
          <w:rFonts w:ascii="Times New Roman" w:eastAsia="Times New Roman" w:hAnsi="Times New Roman"/>
          <w:i/>
          <w:iCs/>
          <w:color w:val="2E74B5"/>
          <w:sz w:val="22"/>
          <w:szCs w:val="22"/>
        </w:rPr>
        <w:t>CBX1</w:t>
      </w:r>
      <w:r w:rsidRPr="005D328C">
        <w:rPr>
          <w:rFonts w:ascii="Times New Roman" w:eastAsia="Times New Roman" w:hAnsi="Times New Roman"/>
          <w:color w:val="2E74B5"/>
          <w:sz w:val="22"/>
          <w:szCs w:val="22"/>
        </w:rPr>
        <w:t xml:space="preserve"> (Fig. 3E).”</w:t>
      </w:r>
    </w:p>
    <w:p w:rsidR="005D328C" w:rsidRPr="005D328C" w:rsidRDefault="005D328C" w:rsidP="005D328C">
      <w:pPr>
        <w:spacing w:after="240" w:line="360" w:lineRule="auto"/>
        <w:rPr>
          <w:rFonts w:ascii="Times New Roman" w:eastAsia="Times New Roman" w:hAnsi="Times New Roman" w:cs="Times New Roman"/>
          <w:lang w:eastAsia="en-GB"/>
        </w:rPr>
      </w:pPr>
    </w:p>
    <w:p w:rsidR="005D328C" w:rsidRPr="005D328C" w:rsidRDefault="005D328C" w:rsidP="005D328C">
      <w:pPr>
        <w:spacing w:after="200" w:line="360" w:lineRule="auto"/>
        <w:rPr>
          <w:rFonts w:ascii="Times New Roman" w:eastAsia="Times New Roman" w:hAnsi="Times New Roman" w:cs="Times New Roman"/>
          <w:lang w:eastAsia="en-GB"/>
        </w:rPr>
      </w:pPr>
      <w:r w:rsidRPr="005D328C">
        <w:rPr>
          <w:rFonts w:ascii="Times New Roman" w:eastAsia="Times New Roman" w:hAnsi="Times New Roman" w:cs="Times New Roman"/>
          <w:b/>
          <w:bCs/>
          <w:color w:val="000000"/>
          <w:lang w:eastAsia="en-GB"/>
        </w:rPr>
        <w:t>Second round of review</w:t>
      </w:r>
    </w:p>
    <w:p w:rsidR="005D328C" w:rsidRPr="005D328C" w:rsidRDefault="005D328C" w:rsidP="005D328C">
      <w:pPr>
        <w:spacing w:after="200" w:line="360" w:lineRule="auto"/>
        <w:rPr>
          <w:rFonts w:ascii="Times New Roman" w:eastAsia="Times New Roman" w:hAnsi="Times New Roman" w:cs="Times New Roman"/>
          <w:b/>
          <w:bCs/>
          <w:color w:val="000000"/>
          <w:lang w:eastAsia="en-GB"/>
        </w:rPr>
      </w:pPr>
      <w:r w:rsidRPr="005D328C">
        <w:rPr>
          <w:rFonts w:ascii="Times New Roman" w:eastAsia="Times New Roman" w:hAnsi="Times New Roman" w:cs="Times New Roman"/>
          <w:b/>
          <w:bCs/>
          <w:color w:val="000000"/>
          <w:lang w:eastAsia="en-GB"/>
        </w:rPr>
        <w:t>Reviewer 1</w:t>
      </w:r>
    </w:p>
    <w:p w:rsidR="005D328C" w:rsidRPr="005D328C" w:rsidRDefault="005D328C" w:rsidP="005D328C">
      <w:pPr>
        <w:spacing w:after="200" w:line="360" w:lineRule="auto"/>
        <w:rPr>
          <w:rFonts w:ascii="Times New Roman" w:eastAsia="Times New Roman" w:hAnsi="Times New Roman" w:cs="Times New Roman"/>
          <w:lang w:eastAsia="en-GB"/>
        </w:rPr>
      </w:pPr>
      <w:r w:rsidRPr="005D328C">
        <w:rPr>
          <w:rFonts w:ascii="Times New Roman" w:eastAsia="Times New Roman" w:hAnsi="Times New Roman" w:cs="Times New Roman"/>
          <w:lang w:eastAsia="en-GB"/>
        </w:rPr>
        <w:t>The authors have not fully addressed my concerns. At the very least they should include the discussion of why they consider that chromatin compaction is the only thing affecting G4s when cells are hypoxic in the paper itself. In addition, the authors should make more comprehensive reference to other papers on the relationship between transcription and G4s.</w:t>
      </w:r>
    </w:p>
    <w:p w:rsidR="005D328C" w:rsidRPr="005D328C" w:rsidRDefault="005D328C" w:rsidP="005D328C">
      <w:pPr>
        <w:spacing w:after="200" w:line="360" w:lineRule="auto"/>
        <w:rPr>
          <w:rFonts w:ascii="Times New Roman" w:eastAsia="Times New Roman" w:hAnsi="Times New Roman" w:cs="Times New Roman"/>
          <w:lang w:eastAsia="en-GB"/>
        </w:rPr>
      </w:pPr>
      <w:r w:rsidRPr="005D328C">
        <w:rPr>
          <w:rFonts w:ascii="Times New Roman" w:eastAsia="Times New Roman" w:hAnsi="Times New Roman" w:cs="Times New Roman"/>
          <w:b/>
          <w:bCs/>
          <w:color w:val="000000"/>
          <w:lang w:eastAsia="en-GB"/>
        </w:rPr>
        <w:t>Reviewer 2</w:t>
      </w:r>
    </w:p>
    <w:p w:rsidR="005D328C" w:rsidRPr="005D328C" w:rsidRDefault="005D328C" w:rsidP="005D328C">
      <w:pPr>
        <w:spacing w:after="0" w:line="360" w:lineRule="auto"/>
        <w:rPr>
          <w:rFonts w:ascii="Times New Roman" w:eastAsia="Times New Roman" w:hAnsi="Times New Roman" w:cs="Times New Roman"/>
          <w:lang w:eastAsia="en-GB"/>
        </w:rPr>
      </w:pPr>
      <w:r w:rsidRPr="005D328C">
        <w:rPr>
          <w:rFonts w:ascii="Times New Roman" w:eastAsia="Times New Roman" w:hAnsi="Times New Roman" w:cs="Times New Roman"/>
          <w:lang w:eastAsia="en-GB"/>
        </w:rPr>
        <w:lastRenderedPageBreak/>
        <w:t>Most the concerns have been satisfactorily resolved.</w:t>
      </w:r>
    </w:p>
    <w:p w:rsidR="005D328C" w:rsidRPr="005D328C" w:rsidRDefault="005D328C" w:rsidP="005D328C">
      <w:pPr>
        <w:spacing w:after="0" w:line="360" w:lineRule="auto"/>
        <w:rPr>
          <w:rFonts w:ascii="Times New Roman" w:eastAsia="Times New Roman" w:hAnsi="Times New Roman" w:cs="Times New Roman"/>
          <w:lang w:eastAsia="en-GB"/>
        </w:rPr>
      </w:pPr>
    </w:p>
    <w:p w:rsidR="005D328C" w:rsidRPr="005D328C" w:rsidRDefault="005D328C" w:rsidP="005D328C">
      <w:pPr>
        <w:spacing w:after="0" w:line="360" w:lineRule="auto"/>
        <w:rPr>
          <w:rFonts w:ascii="Times New Roman" w:eastAsia="Times New Roman" w:hAnsi="Times New Roman" w:cs="Times New Roman"/>
          <w:lang w:eastAsia="en-GB"/>
        </w:rPr>
      </w:pPr>
      <w:r w:rsidRPr="005D328C">
        <w:rPr>
          <w:rFonts w:ascii="Times New Roman" w:eastAsia="Times New Roman" w:hAnsi="Times New Roman" w:cs="Times New Roman"/>
          <w:b/>
          <w:bCs/>
          <w:color w:val="000000"/>
          <w:lang w:eastAsia="en-GB"/>
        </w:rPr>
        <w:t>Authors Response</w:t>
      </w:r>
    </w:p>
    <w:p w:rsidR="005D328C" w:rsidRPr="005D328C" w:rsidRDefault="005D328C" w:rsidP="005D328C">
      <w:pPr>
        <w:spacing w:after="0" w:line="360" w:lineRule="auto"/>
        <w:rPr>
          <w:rFonts w:ascii="Times New Roman" w:eastAsia="Times New Roman" w:hAnsi="Times New Roman" w:cs="Times New Roman"/>
          <w:lang w:eastAsia="en-GB"/>
        </w:rPr>
      </w:pPr>
      <w:r w:rsidRPr="005D328C">
        <w:rPr>
          <w:rFonts w:ascii="Times New Roman" w:eastAsia="Times New Roman" w:hAnsi="Times New Roman" w:cs="Times New Roman"/>
          <w:b/>
          <w:bCs/>
          <w:color w:val="000000"/>
          <w:lang w:eastAsia="en-GB"/>
        </w:rPr>
        <w:t>Point-by-point responses to the reviewers’ comments:</w:t>
      </w:r>
      <w:r w:rsidRPr="005D328C">
        <w:rPr>
          <w:rFonts w:ascii="Times New Roman" w:eastAsia="Times New Roman" w:hAnsi="Times New Roman" w:cs="Times New Roman"/>
          <w:color w:val="000000"/>
          <w:lang w:eastAsia="en-GB"/>
        </w:rPr>
        <w:t> </w:t>
      </w:r>
    </w:p>
    <w:p w:rsidR="005D328C" w:rsidRPr="005D328C" w:rsidRDefault="005D328C" w:rsidP="005D328C">
      <w:pPr>
        <w:spacing w:line="360" w:lineRule="auto"/>
        <w:jc w:val="both"/>
        <w:rPr>
          <w:rFonts w:ascii="Times New Roman" w:eastAsia="Times New Roman" w:hAnsi="Times New Roman" w:cs="Times New Roman"/>
        </w:rPr>
      </w:pPr>
      <w:r w:rsidRPr="005D328C">
        <w:rPr>
          <w:rFonts w:ascii="Times New Roman" w:eastAsia="Times New Roman" w:hAnsi="Times New Roman" w:cs="Times New Roman"/>
        </w:rPr>
        <w:t>Reviewer 1:</w:t>
      </w:r>
    </w:p>
    <w:p w:rsidR="005D328C" w:rsidRPr="005D328C" w:rsidRDefault="005D328C" w:rsidP="005D328C">
      <w:pPr>
        <w:spacing w:line="360" w:lineRule="auto"/>
        <w:jc w:val="both"/>
        <w:rPr>
          <w:rFonts w:ascii="Times New Roman" w:eastAsia="Times New Roman" w:hAnsi="Times New Roman" w:cs="Times New Roman"/>
        </w:rPr>
      </w:pPr>
      <w:r w:rsidRPr="005D328C">
        <w:rPr>
          <w:rFonts w:ascii="Times New Roman" w:eastAsia="Times New Roman" w:hAnsi="Times New Roman" w:cs="Times New Roman"/>
          <w:lang w:eastAsia="en-GB"/>
        </w:rPr>
        <w:t>The authors have not fully addressed my concerns. At the very least they should include the discussion of why they consider that chromatin compaction is the only thing affecting G4s when cells are hypoxic in the paper itself. In addition, the authors should make more comprehensive reference to other papers on the relationship between transcription and G4s.</w:t>
      </w:r>
    </w:p>
    <w:p w:rsidR="005D328C" w:rsidRPr="005D328C" w:rsidRDefault="005D328C" w:rsidP="005D328C">
      <w:pPr>
        <w:spacing w:line="360" w:lineRule="auto"/>
        <w:ind w:left="284"/>
        <w:jc w:val="both"/>
        <w:rPr>
          <w:rFonts w:ascii="Times New Roman" w:eastAsia="Times New Roman" w:hAnsi="Times New Roman" w:cs="Times New Roman"/>
          <w:color w:val="2E74B5"/>
        </w:rPr>
      </w:pPr>
      <w:r w:rsidRPr="005D328C">
        <w:rPr>
          <w:rFonts w:ascii="Times New Roman" w:eastAsia="Times New Roman" w:hAnsi="Times New Roman" w:cs="Times New Roman"/>
          <w:color w:val="2E74B5"/>
        </w:rPr>
        <w:t xml:space="preserve">To address the referee’s concern, we now provide a more detailed discussion on page 9: “We use acute hypoxia to achieve rapid chromatin compaction with a short treatment time to circumvent non-specific or downstream effects on G4 formation. Endogenous G4 structures are only observed in accessible chromatin and chromatin relaxation by histone </w:t>
      </w:r>
      <w:proofErr w:type="spellStart"/>
      <w:r w:rsidRPr="005D328C">
        <w:rPr>
          <w:rFonts w:ascii="Times New Roman" w:eastAsia="Times New Roman" w:hAnsi="Times New Roman" w:cs="Times New Roman"/>
          <w:color w:val="2E74B5"/>
        </w:rPr>
        <w:t>deacetylation</w:t>
      </w:r>
      <w:proofErr w:type="spellEnd"/>
      <w:r w:rsidRPr="005D328C">
        <w:rPr>
          <w:rFonts w:ascii="Times New Roman" w:eastAsia="Times New Roman" w:hAnsi="Times New Roman" w:cs="Times New Roman"/>
          <w:color w:val="2E74B5"/>
        </w:rPr>
        <w:t xml:space="preserve"> leads to increased G4 folding </w:t>
      </w:r>
      <w:r w:rsidRPr="005D328C">
        <w:rPr>
          <w:rFonts w:ascii="Times New Roman" w:eastAsia="Times New Roman" w:hAnsi="Times New Roman" w:cs="Times New Roman"/>
          <w:color w:val="2E74B5"/>
        </w:rPr>
        <w:fldChar w:fldCharType="begin" w:fldLock="1"/>
      </w:r>
      <w:r w:rsidRPr="005D328C">
        <w:rPr>
          <w:rFonts w:ascii="Times New Roman" w:eastAsia="Times New Roman" w:hAnsi="Times New Roman" w:cs="Times New Roman"/>
          <w:color w:val="2E74B5"/>
        </w:rPr>
        <w:instrText>ADDIN CSL_CITATION {"citationItems":[{"id":"ITEM-1","itemData":{"DOI":"10.1038/ng.3662","ISBN":"1546-1718 (Electronic) 1061-4036 (Linking)","ISSN":"1061-4036","PMID":"27618450","abstract":"G-quadruplexes (G4s) are nucleic acid secondary structures that form within guanine-rich DNA or RNA sequences. G4 formation can affect chromatin architecture and gene regulation and has been associated with genomic instability, genetic diseases and cancer progression. Here we present a high-resolution sequencing-based method to detect G4s in the human genome. We identified 716,310 distinct G4 structures, 451,646 of which were not predicted by computational methods. These included previously uncharacterized noncanonical long loop and bulged structures. We observed a high G4 density in functional regions, such as 5' untranslated regions and splicing sites, as well as in genes previously not predicted to contain these structures (such as BRCA2). G4 formation was significantly associated with oncogenes, tumor suppressors and somatic copy number alterations related to cancer development. The G4s identified in this study may therefore represent promising targets for cancer intervention.","author":[{"dropping-particle":"","family":"Hänsel-Hertsch","given":"Robert","non-dropping-particle":"","parse-names":false,"suffix":""},{"dropping-particle":"","family":"Beraldi","given":"Dario","non-dropping-particle":"","parse-names":false,"suffix":""},{"dropping-particle":"","family":"Stefanie","given":"Lensing","non-dropping-particle":"","parse-names":false,"suffix":""},{"dropping-particle":"","family":"Giovanni","given":"Marsico","non-dropping-particle":"","parse-names":false,"suffix":""},{"dropping-particle":"","family":"Zyner","given":"Katherine","non-dropping-particle":"","parse-names":false,"suffix":""},{"dropping-particle":"","family":"Parry","given":"Aled","non-dropping-particle":"","parse-names":false,"suffix":""},{"dropping-particle":"","family":"Antonio","given":"Marco","non-dropping-particle":"Di","parse-names":false,"suffix":""},{"dropping-particle":"","family":"Pike","given":"Jeremy","non-dropping-particle":"","parse-names":false,"suffix":""},{"dropping-particle":"","family":"Kimura","given":"Hiroshi","non-dropping-particle":"","parse-names":false,"suffix":""},{"dropping-particle":"","family":"Narita","given":"Masahsi","non-dropping-particle":"","parse-names":false,"suffix":""},{"dropping-particle":"","family":"Tannahill","given":"David","non-dropping-particle":"","parse-names":false,"suffix":""},{"dropping-particle":"","family":"Balasubramanian","given":"Shankar","non-dropping-particle":"","parse-names":false,"suffix":""}],"container-title":"Nat Genet.","id":"ITEM-1","issue":"10","issued":{"date-parts":[["2016"]]},"page":"1267-1272","title":"G-quadruplex structures mark human regulatory chromatin","type":"article-journal","volume":"48"},"uris":["http://www.mendeley.com/documents/?uuid=d9464ba3-965a-44c2-8775-9596c62e0889"]}],"mendeley":{"formattedCitation":"[5]","plainTextFormattedCitation":"[5]","previouslyFormattedCitation":"[5]"},"properties":{"noteIndex":0},"schema":"https://github.com/citation-style-language/schema/raw/master/csl-citation.json"}</w:instrText>
      </w:r>
      <w:r w:rsidRPr="005D328C">
        <w:rPr>
          <w:rFonts w:ascii="Times New Roman" w:eastAsia="Times New Roman" w:hAnsi="Times New Roman" w:cs="Times New Roman"/>
          <w:color w:val="2E74B5"/>
        </w:rPr>
        <w:fldChar w:fldCharType="separate"/>
      </w:r>
      <w:r w:rsidRPr="005D328C">
        <w:rPr>
          <w:rFonts w:ascii="Times New Roman" w:eastAsia="Times New Roman" w:hAnsi="Times New Roman" w:cs="Times New Roman"/>
          <w:color w:val="2E74B5"/>
        </w:rPr>
        <w:t>[5]</w:t>
      </w:r>
      <w:r w:rsidRPr="005D328C">
        <w:rPr>
          <w:rFonts w:ascii="Times New Roman" w:eastAsia="Times New Roman" w:hAnsi="Times New Roman" w:cs="Times New Roman"/>
          <w:color w:val="2E74B5"/>
        </w:rPr>
        <w:fldChar w:fldCharType="end"/>
      </w:r>
      <w:r w:rsidRPr="005D328C">
        <w:rPr>
          <w:rFonts w:ascii="Times New Roman" w:eastAsia="Times New Roman" w:hAnsi="Times New Roman" w:cs="Times New Roman"/>
          <w:color w:val="2E74B5"/>
        </w:rPr>
        <w:t xml:space="preserve">. Recent imaging experiments in neuronal cells have also demonstrated that G4 folding requires chromatin accessibility </w:t>
      </w:r>
      <w:r w:rsidRPr="005D328C">
        <w:rPr>
          <w:rFonts w:ascii="Times New Roman" w:eastAsia="Times New Roman" w:hAnsi="Times New Roman" w:cs="Times New Roman"/>
          <w:color w:val="2E74B5"/>
        </w:rPr>
        <w:fldChar w:fldCharType="begin" w:fldLock="1"/>
      </w:r>
      <w:r w:rsidRPr="005D328C">
        <w:rPr>
          <w:rFonts w:ascii="Times New Roman" w:eastAsia="Times New Roman" w:hAnsi="Times New Roman" w:cs="Times New Roman"/>
          <w:color w:val="2E74B5"/>
        </w:rPr>
        <w:instrText>ADDIN CSL_CITATION {"citationItems":[{"id":"ITEM-1","itemData":{"DOI":"10.1038/s41467-021-22129-9","ISSN":"2041-1723","author":[{"dropping-particle":"","family":"Khrestian","given":"Maria","non-dropping-particle":"","parse-names":false,"suffix":""},{"dropping-particle":"","family":"Montine","given":"Thomas","non-dropping-particle":"","parse-names":false,"suffix":""},{"dropping-particle":"","family":"Leverenz","given":"James B","non-dropping-particle":"","parse-names":false,"suffix":""},{"dropping-particle":"","family":"Bekris","given":"Lynn M","non-dropping-particle":"","parse-names":false,"suffix":""}],"container-title":"Nature Communications","id":"ITEM-1","issue":"216","issued":{"date-parts":[["2018"]]},"page":"43-53","title":"G-quadruplexes originating from evolutionary conserved L1 elements interfere with neuronal gene expression in Alzheimer’s disease","type":"article-journal"},"uris":["http://www.mendeley.com/documents/?uuid=82d2c342-6eda-41cb-9f15-8dd36b31076c"]}],"mendeley":{"formattedCitation":"[34]","plainTextFormattedCitation":"[34]","previouslyFormattedCitation":"[34]"},"properties":{"noteIndex":0},"schema":"https://github.com/citation-style-language/schema/raw/master/csl-citation.json"}</w:instrText>
      </w:r>
      <w:r w:rsidRPr="005D328C">
        <w:rPr>
          <w:rFonts w:ascii="Times New Roman" w:eastAsia="Times New Roman" w:hAnsi="Times New Roman" w:cs="Times New Roman"/>
          <w:color w:val="2E74B5"/>
        </w:rPr>
        <w:fldChar w:fldCharType="separate"/>
      </w:r>
      <w:r w:rsidRPr="005D328C">
        <w:rPr>
          <w:rFonts w:ascii="Times New Roman" w:eastAsia="Times New Roman" w:hAnsi="Times New Roman" w:cs="Times New Roman"/>
          <w:color w:val="2E74B5"/>
        </w:rPr>
        <w:t>[34]</w:t>
      </w:r>
      <w:r w:rsidRPr="005D328C">
        <w:rPr>
          <w:rFonts w:ascii="Times New Roman" w:eastAsia="Times New Roman" w:hAnsi="Times New Roman" w:cs="Times New Roman"/>
          <w:color w:val="2E74B5"/>
        </w:rPr>
        <w:fldChar w:fldCharType="end"/>
      </w:r>
      <w:r w:rsidRPr="005D328C">
        <w:rPr>
          <w:rFonts w:ascii="Times New Roman" w:eastAsia="Times New Roman" w:hAnsi="Times New Roman" w:cs="Times New Roman"/>
          <w:color w:val="2E74B5"/>
        </w:rPr>
        <w:t>. While we cannot rule out unknown factors that might further influence G4 formation in hypoxia, the most straightforward interpretation of the data is that chromatin compaction in acute hypoxia leads to G4 loss.”</w:t>
      </w:r>
    </w:p>
    <w:bookmarkEnd w:id="0"/>
    <w:p w:rsidR="00845284" w:rsidRPr="005D328C" w:rsidRDefault="005D328C" w:rsidP="005D328C">
      <w:pPr>
        <w:spacing w:line="360" w:lineRule="auto"/>
        <w:rPr>
          <w:rFonts w:ascii="Times New Roman" w:hAnsi="Times New Roman" w:cs="Times New Roman"/>
        </w:rPr>
      </w:pPr>
    </w:p>
    <w:sectPr w:rsidR="00845284" w:rsidRPr="005D32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27464"/>
    <w:multiLevelType w:val="hybridMultilevel"/>
    <w:tmpl w:val="81368B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28C"/>
    <w:rsid w:val="005D328C"/>
    <w:rsid w:val="00B133A9"/>
    <w:rsid w:val="00FD12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43DF8"/>
  <w15:chartTrackingRefBased/>
  <w15:docId w15:val="{CAA27F88-02E0-480F-8BF8-2DDB5EE78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D32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5D328C"/>
    <w:pPr>
      <w:spacing w:after="0" w:line="240" w:lineRule="auto"/>
      <w:ind w:left="720"/>
      <w:contextualSpacing/>
    </w:pPr>
    <w:rPr>
      <w:rFonts w:ascii="Calibri" w:eastAsia="DengXian" w:hAnsi="Calibri"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572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4443</Words>
  <Characters>25326</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Springernature</Company>
  <LinksUpToDate>false</LinksUpToDate>
  <CharactersWithSpaces>29710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Anahita Bishop</dc:creator>
  <cp:keywords/>
  <dc:description/>
  <cp:lastModifiedBy>Anahita Bishop</cp:lastModifiedBy>
  <cp:revision>1</cp:revision>
  <dcterms:created xsi:type="dcterms:W3CDTF">2021-04-09T10:37:00Z</dcterms:created>
  <dcterms:modified xsi:type="dcterms:W3CDTF">2021-04-09T10:45:00Z</dcterms:modified>
</cp:coreProperties>
</file>