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BD5F6" w14:textId="503F1304" w:rsidR="00E5290F" w:rsidRPr="00CD72C5" w:rsidRDefault="00E5290F" w:rsidP="00E5290F">
      <w:pPr>
        <w:rPr>
          <w:rFonts w:ascii="Arial" w:hAnsi="Arial" w:cs="Arial"/>
          <w:color w:val="000000"/>
          <w:sz w:val="20"/>
          <w:szCs w:val="20"/>
        </w:rPr>
      </w:pPr>
      <w:r>
        <w:rPr>
          <w:rFonts w:ascii="Arial" w:hAnsi="Arial" w:cs="Arial"/>
          <w:b/>
          <w:bCs/>
          <w:color w:val="000000"/>
          <w:sz w:val="20"/>
          <w:szCs w:val="20"/>
        </w:rPr>
        <w:t>Table</w:t>
      </w:r>
      <w:r w:rsidRPr="00C43FB5">
        <w:rPr>
          <w:rFonts w:ascii="Arial" w:hAnsi="Arial" w:cs="Arial"/>
          <w:b/>
          <w:bCs/>
          <w:color w:val="000000"/>
          <w:sz w:val="20"/>
          <w:szCs w:val="20"/>
        </w:rPr>
        <w:t xml:space="preserve"> </w:t>
      </w:r>
      <w:r>
        <w:rPr>
          <w:rFonts w:ascii="Arial" w:hAnsi="Arial" w:cs="Arial"/>
          <w:b/>
          <w:bCs/>
          <w:color w:val="000000"/>
          <w:sz w:val="20"/>
          <w:szCs w:val="20"/>
        </w:rPr>
        <w:t>S3</w:t>
      </w:r>
      <w:r w:rsidRPr="00C43FB5">
        <w:rPr>
          <w:rFonts w:ascii="Arial" w:hAnsi="Arial" w:cs="Arial"/>
          <w:b/>
          <w:bCs/>
          <w:color w:val="000000"/>
          <w:sz w:val="20"/>
          <w:szCs w:val="20"/>
        </w:rPr>
        <w:t xml:space="preserve">. </w:t>
      </w:r>
      <w:r>
        <w:rPr>
          <w:rFonts w:ascii="Arial" w:hAnsi="Arial" w:cs="Arial"/>
          <w:b/>
          <w:bCs/>
          <w:color w:val="000000"/>
          <w:sz w:val="20"/>
          <w:szCs w:val="20"/>
        </w:rPr>
        <w:t>Easy-Prime parameter specification.</w:t>
      </w:r>
      <w:r>
        <w:rPr>
          <w:rFonts w:ascii="Arial" w:hAnsi="Arial" w:cs="Arial"/>
          <w:color w:val="000000"/>
          <w:sz w:val="20"/>
          <w:szCs w:val="20"/>
        </w:rPr>
        <w:br/>
      </w:r>
    </w:p>
    <w:tbl>
      <w:tblPr>
        <w:tblStyle w:val="GridTable2"/>
        <w:tblW w:w="8550" w:type="dxa"/>
        <w:jc w:val="center"/>
        <w:tblLook w:val="04A0" w:firstRow="1" w:lastRow="0" w:firstColumn="1" w:lastColumn="0" w:noHBand="0" w:noVBand="1"/>
      </w:tblPr>
      <w:tblGrid>
        <w:gridCol w:w="3741"/>
        <w:gridCol w:w="2133"/>
        <w:gridCol w:w="2676"/>
      </w:tblGrid>
      <w:tr w:rsidR="00E5290F" w:rsidRPr="002B4C5D" w14:paraId="0716E50B" w14:textId="77777777" w:rsidTr="000E299A">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0" w:type="dxa"/>
            <w:hideMark/>
          </w:tcPr>
          <w:p w14:paraId="730C2145" w14:textId="77777777" w:rsidR="00E5290F" w:rsidRPr="00CD72C5" w:rsidRDefault="00E5290F" w:rsidP="000E299A">
            <w:pPr>
              <w:rPr>
                <w:rFonts w:ascii="Arial" w:hAnsi="Arial" w:cs="Arial"/>
                <w:color w:val="000000"/>
              </w:rPr>
            </w:pPr>
            <w:r w:rsidRPr="00CD72C5">
              <w:rPr>
                <w:rFonts w:ascii="Arial" w:hAnsi="Arial" w:cs="Arial"/>
                <w:color w:val="000000"/>
              </w:rPr>
              <w:t>Parameter</w:t>
            </w:r>
          </w:p>
        </w:tc>
        <w:tc>
          <w:tcPr>
            <w:tcW w:w="0" w:type="dxa"/>
            <w:hideMark/>
          </w:tcPr>
          <w:p w14:paraId="33654B47" w14:textId="77777777" w:rsidR="00E5290F" w:rsidRPr="00CD72C5" w:rsidRDefault="00E5290F" w:rsidP="000E299A">
            <w:pP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CD72C5">
              <w:rPr>
                <w:rFonts w:ascii="Arial" w:hAnsi="Arial" w:cs="Arial"/>
                <w:color w:val="000000"/>
              </w:rPr>
              <w:t>Default values</w:t>
            </w:r>
          </w:p>
        </w:tc>
        <w:tc>
          <w:tcPr>
            <w:tcW w:w="0" w:type="dxa"/>
            <w:hideMark/>
          </w:tcPr>
          <w:p w14:paraId="5005BC55" w14:textId="77777777" w:rsidR="00E5290F" w:rsidRPr="00CD72C5" w:rsidRDefault="00E5290F" w:rsidP="000E299A">
            <w:pPr>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References</w:t>
            </w:r>
          </w:p>
        </w:tc>
      </w:tr>
      <w:tr w:rsidR="00E5290F" w:rsidRPr="002B4C5D" w14:paraId="5FB5835B" w14:textId="77777777" w:rsidTr="000E299A">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0" w:type="dxa"/>
            <w:hideMark/>
          </w:tcPr>
          <w:p w14:paraId="145D9A82" w14:textId="77777777" w:rsidR="00E5290F" w:rsidRPr="00CD72C5" w:rsidRDefault="00E5290F" w:rsidP="000E299A">
            <w:pPr>
              <w:rPr>
                <w:rFonts w:ascii="Arial" w:hAnsi="Arial" w:cs="Arial"/>
                <w:b w:val="0"/>
                <w:bCs w:val="0"/>
                <w:color w:val="000000"/>
              </w:rPr>
            </w:pPr>
            <w:proofErr w:type="spellStart"/>
            <w:r w:rsidRPr="00CD72C5">
              <w:rPr>
                <w:rFonts w:ascii="Arial" w:hAnsi="Arial" w:cs="Arial"/>
                <w:color w:val="000000"/>
              </w:rPr>
              <w:t>PBS_length</w:t>
            </w:r>
            <w:proofErr w:type="spellEnd"/>
          </w:p>
        </w:tc>
        <w:tc>
          <w:tcPr>
            <w:tcW w:w="0" w:type="dxa"/>
            <w:hideMark/>
          </w:tcPr>
          <w:p w14:paraId="65FD39F3" w14:textId="77777777" w:rsidR="00E5290F" w:rsidRPr="00CD72C5" w:rsidRDefault="00E5290F" w:rsidP="000E299A">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CD72C5">
              <w:rPr>
                <w:rFonts w:ascii="Arial" w:hAnsi="Arial" w:cs="Arial"/>
                <w:color w:val="000000"/>
              </w:rPr>
              <w:t>[10,15]</w:t>
            </w:r>
          </w:p>
        </w:tc>
        <w:tc>
          <w:tcPr>
            <w:tcW w:w="0" w:type="dxa"/>
            <w:hideMark/>
          </w:tcPr>
          <w:p w14:paraId="3EA51F7B" w14:textId="77777777" w:rsidR="00E5290F" w:rsidRPr="00CD72C5" w:rsidRDefault="00E5290F" w:rsidP="000E299A">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CD72C5">
              <w:rPr>
                <w:rFonts w:ascii="Arial" w:hAnsi="Arial" w:cs="Arial"/>
                <w:color w:val="000000"/>
              </w:rPr>
              <w:t>13nt</w:t>
            </w:r>
            <w:r>
              <w:rPr>
                <w:rFonts w:ascii="Arial" w:hAnsi="Arial" w:cs="Arial"/>
                <w:color w:val="000000"/>
              </w:rPr>
              <w:fldChar w:fldCharType="begin" w:fldLock="1"/>
            </w:r>
            <w:r w:rsidRPr="00155F38">
              <w:rPr>
                <w:rFonts w:ascii="Arial" w:hAnsi="Arial" w:cs="Arial"/>
                <w:color w:val="000000"/>
              </w:rPr>
              <w:instrText>ADDIN CSL_CITATION {"citationItems":[{"id":"ITEM-1","itemData":{"DOI":"10.1038/s41586-019-1711-4","ISBN":"4158601917114","ISSN":"14764687","PMID":"31634902","abstract":"Most genetic variants that contribute to disease1 are challenging to correct efficiently and without excess byproducts2–5. Here we describe prime editing, a versatile and precise genome editing method that directly writes new genetic information into a specified DNA site using a catalytically impaired Cas9 endonuclease fused to an engineered reverse transcriptase, programmed with a prime editing guide RNA (pegRNA) that both specifies the target site and encodes the desired edit. We performed more than 175 edits in human cells, including targeted insertions, deletions, and all 12 types of point mutation, without requiring double-strand breaks or donor DNA templates. We used prime editing in human cells to correct, efficiently and with few byproducts, the primary genetic causes of sickle cell disease (requiring a transversion in HBB) and Tay–Sachs disease (requiring a deletion in HEXA); to install a protective transversion in PRNP; and to insert various tags and epitopes precisely into target loci. Four human cell lines and primary post-mitotic mouse cortical neurons support prime editing with varying efficiencies. Prime editing shows higher or similar efficiency and fewer byproducts than homology-directed repair, has complementary strengths and weaknesses compared to base editing, and induces much lower off-target editing than Cas9 nuclease at known Cas9 off-target sites. Prime editing substantially expands the scope and capabilities of genome editing, and in principle could correct up to 89% of known genetic variants associated with human diseases.","author":[{"dropping-particle":"V.","family":"Anzalone","given":"Andrew","non-dropping-particle":"","parse-names":false,"suffix":""},{"dropping-particle":"","family":"Randolph","given":"Peyton B.","non-dropping-particle":"","parse-names":false,"suffix":""},{"dropping-particle":"","family":"Davis","given":"Jessie R.","non-dropping-particle":"","parse-names":false,"suffix":""},{"dropping-particle":"","family":"Sousa","given":"Alexander A.","non-dropping-particle":"","parse-names":false,"suffix":""},{"dropping-particle":"","family":"Koblan","given":"Luke W.","non-dropping-particle":"","parse-names":false,"suffix":""},{"dropping-particle":"","family":"Levy","given":"Jonathan M.","non-dropping-particle":"","parse-names":false,"suffix":""},{"dropping-particle":"","family":"Chen","given":"Peter J.","non-dropping-particle":"","parse-names":false,"suffix":""},{"dropping-particle":"","family":"Wilson","given":"Christopher","non-dropping-particle":"","parse-names":false,"suffix":""},{"dropping-particle":"","family":"Newby","given":"Gregory A.","non-dropping-particle":"","parse-names":false,"suffix":""},{"dropping-particle":"","family":"Raguram","given":"Aditya","non-dropping-particle":"","parse-names":false,"suffix":""},{"dropping-particle":"","family":"Liu","given":"David R.","non-dropping-particle":"","parse-names":false,"suffix":""}],"container-title":"Nature","id":"ITEM-1","issue":"7785","issued":{"date-parts":[["2019"]]},"page":"149-157","title":"Search-and-replace genome editing without double-strand breaks or donor DNA","type":"article-journal","volume":"576"},"uris":["http://www.mendeley.com/documents/?uuid=ecd0491e-4cfd-45ea-90d1-445609eb60be"]}],"mendeley":{"formattedCitation":"&lt;sup&gt;1&lt;/sup&gt;","plainTextFormattedCitation":"1","previouslyFormattedCitation":"&lt;sup&gt;1&lt;/sup&gt;"},"properties":{"noteIndex":0},"schema":"https://github.com/citation-style-language/schema/raw/master/csl-citation.json"}</w:instrText>
            </w:r>
            <w:r>
              <w:rPr>
                <w:rFonts w:ascii="Arial" w:hAnsi="Arial" w:cs="Arial"/>
                <w:color w:val="000000"/>
              </w:rPr>
              <w:fldChar w:fldCharType="separate"/>
            </w:r>
            <w:r w:rsidRPr="007A7487">
              <w:rPr>
                <w:rFonts w:ascii="Arial" w:hAnsi="Arial" w:cs="Arial"/>
                <w:noProof/>
                <w:color w:val="000000"/>
                <w:vertAlign w:val="superscript"/>
              </w:rPr>
              <w:t>1</w:t>
            </w:r>
            <w:r>
              <w:rPr>
                <w:rFonts w:ascii="Arial" w:hAnsi="Arial" w:cs="Arial"/>
                <w:color w:val="000000"/>
              </w:rPr>
              <w:fldChar w:fldCharType="end"/>
            </w:r>
            <w:r w:rsidRPr="00CD72C5">
              <w:rPr>
                <w:rFonts w:ascii="Arial" w:hAnsi="Arial" w:cs="Arial"/>
                <w:color w:val="000000"/>
              </w:rPr>
              <w:t>, 12-14nt</w:t>
            </w:r>
            <w:r>
              <w:rPr>
                <w:rFonts w:ascii="Arial" w:hAnsi="Arial" w:cs="Arial"/>
                <w:color w:val="000000"/>
              </w:rPr>
              <w:fldChar w:fldCharType="begin" w:fldLock="1"/>
            </w:r>
            <w:r>
              <w:rPr>
                <w:rFonts w:ascii="Arial" w:hAnsi="Arial" w:cs="Arial"/>
                <w:color w:val="000000"/>
              </w:rPr>
              <w:instrText>ADDIN CSL_CITATION {"citationItems":[{"id":"ITEM-1","itemData":{"DOI":"10.1038/s41467-021-21337-7","ISSN":"2041-1723","abstract":"Prime editing (PE) is a versatile genome editing technology, but design of the required guide RNAs is more complex than for standard CRISPR-based nucleases or base editors. Here we describe PrimeDesign, a user-friendly, end-to-end web application and command-line tool for the design of PE experiments. PrimeDesign can be used for single and combination editing applications, as well as genome-wide and saturation mutagenesis screens. Using PrimeDesign, we construct PrimeVar, a comprehensive and searchable database that includes candidate prime editing guide RNA (pegRNA) and nicking sgRNA (ngRNA) combinations for installing or correcting &gt;68,500 pathogenic human genetic variants from the ClinVar database. Finally, we use PrimeDesign to design pegRNAs/ngRNAs to install a variety of human pathogenic variants in human cells.","author":[{"dropping-particle":"","family":"Hsu","given":"Jonathan Y","non-dropping-particle":"","parse-names":false,"suffix":""},{"dropping-particle":"","family":"Grünewald","given":"Julian","non-dropping-particle":"","parse-names":false,"suffix":""},{"dropping-particle":"","family":"Szalay","given":"Regan","non-dropping-particle":"","parse-names":false,"suffix":""},{"dropping-particle":"","family":"Shih","given":"Justine","non-dropping-particle":"","parse-names":false,"suffix":""},{"dropping-particle":"V","family":"Anzalone","given":"Andrew","non-dropping-particle":"","parse-names":false,"suffix":""},{"dropping-particle":"","family":"Lam","given":"Kin Chung","non-dropping-particle":"","parse-names":false,"suffix":""},{"dropping-particle":"","family":"Shen","given":"Max W","non-dropping-particle":"","parse-names":false,"suffix":""},{"dropping-particle":"","family":"Petri","given":"Karl","non-dropping-particle":"","parse-names":false,"suffix":""},{"dropping-particle":"","family":"Liu","given":"David R","non-dropping-particle":"","parse-names":false,"suffix":""},{"dropping-particle":"","family":"Joung","given":"J Keith","non-dropping-particle":"","parse-names":false,"suffix":""},{"dropping-particle":"","family":"Pinello","given":"Luca","non-dropping-particle":"","parse-names":false,"suffix":""}],"container-title":"Nature Communications","id":"ITEM-1","issue":"1","issued":{"date-parts":[["2021"]]},"page":"1034","title":"PrimeDesign software for rapid and simplified design of prime editing guide RNAs","type":"article-journal","volume":"12"},"uris":["http://www.mendeley.com/documents/?uuid=db74e163-59ee-4313-93fc-1a521f6482de"]}],"mendeley":{"formattedCitation":"&lt;sup&gt;2&lt;/sup&gt;","plainTextFormattedCitation":"2"},"properties":{"noteIndex":0},"schema":"https://github.com/citation-style-language/schema/raw/master/csl-citation.json"}</w:instrText>
            </w:r>
            <w:r>
              <w:rPr>
                <w:rFonts w:ascii="Arial" w:hAnsi="Arial" w:cs="Arial"/>
                <w:color w:val="000000"/>
              </w:rPr>
              <w:fldChar w:fldCharType="separate"/>
            </w:r>
            <w:r w:rsidRPr="00297AE7">
              <w:rPr>
                <w:rFonts w:ascii="Arial" w:hAnsi="Arial" w:cs="Arial"/>
                <w:noProof/>
                <w:color w:val="000000"/>
                <w:vertAlign w:val="superscript"/>
              </w:rPr>
              <w:t>2</w:t>
            </w:r>
            <w:r>
              <w:rPr>
                <w:rFonts w:ascii="Arial" w:hAnsi="Arial" w:cs="Arial"/>
                <w:color w:val="000000"/>
              </w:rPr>
              <w:fldChar w:fldCharType="end"/>
            </w:r>
          </w:p>
        </w:tc>
      </w:tr>
      <w:tr w:rsidR="00E5290F" w:rsidRPr="002B4C5D" w14:paraId="3FF26DE0" w14:textId="77777777" w:rsidTr="000E299A">
        <w:trPr>
          <w:trHeight w:val="680"/>
          <w:jc w:val="center"/>
        </w:trPr>
        <w:tc>
          <w:tcPr>
            <w:cnfStyle w:val="001000000000" w:firstRow="0" w:lastRow="0" w:firstColumn="1" w:lastColumn="0" w:oddVBand="0" w:evenVBand="0" w:oddHBand="0" w:evenHBand="0" w:firstRowFirstColumn="0" w:firstRowLastColumn="0" w:lastRowFirstColumn="0" w:lastRowLastColumn="0"/>
            <w:tcW w:w="0" w:type="dxa"/>
            <w:hideMark/>
          </w:tcPr>
          <w:p w14:paraId="517D1373" w14:textId="77777777" w:rsidR="00E5290F" w:rsidRPr="00CD72C5" w:rsidRDefault="00E5290F" w:rsidP="000E299A">
            <w:pPr>
              <w:rPr>
                <w:rFonts w:ascii="Arial" w:hAnsi="Arial" w:cs="Arial"/>
                <w:b w:val="0"/>
                <w:bCs w:val="0"/>
                <w:color w:val="000000"/>
              </w:rPr>
            </w:pPr>
            <w:proofErr w:type="spellStart"/>
            <w:r w:rsidRPr="00CD72C5">
              <w:rPr>
                <w:rFonts w:ascii="Arial" w:hAnsi="Arial" w:cs="Arial"/>
                <w:color w:val="000000"/>
              </w:rPr>
              <w:t>RTT_length</w:t>
            </w:r>
            <w:proofErr w:type="spellEnd"/>
          </w:p>
        </w:tc>
        <w:tc>
          <w:tcPr>
            <w:tcW w:w="0" w:type="dxa"/>
            <w:hideMark/>
          </w:tcPr>
          <w:p w14:paraId="465FF101" w14:textId="77777777" w:rsidR="00E5290F" w:rsidRPr="00CD72C5" w:rsidRDefault="00E5290F" w:rsidP="000E299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CD72C5">
              <w:rPr>
                <w:rFonts w:ascii="Arial" w:hAnsi="Arial" w:cs="Arial"/>
                <w:color w:val="000000"/>
              </w:rPr>
              <w:t>[10,20], up to 50nt if not found,</w:t>
            </w:r>
            <w:r>
              <w:rPr>
                <w:rFonts w:ascii="Arial" w:hAnsi="Arial" w:cs="Arial"/>
                <w:color w:val="000000"/>
              </w:rPr>
              <w:t xml:space="preserve"> </w:t>
            </w:r>
            <w:r w:rsidRPr="00CD72C5">
              <w:rPr>
                <w:rFonts w:ascii="Arial" w:hAnsi="Arial" w:cs="Arial"/>
                <w:color w:val="000000"/>
              </w:rPr>
              <w:t>step size = 5</w:t>
            </w:r>
          </w:p>
        </w:tc>
        <w:tc>
          <w:tcPr>
            <w:tcW w:w="0" w:type="dxa"/>
            <w:hideMark/>
          </w:tcPr>
          <w:p w14:paraId="69AD7F1D" w14:textId="77777777" w:rsidR="00E5290F" w:rsidRPr="00CD72C5" w:rsidRDefault="00E5290F" w:rsidP="000E299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CD72C5">
              <w:rPr>
                <w:rFonts w:ascii="Arial" w:hAnsi="Arial" w:cs="Arial"/>
                <w:color w:val="000000"/>
              </w:rPr>
              <w:t>10-16nt</w:t>
            </w:r>
            <w:r>
              <w:rPr>
                <w:rFonts w:ascii="Arial" w:hAnsi="Arial" w:cs="Arial"/>
                <w:color w:val="000000"/>
              </w:rPr>
              <w:fldChar w:fldCharType="begin" w:fldLock="1"/>
            </w:r>
            <w:r w:rsidRPr="00155F38">
              <w:rPr>
                <w:rFonts w:ascii="Arial" w:hAnsi="Arial" w:cs="Arial"/>
                <w:color w:val="000000"/>
              </w:rPr>
              <w:instrText>ADDIN CSL_CITATION {"citationItems":[{"id":"ITEM-1","itemData":{"DOI":"10.1038/s41586-019-1711-4","ISBN":"4158601917114","ISSN":"14764687","PMID":"31634902","abstract":"Most genetic variants that contribute to disease1 are challenging to correct efficiently and without excess byproducts2–5. Here we describe prime editing, a versatile and precise genome editing method that directly writes new genetic information into a specified DNA site using a catalytically impaired Cas9 endonuclease fused to an engineered reverse transcriptase, programmed with a prime editing guide RNA (pegRNA) that both specifies the target site and encodes the desired edit. We performed more than 175 edits in human cells, including targeted insertions, deletions, and all 12 types of point mutation, without requiring double-strand breaks or donor DNA templates. We used prime editing in human cells to correct, efficiently and with few byproducts, the primary genetic causes of sickle cell disease (requiring a transversion in HBB) and Tay–Sachs disease (requiring a deletion in HEXA); to install a protective transversion in PRNP; and to insert various tags and epitopes precisely into target loci. Four human cell lines and primary post-mitotic mouse cortical neurons support prime editing with varying efficiencies. Prime editing shows higher or similar efficiency and fewer byproducts than homology-directed repair, has complementary strengths and weaknesses compared to base editing, and induces much lower off-target editing than Cas9 nuclease at known Cas9 off-target sites. Prime editing substantially expands the scope and capabilities of genome editing, and in principle could correct up to 89% of known genetic variants associated with human diseases.","author":[{"dropping-particle":"V.","family":"Anzalone","given":"Andrew","non-dropping-particle":"","parse-names":false,"suffix":""},{"dropping-particle":"","family":"Randolph","given":"Peyton B.","non-dropping-particle":"","parse-names":false,"suffix":""},{"dropping-particle":"","family":"Davis","given":"Jessie R.","non-dropping-particle":"","parse-names":false,"suffix":""},{"dropping-particle":"","family":"Sousa","given":"Alexander A.","non-dropping-particle":"","parse-names":false,"suffix":""},{"dropping-particle":"","family":"Koblan","given":"Luke W.","non-dropping-particle":"","parse-names":false,"suffix":""},{"dropping-particle":"","family":"Levy","given":"Jonathan M.","non-dropping-particle":"","parse-names":false,"suffix":""},{"dropping-particle":"","family":"Chen","given":"Peter J.","non-dropping-particle":"","parse-names":false,"suffix":""},{"dropping-particle":"","family":"Wilson","given":"Christopher","non-dropping-particle":"","parse-names":false,"suffix":""},{"dropping-particle":"","family":"Newby","given":"Gregory A.","non-dropping-particle":"","parse-names":false,"suffix":""},{"dropping-particle":"","family":"Raguram","given":"Aditya","non-dropping-particle":"","parse-names":false,"suffix":""},{"dropping-particle":"","family":"Liu","given":"David R.","non-dropping-particle":"","parse-names":false,"suffix":""}],"container-title":"Nature","id":"ITEM-1","issue":"7785","issued":{"date-parts":[["2019"]]},"page":"149-157","title":"Search-and-replace genome editing without double-strand breaks or donor DNA","type":"article-journal","volume":"576"},"uris":["http://www.mendeley.com/documents/?uuid=ecd0491e-4cfd-45ea-90d1-445609eb60be"]}],"mendeley":{"formattedCitation":"&lt;sup&gt;1&lt;/sup&gt;","plainTextFormattedCitation":"1","previouslyFormattedCitation":"&lt;sup&gt;1&lt;/sup&gt;"},"properties":{"noteIndex":0},"schema":"https://github.com/citation-style-language/schema/raw/master/csl-citation.json"}</w:instrText>
            </w:r>
            <w:r>
              <w:rPr>
                <w:rFonts w:ascii="Arial" w:hAnsi="Arial" w:cs="Arial"/>
                <w:color w:val="000000"/>
              </w:rPr>
              <w:fldChar w:fldCharType="separate"/>
            </w:r>
            <w:r w:rsidRPr="007A7487">
              <w:rPr>
                <w:rFonts w:ascii="Arial" w:hAnsi="Arial" w:cs="Arial"/>
                <w:noProof/>
                <w:color w:val="000000"/>
                <w:vertAlign w:val="superscript"/>
              </w:rPr>
              <w:t>1</w:t>
            </w:r>
            <w:r>
              <w:rPr>
                <w:rFonts w:ascii="Arial" w:hAnsi="Arial" w:cs="Arial"/>
                <w:color w:val="000000"/>
              </w:rPr>
              <w:fldChar w:fldCharType="end"/>
            </w:r>
            <w:r w:rsidRPr="00CD72C5">
              <w:rPr>
                <w:rFonts w:ascii="Arial" w:hAnsi="Arial" w:cs="Arial"/>
                <w:color w:val="000000"/>
              </w:rPr>
              <w:t>, 10-20nt</w:t>
            </w:r>
            <w:r>
              <w:rPr>
                <w:rFonts w:ascii="Arial" w:hAnsi="Arial" w:cs="Arial"/>
                <w:color w:val="000000"/>
              </w:rPr>
              <w:fldChar w:fldCharType="begin" w:fldLock="1"/>
            </w:r>
            <w:r>
              <w:rPr>
                <w:rFonts w:ascii="Arial" w:hAnsi="Arial" w:cs="Arial"/>
                <w:color w:val="000000"/>
              </w:rPr>
              <w:instrText>ADDIN CSL_CITATION {"citationItems":[{"id":"ITEM-1","itemData":{"DOI":"10.1038/s41467-021-21337-7","ISSN":"2041-1723","abstract":"Prime editing (PE) is a versatile genome editing technology, but design of the required guide RNAs is more complex than for standard CRISPR-based nucleases or base editors. Here we describe PrimeDesign, a user-friendly, end-to-end web application and command-line tool for the design of PE experiments. PrimeDesign can be used for single and combination editing applications, as well as genome-wide and saturation mutagenesis screens. Using PrimeDesign, we construct PrimeVar, a comprehensive and searchable database that includes candidate prime editing guide RNA (pegRNA) and nicking sgRNA (ngRNA) combinations for installing or correcting &gt;68,500 pathogenic human genetic variants from the ClinVar database. Finally, we use PrimeDesign to design pegRNAs/ngRNAs to install a variety of human pathogenic variants in human cells.","author":[{"dropping-particle":"","family":"Hsu","given":"Jonathan Y","non-dropping-particle":"","parse-names":false,"suffix":""},{"dropping-particle":"","family":"Grünewald","given":"Julian","non-dropping-particle":"","parse-names":false,"suffix":""},{"dropping-particle":"","family":"Szalay","given":"Regan","non-dropping-particle":"","parse-names":false,"suffix":""},{"dropping-particle":"","family":"Shih","given":"Justine","non-dropping-particle":"","parse-names":false,"suffix":""},{"dropping-particle":"V","family":"Anzalone","given":"Andrew","non-dropping-particle":"","parse-names":false,"suffix":""},{"dropping-particle":"","family":"Lam","given":"Kin Chung","non-dropping-particle":"","parse-names":false,"suffix":""},{"dropping-particle":"","family":"Shen","given":"Max W","non-dropping-particle":"","parse-names":false,"suffix":""},{"dropping-particle":"","family":"Petri","given":"Karl","non-dropping-particle":"","parse-names":false,"suffix":""},{"dropping-particle":"","family":"Liu","given":"David R","non-dropping-particle":"","parse-names":false,"suffix":""},{"dropping-particle":"","family":"Joung","given":"J Keith","non-dropping-particle":"","parse-names":false,"suffix":""},{"dropping-particle":"","family":"Pinello","given":"Luca","non-dropping-particle":"","parse-names":false,"suffix":""}],"container-title":"Nature Communications","id":"ITEM-1","issue":"1","issued":{"date-parts":[["2021"]]},"page":"1034","title":"PrimeDesign software for rapid and simplified design of prime editing guide RNAs","type":"article-journal","volume":"12"},"uris":["http://www.mendeley.com/documents/?uuid=db74e163-59ee-4313-93fc-1a521f6482de"]}],"mendeley":{"formattedCitation":"&lt;sup&gt;2&lt;/sup&gt;","plainTextFormattedCitation":"2"},"properties":{"noteIndex":0},"schema":"https://github.com/citation-style-language/schema/raw/master/csl-citation.json"}</w:instrText>
            </w:r>
            <w:r>
              <w:rPr>
                <w:rFonts w:ascii="Arial" w:hAnsi="Arial" w:cs="Arial"/>
                <w:color w:val="000000"/>
              </w:rPr>
              <w:fldChar w:fldCharType="separate"/>
            </w:r>
            <w:r w:rsidRPr="00297AE7">
              <w:rPr>
                <w:rFonts w:ascii="Arial" w:hAnsi="Arial" w:cs="Arial"/>
                <w:noProof/>
                <w:color w:val="000000"/>
                <w:vertAlign w:val="superscript"/>
              </w:rPr>
              <w:t>2</w:t>
            </w:r>
            <w:r>
              <w:rPr>
                <w:rFonts w:ascii="Arial" w:hAnsi="Arial" w:cs="Arial"/>
                <w:color w:val="000000"/>
              </w:rPr>
              <w:fldChar w:fldCharType="end"/>
            </w:r>
          </w:p>
        </w:tc>
      </w:tr>
      <w:tr w:rsidR="00E5290F" w:rsidRPr="002B4C5D" w14:paraId="28F8BBBC" w14:textId="77777777" w:rsidTr="000E299A">
        <w:trPr>
          <w:cnfStyle w:val="000000100000" w:firstRow="0" w:lastRow="0" w:firstColumn="0" w:lastColumn="0" w:oddVBand="0" w:evenVBand="0" w:oddHBand="1" w:evenHBand="0" w:firstRowFirstColumn="0" w:firstRowLastColumn="0" w:lastRowFirstColumn="0" w:lastRowLastColumn="0"/>
          <w:trHeight w:val="1020"/>
          <w:jc w:val="center"/>
        </w:trPr>
        <w:tc>
          <w:tcPr>
            <w:cnfStyle w:val="001000000000" w:firstRow="0" w:lastRow="0" w:firstColumn="1" w:lastColumn="0" w:oddVBand="0" w:evenVBand="0" w:oddHBand="0" w:evenHBand="0" w:firstRowFirstColumn="0" w:firstRowLastColumn="0" w:lastRowFirstColumn="0" w:lastRowLastColumn="0"/>
            <w:tcW w:w="0" w:type="dxa"/>
            <w:hideMark/>
          </w:tcPr>
          <w:p w14:paraId="526E0B42" w14:textId="77777777" w:rsidR="00E5290F" w:rsidRPr="00CD72C5" w:rsidRDefault="00E5290F" w:rsidP="000E299A">
            <w:pPr>
              <w:rPr>
                <w:rFonts w:ascii="Arial" w:hAnsi="Arial" w:cs="Arial"/>
                <w:b w:val="0"/>
                <w:bCs w:val="0"/>
                <w:color w:val="000000"/>
              </w:rPr>
            </w:pPr>
            <w:proofErr w:type="spellStart"/>
            <w:r w:rsidRPr="00CD72C5">
              <w:rPr>
                <w:rFonts w:ascii="Arial" w:hAnsi="Arial" w:cs="Arial"/>
                <w:color w:val="000000"/>
              </w:rPr>
              <w:t>ngRNA_pos</w:t>
            </w:r>
            <w:proofErr w:type="spellEnd"/>
            <w:r w:rsidRPr="00CD72C5">
              <w:rPr>
                <w:rFonts w:ascii="Arial" w:hAnsi="Arial" w:cs="Arial"/>
                <w:color w:val="000000"/>
              </w:rPr>
              <w:t xml:space="preserve"> (nicking distance)</w:t>
            </w:r>
          </w:p>
        </w:tc>
        <w:tc>
          <w:tcPr>
            <w:tcW w:w="0" w:type="dxa"/>
            <w:hideMark/>
          </w:tcPr>
          <w:p w14:paraId="62B2B77E" w14:textId="77777777" w:rsidR="00E5290F" w:rsidRPr="00CD72C5" w:rsidRDefault="00E5290F" w:rsidP="000E299A">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CD72C5">
              <w:rPr>
                <w:rFonts w:ascii="Arial" w:hAnsi="Arial" w:cs="Arial"/>
                <w:color w:val="000000"/>
              </w:rPr>
              <w:t>[0-100], up to 150nt if not found,</w:t>
            </w:r>
            <w:r>
              <w:rPr>
                <w:rFonts w:ascii="Arial" w:hAnsi="Arial" w:cs="Arial"/>
                <w:color w:val="000000"/>
              </w:rPr>
              <w:t xml:space="preserve"> </w:t>
            </w:r>
            <w:r w:rsidRPr="00CD72C5">
              <w:rPr>
                <w:rFonts w:ascii="Arial" w:hAnsi="Arial" w:cs="Arial"/>
                <w:color w:val="000000"/>
              </w:rPr>
              <w:t>step size = 20</w:t>
            </w:r>
          </w:p>
        </w:tc>
        <w:tc>
          <w:tcPr>
            <w:tcW w:w="0" w:type="dxa"/>
            <w:hideMark/>
          </w:tcPr>
          <w:p w14:paraId="7D3658C7" w14:textId="77777777" w:rsidR="00E5290F" w:rsidRPr="00CD72C5" w:rsidRDefault="00E5290F" w:rsidP="000E299A">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CD72C5">
              <w:rPr>
                <w:rFonts w:ascii="Arial" w:hAnsi="Arial" w:cs="Arial"/>
                <w:color w:val="000000"/>
              </w:rPr>
              <w:t>50nt</w:t>
            </w:r>
            <w:r>
              <w:rPr>
                <w:rFonts w:ascii="Arial" w:hAnsi="Arial" w:cs="Arial"/>
                <w:color w:val="000000"/>
              </w:rPr>
              <w:fldChar w:fldCharType="begin" w:fldLock="1"/>
            </w:r>
            <w:r w:rsidRPr="00155F38">
              <w:rPr>
                <w:rFonts w:ascii="Arial" w:hAnsi="Arial" w:cs="Arial"/>
                <w:color w:val="000000"/>
              </w:rPr>
              <w:instrText>ADDIN CSL_CITATION {"citationItems":[{"id":"ITEM-1","itemData":{"DOI":"10.1038/s41586-019-1711-4","ISBN":"4158601917114","ISSN":"14764687","PMID":"31634902","abstract":"Most genetic variants that contribute to disease1 are challenging to correct efficiently and without excess byproducts2–5. Here we describe prime editing, a versatile and precise genome editing method that directly writes new genetic information into a specified DNA site using a catalytically impaired Cas9 endonuclease fused to an engineered reverse transcriptase, programmed with a prime editing guide RNA (pegRNA) that both specifies the target site and encodes the desired edit. We performed more than 175 edits in human cells, including targeted insertions, deletions, and all 12 types of point mutation, without requiring double-strand breaks or donor DNA templates. We used prime editing in human cells to correct, efficiently and with few byproducts, the primary genetic causes of sickle cell disease (requiring a transversion in HBB) and Tay–Sachs disease (requiring a deletion in HEXA); to install a protective transversion in PRNP; and to insert various tags and epitopes precisely into target loci. Four human cell lines and primary post-mitotic mouse cortical neurons support prime editing with varying efficiencies. Prime editing shows higher or similar efficiency and fewer byproducts than homology-directed repair, has complementary strengths and weaknesses compared to base editing, and induces much lower off-target editing than Cas9 nuclease at known Cas9 off-target sites. Prime editing substantially expands the scope and capabilities of genome editing, and in principle could correct up to 89% of known genetic variants associated with human diseases.","author":[{"dropping-particle":"V.","family":"Anzalone","given":"Andrew","non-dropping-particle":"","parse-names":false,"suffix":""},{"dropping-particle":"","family":"Randolph","given":"Peyton B.","non-dropping-particle":"","parse-names":false,"suffix":""},{"dropping-particle":"","family":"Davis","given":"Jessie R.","non-dropping-particle":"","parse-names":false,"suffix":""},{"dropping-particle":"","family":"Sousa","given":"Alexander A.","non-dropping-particle":"","parse-names":false,"suffix":""},{"dropping-particle":"","family":"Koblan","given":"Luke W.","non-dropping-particle":"","parse-names":false,"suffix":""},{"dropping-particle":"","family":"Levy","given":"Jonathan M.","non-dropping-particle":"","parse-names":false,"suffix":""},{"dropping-particle":"","family":"Chen","given":"Peter J.","non-dropping-particle":"","parse-names":false,"suffix":""},{"dropping-particle":"","family":"Wilson","given":"Christopher","non-dropping-particle":"","parse-names":false,"suffix":""},{"dropping-particle":"","family":"Newby","given":"Gregory A.","non-dropping-particle":"","parse-names":false,"suffix":""},{"dropping-particle":"","family":"Raguram","given":"Aditya","non-dropping-particle":"","parse-names":false,"suffix":""},{"dropping-particle":"","family":"Liu","given":"David R.","non-dropping-particle":"","parse-names":false,"suffix":""}],"container-title":"Nature","id":"ITEM-1","issue":"7785","issued":{"date-parts":[["2019"]]},"page":"149-157","title":"Search-and-replace genome editing without double-strand breaks or donor DNA","type":"article-journal","volume":"576"},"uris":["http://www.mendeley.com/documents/?uuid=ecd0491e-4cfd-45ea-90d1-445609eb60be"]}],"mendeley":{"formattedCitation":"&lt;sup&gt;1&lt;/sup&gt;","plainTextFormattedCitation":"1","previouslyFormattedCitation":"&lt;sup&gt;1&lt;/sup&gt;"},"properties":{"noteIndex":0},"schema":"https://github.com/citation-style-language/schema/raw/master/csl-citation.json"}</w:instrText>
            </w:r>
            <w:r>
              <w:rPr>
                <w:rFonts w:ascii="Arial" w:hAnsi="Arial" w:cs="Arial"/>
                <w:color w:val="000000"/>
              </w:rPr>
              <w:fldChar w:fldCharType="separate"/>
            </w:r>
            <w:r w:rsidRPr="007A7487">
              <w:rPr>
                <w:rFonts w:ascii="Arial" w:hAnsi="Arial" w:cs="Arial"/>
                <w:noProof/>
                <w:color w:val="000000"/>
                <w:vertAlign w:val="superscript"/>
              </w:rPr>
              <w:t>1</w:t>
            </w:r>
            <w:r>
              <w:rPr>
                <w:rFonts w:ascii="Arial" w:hAnsi="Arial" w:cs="Arial"/>
                <w:color w:val="000000"/>
              </w:rPr>
              <w:fldChar w:fldCharType="end"/>
            </w:r>
            <w:r w:rsidRPr="00CD72C5">
              <w:rPr>
                <w:rFonts w:ascii="Arial" w:hAnsi="Arial" w:cs="Arial"/>
                <w:color w:val="000000"/>
              </w:rPr>
              <w:t>, 0-100nt</w:t>
            </w:r>
            <w:r>
              <w:rPr>
                <w:rFonts w:ascii="Arial" w:hAnsi="Arial" w:cs="Arial"/>
                <w:color w:val="000000"/>
              </w:rPr>
              <w:fldChar w:fldCharType="begin" w:fldLock="1"/>
            </w:r>
            <w:r>
              <w:rPr>
                <w:rFonts w:ascii="Arial" w:hAnsi="Arial" w:cs="Arial"/>
                <w:color w:val="000000"/>
              </w:rPr>
              <w:instrText>ADDIN CSL_CITATION {"citationItems":[{"id":"ITEM-1","itemData":{"DOI":"10.1038/s41467-021-21337-7","ISSN":"2041-1723","abstract":"Prime editing (PE) is a versatile genome editing technology, but design of the required guide RNAs is more complex than for standard CRISPR-based nucleases or base editors. Here we describe PrimeDesign, a user-friendly, end-to-end web application and command-line tool for the design of PE experiments. PrimeDesign can be used for single and combination editing applications, as well as genome-wide and saturation mutagenesis screens. Using PrimeDesign, we construct PrimeVar, a comprehensive and searchable database that includes candidate prime editing guide RNA (pegRNA) and nicking sgRNA (ngRNA) combinations for installing or correcting &gt;68,500 pathogenic human genetic variants from the ClinVar database. Finally, we use PrimeDesign to design pegRNAs/ngRNAs to install a variety of human pathogenic variants in human cells.","author":[{"dropping-particle":"","family":"Hsu","given":"Jonathan Y","non-dropping-particle":"","parse-names":false,"suffix":""},{"dropping-particle":"","family":"Grünewald","given":"Julian","non-dropping-particle":"","parse-names":false,"suffix":""},{"dropping-particle":"","family":"Szalay","given":"Regan","non-dropping-particle":"","parse-names":false,"suffix":""},{"dropping-particle":"","family":"Shih","given":"Justine","non-dropping-particle":"","parse-names":false,"suffix":""},{"dropping-particle":"V","family":"Anzalone","given":"Andrew","non-dropping-particle":"","parse-names":false,"suffix":""},{"dropping-particle":"","family":"Lam","given":"Kin Chung","non-dropping-particle":"","parse-names":false,"suffix":""},{"dropping-particle":"","family":"Shen","given":"Max W","non-dropping-particle":"","parse-names":false,"suffix":""},{"dropping-particle":"","family":"Petri","given":"Karl","non-dropping-particle":"","parse-names":false,"suffix":""},{"dropping-particle":"","family":"Liu","given":"David R","non-dropping-particle":"","parse-names":false,"suffix":""},{"dropping-particle":"","family":"Joung","given":"J Keith","non-dropping-particle":"","parse-names":false,"suffix":""},{"dropping-particle":"","family":"Pinello","given":"Luca","non-dropping-particle":"","parse-names":false,"suffix":""}],"container-title":"Nature Communications","id":"ITEM-1","issue":"1","issued":{"date-parts":[["2021"]]},"page":"1034","title":"PrimeDesign software for rapid and simplified design of prime editing guide RNAs","type":"article-journal","volume":"12"},"uris":["http://www.mendeley.com/documents/?uuid=db74e163-59ee-4313-93fc-1a521f6482de"]}],"mendeley":{"formattedCitation":"&lt;sup&gt;2&lt;/sup&gt;","plainTextFormattedCitation":"2"},"properties":{"noteIndex":0},"schema":"https://github.com/citation-style-language/schema/raw/master/csl-citation.json"}</w:instrText>
            </w:r>
            <w:r>
              <w:rPr>
                <w:rFonts w:ascii="Arial" w:hAnsi="Arial" w:cs="Arial"/>
                <w:color w:val="000000"/>
              </w:rPr>
              <w:fldChar w:fldCharType="separate"/>
            </w:r>
            <w:r w:rsidRPr="00297AE7">
              <w:rPr>
                <w:rFonts w:ascii="Arial" w:hAnsi="Arial" w:cs="Arial"/>
                <w:noProof/>
                <w:color w:val="000000"/>
                <w:vertAlign w:val="superscript"/>
              </w:rPr>
              <w:t>2</w:t>
            </w:r>
            <w:r>
              <w:rPr>
                <w:rFonts w:ascii="Arial" w:hAnsi="Arial" w:cs="Arial"/>
                <w:color w:val="000000"/>
              </w:rPr>
              <w:fldChar w:fldCharType="end"/>
            </w:r>
          </w:p>
        </w:tc>
      </w:tr>
      <w:tr w:rsidR="00E5290F" w:rsidRPr="002B4C5D" w14:paraId="111D9E19" w14:textId="77777777" w:rsidTr="000E299A">
        <w:trPr>
          <w:trHeight w:val="1020"/>
          <w:jc w:val="center"/>
        </w:trPr>
        <w:tc>
          <w:tcPr>
            <w:cnfStyle w:val="001000000000" w:firstRow="0" w:lastRow="0" w:firstColumn="1" w:lastColumn="0" w:oddVBand="0" w:evenVBand="0" w:oddHBand="0" w:evenHBand="0" w:firstRowFirstColumn="0" w:firstRowLastColumn="0" w:lastRowFirstColumn="0" w:lastRowLastColumn="0"/>
            <w:tcW w:w="0" w:type="dxa"/>
            <w:hideMark/>
          </w:tcPr>
          <w:p w14:paraId="6946F56F" w14:textId="77777777" w:rsidR="00E5290F" w:rsidRPr="00CD72C5" w:rsidRDefault="00E5290F" w:rsidP="000E299A">
            <w:pPr>
              <w:rPr>
                <w:rFonts w:ascii="Arial" w:hAnsi="Arial" w:cs="Arial"/>
                <w:b w:val="0"/>
                <w:bCs w:val="0"/>
                <w:color w:val="000000"/>
              </w:rPr>
            </w:pPr>
            <w:proofErr w:type="spellStart"/>
            <w:r w:rsidRPr="00CD72C5">
              <w:rPr>
                <w:rFonts w:ascii="Arial" w:hAnsi="Arial" w:cs="Arial"/>
                <w:color w:val="000000"/>
              </w:rPr>
              <w:t>Target_end_flank</w:t>
            </w:r>
            <w:proofErr w:type="spellEnd"/>
            <w:r w:rsidRPr="00CD72C5">
              <w:rPr>
                <w:rFonts w:ascii="Arial" w:hAnsi="Arial" w:cs="Arial"/>
                <w:color w:val="000000"/>
              </w:rPr>
              <w:t xml:space="preserve"> (downstream homology)</w:t>
            </w:r>
          </w:p>
        </w:tc>
        <w:tc>
          <w:tcPr>
            <w:tcW w:w="0" w:type="dxa"/>
            <w:hideMark/>
          </w:tcPr>
          <w:p w14:paraId="624290DE" w14:textId="77777777" w:rsidR="00E5290F" w:rsidRPr="00CD72C5" w:rsidRDefault="00E5290F" w:rsidP="000E299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M</w:t>
            </w:r>
            <w:r w:rsidRPr="00CD72C5">
              <w:rPr>
                <w:rFonts w:ascii="Arial" w:hAnsi="Arial" w:cs="Arial"/>
                <w:color w:val="000000"/>
              </w:rPr>
              <w:t>inim</w:t>
            </w:r>
            <w:r>
              <w:rPr>
                <w:rFonts w:ascii="Arial" w:hAnsi="Arial" w:cs="Arial"/>
                <w:color w:val="000000"/>
              </w:rPr>
              <w:t>um</w:t>
            </w:r>
            <w:r w:rsidRPr="00CD72C5">
              <w:rPr>
                <w:rFonts w:ascii="Arial" w:hAnsi="Arial" w:cs="Arial"/>
                <w:color w:val="000000"/>
              </w:rPr>
              <w:t xml:space="preserve"> 5</w:t>
            </w:r>
            <w:r>
              <w:rPr>
                <w:rFonts w:ascii="Arial" w:hAnsi="Arial" w:cs="Arial"/>
                <w:color w:val="000000"/>
              </w:rPr>
              <w:t xml:space="preserve"> </w:t>
            </w:r>
            <w:proofErr w:type="spellStart"/>
            <w:r w:rsidRPr="00CD72C5">
              <w:rPr>
                <w:rFonts w:ascii="Arial" w:hAnsi="Arial" w:cs="Arial"/>
                <w:color w:val="000000"/>
              </w:rPr>
              <w:t>nt</w:t>
            </w:r>
            <w:proofErr w:type="spellEnd"/>
          </w:p>
        </w:tc>
        <w:tc>
          <w:tcPr>
            <w:tcW w:w="0" w:type="dxa"/>
            <w:hideMark/>
          </w:tcPr>
          <w:p w14:paraId="2EBC83EB" w14:textId="77777777" w:rsidR="00E5290F" w:rsidRPr="00A22E05" w:rsidRDefault="00E5290F" w:rsidP="000E299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M</w:t>
            </w:r>
            <w:r w:rsidRPr="00CD72C5">
              <w:rPr>
                <w:rFonts w:ascii="Arial" w:hAnsi="Arial" w:cs="Arial"/>
                <w:color w:val="000000"/>
              </w:rPr>
              <w:t>inim</w:t>
            </w:r>
            <w:r>
              <w:rPr>
                <w:rFonts w:ascii="Arial" w:hAnsi="Arial" w:cs="Arial"/>
                <w:color w:val="000000"/>
              </w:rPr>
              <w:t>um</w:t>
            </w:r>
            <w:r w:rsidRPr="00CD72C5">
              <w:rPr>
                <w:rFonts w:ascii="Arial" w:hAnsi="Arial" w:cs="Arial"/>
                <w:color w:val="000000"/>
              </w:rPr>
              <w:t xml:space="preserve"> 5</w:t>
            </w:r>
            <w:r>
              <w:rPr>
                <w:rFonts w:ascii="Arial" w:hAnsi="Arial" w:cs="Arial"/>
                <w:color w:val="000000"/>
              </w:rPr>
              <w:t xml:space="preserve"> </w:t>
            </w:r>
            <w:r w:rsidRPr="00CD72C5">
              <w:rPr>
                <w:rFonts w:ascii="Arial" w:hAnsi="Arial" w:cs="Arial"/>
                <w:color w:val="000000"/>
              </w:rPr>
              <w:t>nt</w:t>
            </w:r>
            <w:r>
              <w:rPr>
                <w:rFonts w:ascii="Arial" w:hAnsi="Arial" w:cs="Arial"/>
                <w:color w:val="000000"/>
              </w:rPr>
              <w:fldChar w:fldCharType="begin" w:fldLock="1"/>
            </w:r>
            <w:r>
              <w:rPr>
                <w:rFonts w:ascii="Arial" w:hAnsi="Arial" w:cs="Arial"/>
                <w:color w:val="000000"/>
              </w:rPr>
              <w:instrText>ADDIN CSL_CITATION {"citationItems":[{"id":"ITEM-1","itemData":{"DOI":"10.1038/s41467-021-21337-7","ISSN":"2041-1723","abstract":"Prime editing (PE) is a versatile genome editing technology, but design of the required guide RNAs is more complex than for standard CRISPR-based nucleases or base editors. Here we describe PrimeDesign, a user-friendly, end-to-end web application and command-line tool for the design of PE experiments. PrimeDesign can be used for single and combination editing applications, as well as genome-wide and saturation mutagenesis screens. Using PrimeDesign, we construct PrimeVar, a comprehensive and searchable database that includes candidate prime editing guide RNA (pegRNA) and nicking sgRNA (ngRNA) combinations for installing or correcting &gt;68,500 pathogenic human genetic variants from the ClinVar database. Finally, we use PrimeDesign to design pegRNAs/ngRNAs to install a variety of human pathogenic variants in human cells.","author":[{"dropping-particle":"","family":"Hsu","given":"Jonathan Y","non-dropping-particle":"","parse-names":false,"suffix":""},{"dropping-particle":"","family":"Grünewald","given":"Julian","non-dropping-particle":"","parse-names":false,"suffix":""},{"dropping-particle":"","family":"Szalay","given":"Regan","non-dropping-particle":"","parse-names":false,"suffix":""},{"dropping-particle":"","family":"Shih","given":"Justine","non-dropping-particle":"","parse-names":false,"suffix":""},{"dropping-particle":"V","family":"Anzalone","given":"Andrew","non-dropping-particle":"","parse-names":false,"suffix":""},{"dropping-particle":"","family":"Lam","given":"Kin Chung","non-dropping-particle":"","parse-names":false,"suffix":""},{"dropping-particle":"","family":"Shen","given":"Max W","non-dropping-particle":"","parse-names":false,"suffix":""},{"dropping-particle":"","family":"Petri","given":"Karl","non-dropping-particle":"","parse-names":false,"suffix":""},{"dropping-particle":"","family":"Liu","given":"David R","non-dropping-particle":"","parse-names":false,"suffix":""},{"dropping-particle":"","family":"Joung","given":"J Keith","non-dropping-particle":"","parse-names":false,"suffix":""},{"dropping-particle":"","family":"Pinello","given":"Luca","non-dropping-particle":"","parse-names":false,"suffix":""}],"container-title":"Nature Communications","id":"ITEM-1","issue":"1","issued":{"date-parts":[["2021"]]},"page":"1034","title":"PrimeDesign software for rapid and simplified design of prime editing guide RNAs","type":"article-journal","volume":"12"},"uris":["http://www.mendeley.com/documents/?uuid=db74e163-59ee-4313-93fc-1a521f6482de"]}],"mendeley":{"formattedCitation":"&lt;sup&gt;2&lt;/sup&gt;","plainTextFormattedCitation":"2"},"properties":{"noteIndex":0},"schema":"https://github.com/citation-style-language/schema/raw/master/csl-citation.json"}</w:instrText>
            </w:r>
            <w:r>
              <w:rPr>
                <w:rFonts w:ascii="Arial" w:hAnsi="Arial" w:cs="Arial"/>
                <w:color w:val="000000"/>
              </w:rPr>
              <w:fldChar w:fldCharType="separate"/>
            </w:r>
            <w:r w:rsidRPr="00297AE7">
              <w:rPr>
                <w:rFonts w:ascii="Arial" w:hAnsi="Arial" w:cs="Arial"/>
                <w:noProof/>
                <w:color w:val="000000"/>
                <w:vertAlign w:val="superscript"/>
              </w:rPr>
              <w:t>2</w:t>
            </w:r>
            <w:r>
              <w:rPr>
                <w:rFonts w:ascii="Arial" w:hAnsi="Arial" w:cs="Arial"/>
                <w:color w:val="000000"/>
              </w:rPr>
              <w:fldChar w:fldCharType="end"/>
            </w:r>
          </w:p>
        </w:tc>
      </w:tr>
      <w:tr w:rsidR="00E5290F" w:rsidRPr="002B4C5D" w14:paraId="3B26C9F8" w14:textId="77777777" w:rsidTr="000E299A">
        <w:trPr>
          <w:cnfStyle w:val="000000100000" w:firstRow="0" w:lastRow="0" w:firstColumn="0" w:lastColumn="0" w:oddVBand="0" w:evenVBand="0" w:oddHBand="1" w:evenHBand="0" w:firstRowFirstColumn="0" w:firstRowLastColumn="0" w:lastRowFirstColumn="0" w:lastRowLastColumn="0"/>
          <w:trHeight w:val="1020"/>
          <w:jc w:val="center"/>
        </w:trPr>
        <w:tc>
          <w:tcPr>
            <w:cnfStyle w:val="001000000000" w:firstRow="0" w:lastRow="0" w:firstColumn="1" w:lastColumn="0" w:oddVBand="0" w:evenVBand="0" w:oddHBand="0" w:evenHBand="0" w:firstRowFirstColumn="0" w:firstRowLastColumn="0" w:lastRowFirstColumn="0" w:lastRowLastColumn="0"/>
            <w:tcW w:w="0" w:type="dxa"/>
            <w:hideMark/>
          </w:tcPr>
          <w:p w14:paraId="3846E2C0" w14:textId="77777777" w:rsidR="00E5290F" w:rsidRPr="00CD72C5" w:rsidRDefault="00E5290F" w:rsidP="000E299A">
            <w:pPr>
              <w:rPr>
                <w:rFonts w:ascii="Arial" w:hAnsi="Arial" w:cs="Arial"/>
                <w:b w:val="0"/>
                <w:bCs w:val="0"/>
                <w:color w:val="000000"/>
              </w:rPr>
            </w:pPr>
            <w:proofErr w:type="spellStart"/>
            <w:r w:rsidRPr="00CD72C5">
              <w:rPr>
                <w:rFonts w:ascii="Arial" w:hAnsi="Arial" w:cs="Arial"/>
                <w:color w:val="000000"/>
              </w:rPr>
              <w:t>Target_pos</w:t>
            </w:r>
            <w:proofErr w:type="spellEnd"/>
          </w:p>
        </w:tc>
        <w:tc>
          <w:tcPr>
            <w:tcW w:w="0" w:type="dxa"/>
            <w:hideMark/>
          </w:tcPr>
          <w:p w14:paraId="1275A609" w14:textId="77777777" w:rsidR="00E5290F" w:rsidRPr="00CD72C5" w:rsidRDefault="00E5290F" w:rsidP="000E299A">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CD72C5">
              <w:rPr>
                <w:rFonts w:ascii="Arial" w:hAnsi="Arial" w:cs="Arial"/>
                <w:color w:val="000000"/>
              </w:rPr>
              <w:t>[0-10], up to 30 if not found, step size = 5</w:t>
            </w:r>
          </w:p>
        </w:tc>
        <w:tc>
          <w:tcPr>
            <w:tcW w:w="0" w:type="dxa"/>
            <w:hideMark/>
          </w:tcPr>
          <w:p w14:paraId="466F6948" w14:textId="77777777" w:rsidR="00E5290F" w:rsidRPr="00CD72C5" w:rsidRDefault="00E5290F" w:rsidP="000E299A">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CD72C5">
              <w:rPr>
                <w:rFonts w:ascii="Arial" w:hAnsi="Arial" w:cs="Arial"/>
                <w:color w:val="000000"/>
              </w:rPr>
              <w:t>98% data fall in this range (n=477)</w:t>
            </w:r>
            <w:r>
              <w:rPr>
                <w:rFonts w:ascii="Arial" w:hAnsi="Arial" w:cs="Arial"/>
                <w:color w:val="000000"/>
              </w:rPr>
              <w:fldChar w:fldCharType="begin" w:fldLock="1"/>
            </w:r>
            <w:r w:rsidRPr="00155F38">
              <w:rPr>
                <w:rFonts w:ascii="Arial" w:hAnsi="Arial" w:cs="Arial"/>
                <w:color w:val="000000"/>
              </w:rPr>
              <w:instrText>ADDIN CSL_CITATION {"citationItems":[{"id":"ITEM-1","itemData":{"DOI":"10.1038/s41586-019-1711-4","ISBN":"4158601917114","ISSN":"14764687","PMID":"31634902","abstract":"Most genetic variants that contribute to disease1 are challenging to correct efficiently and without excess byproducts2–5. Here we describe prime editing, a versatile and precise genome editing method that directly writes new genetic information into a specified DNA site using a catalytically impaired Cas9 endonuclease fused to an engineered reverse transcriptase, programmed with a prime editing guide RNA (pegRNA) that both specifies the target site and encodes the desired edit. We performed more than 175 edits in human cells, including targeted insertions, deletions, and all 12 types of point mutation, without requiring double-strand breaks or donor DNA templates. We used prime editing in human cells to correct, efficiently and with few byproducts, the primary genetic causes of sickle cell disease (requiring a transversion in HBB) and Tay–Sachs disease (requiring a deletion in HEXA); to install a protective transversion in PRNP; and to insert various tags and epitopes precisely into target loci. Four human cell lines and primary post-mitotic mouse cortical neurons support prime editing with varying efficiencies. Prime editing shows higher or similar efficiency and fewer byproducts than homology-directed repair, has complementary strengths and weaknesses compared to base editing, and induces much lower off-target editing than Cas9 nuclease at known Cas9 off-target sites. Prime editing substantially expands the scope and capabilities of genome editing, and in principle could correct up to 89% of known genetic variants associated with human diseases.","author":[{"dropping-particle":"V.","family":"Anzalone","given":"Andrew","non-dropping-particle":"","parse-names":false,"suffix":""},{"dropping-particle":"","family":"Randolph","given":"Peyton B.","non-dropping-particle":"","parse-names":false,"suffix":""},{"dropping-particle":"","family":"Davis","given":"Jessie R.","non-dropping-particle":"","parse-names":false,"suffix":""},{"dropping-particle":"","family":"Sousa","given":"Alexander A.","non-dropping-particle":"","parse-names":false,"suffix":""},{"dropping-particle":"","family":"Koblan","given":"Luke W.","non-dropping-particle":"","parse-names":false,"suffix":""},{"dropping-particle":"","family":"Levy","given":"Jonathan M.","non-dropping-particle":"","parse-names":false,"suffix":""},{"dropping-particle":"","family":"Chen","given":"Peter J.","non-dropping-particle":"","parse-names":false,"suffix":""},{"dropping-particle":"","family":"Wilson","given":"Christopher","non-dropping-particle":"","parse-names":false,"suffix":""},{"dropping-particle":"","family":"Newby","given":"Gregory A.","non-dropping-particle":"","parse-names":false,"suffix":""},{"dropping-particle":"","family":"Raguram","given":"Aditya","non-dropping-particle":"","parse-names":false,"suffix":""},{"dropping-particle":"","family":"Liu","given":"David R.","non-dropping-particle":"","parse-names":false,"suffix":""}],"container-title":"Nature","id":"ITEM-1","issue":"7785","issued":{"date-parts":[["2019"]]},"page":"149-157","title":"Search-and-replace genome editing without double-strand breaks or donor DNA","type":"article-journal","volume":"576"},"uris":["http://www.mendeley.com/documents/?uuid=ecd0491e-4cfd-45ea-90d1-445609eb60be"]}],"mendeley":{"formattedCitation":"&lt;sup&gt;1&lt;/sup&gt;","plainTextFormattedCitation":"1","previouslyFormattedCitation":"&lt;sup&gt;1&lt;/sup&gt;"},"properties":{"noteIndex":0},"schema":"https://github.com/citation-style-language/schema/raw/master/csl-citation.json"}</w:instrText>
            </w:r>
            <w:r>
              <w:rPr>
                <w:rFonts w:ascii="Arial" w:hAnsi="Arial" w:cs="Arial"/>
                <w:color w:val="000000"/>
              </w:rPr>
              <w:fldChar w:fldCharType="separate"/>
            </w:r>
            <w:r w:rsidRPr="007A7487">
              <w:rPr>
                <w:rFonts w:ascii="Arial" w:hAnsi="Arial" w:cs="Arial"/>
                <w:noProof/>
                <w:color w:val="000000"/>
                <w:vertAlign w:val="superscript"/>
              </w:rPr>
              <w:t>1</w:t>
            </w:r>
            <w:r>
              <w:rPr>
                <w:rFonts w:ascii="Arial" w:hAnsi="Arial" w:cs="Arial"/>
                <w:color w:val="000000"/>
              </w:rPr>
              <w:fldChar w:fldCharType="end"/>
            </w:r>
          </w:p>
        </w:tc>
      </w:tr>
      <w:tr w:rsidR="00E5290F" w:rsidRPr="002B4C5D" w14:paraId="6367EFC0" w14:textId="77777777" w:rsidTr="000E299A">
        <w:trPr>
          <w:trHeight w:val="1020"/>
          <w:jc w:val="center"/>
        </w:trPr>
        <w:tc>
          <w:tcPr>
            <w:cnfStyle w:val="001000000000" w:firstRow="0" w:lastRow="0" w:firstColumn="1" w:lastColumn="0" w:oddVBand="0" w:evenVBand="0" w:oddHBand="0" w:evenHBand="0" w:firstRowFirstColumn="0" w:firstRowLastColumn="0" w:lastRowFirstColumn="0" w:lastRowLastColumn="0"/>
            <w:tcW w:w="0" w:type="dxa"/>
            <w:hideMark/>
          </w:tcPr>
          <w:p w14:paraId="5A1F0EA0" w14:textId="77777777" w:rsidR="00E5290F" w:rsidRPr="00CD72C5" w:rsidRDefault="00E5290F" w:rsidP="000E299A">
            <w:pPr>
              <w:rPr>
                <w:rFonts w:ascii="Arial" w:hAnsi="Arial" w:cs="Arial"/>
                <w:b w:val="0"/>
                <w:bCs w:val="0"/>
                <w:color w:val="000000"/>
              </w:rPr>
            </w:pPr>
            <w:r w:rsidRPr="00CD72C5">
              <w:rPr>
                <w:rFonts w:ascii="Arial" w:hAnsi="Arial" w:cs="Arial"/>
                <w:color w:val="000000"/>
              </w:rPr>
              <w:t>PAM disruption</w:t>
            </w:r>
          </w:p>
        </w:tc>
        <w:tc>
          <w:tcPr>
            <w:tcW w:w="0" w:type="dxa"/>
            <w:hideMark/>
          </w:tcPr>
          <w:p w14:paraId="748100AA" w14:textId="77777777" w:rsidR="00E5290F" w:rsidRPr="00CD72C5" w:rsidRDefault="00E5290F" w:rsidP="000E299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CD72C5">
              <w:rPr>
                <w:rFonts w:ascii="Arial" w:hAnsi="Arial" w:cs="Arial"/>
                <w:color w:val="000000"/>
              </w:rPr>
              <w:t>Choose</w:t>
            </w:r>
            <w:r>
              <w:rPr>
                <w:rFonts w:ascii="Arial" w:hAnsi="Arial" w:cs="Arial"/>
                <w:color w:val="000000"/>
              </w:rPr>
              <w:t xml:space="preserve"> a</w:t>
            </w:r>
            <w:r w:rsidRPr="00CD72C5">
              <w:rPr>
                <w:rFonts w:ascii="Arial" w:hAnsi="Arial" w:cs="Arial"/>
                <w:color w:val="000000"/>
              </w:rPr>
              <w:t xml:space="preserve"> </w:t>
            </w:r>
            <w:proofErr w:type="spellStart"/>
            <w:r w:rsidRPr="00CD72C5">
              <w:rPr>
                <w:rFonts w:ascii="Arial" w:hAnsi="Arial" w:cs="Arial"/>
                <w:color w:val="000000"/>
              </w:rPr>
              <w:t>pegRNA</w:t>
            </w:r>
            <w:proofErr w:type="spellEnd"/>
            <w:r w:rsidRPr="00CD72C5">
              <w:rPr>
                <w:rFonts w:ascii="Arial" w:hAnsi="Arial" w:cs="Arial"/>
                <w:color w:val="000000"/>
              </w:rPr>
              <w:t xml:space="preserve"> that disrupts </w:t>
            </w:r>
            <w:r>
              <w:rPr>
                <w:rFonts w:ascii="Arial" w:hAnsi="Arial" w:cs="Arial"/>
                <w:color w:val="000000"/>
              </w:rPr>
              <w:t xml:space="preserve">the </w:t>
            </w:r>
            <w:r w:rsidRPr="00CD72C5">
              <w:rPr>
                <w:rFonts w:ascii="Arial" w:hAnsi="Arial" w:cs="Arial"/>
                <w:color w:val="000000"/>
              </w:rPr>
              <w:t>PAM sequence when possible</w:t>
            </w:r>
          </w:p>
        </w:tc>
        <w:tc>
          <w:tcPr>
            <w:tcW w:w="0" w:type="dxa"/>
            <w:hideMark/>
          </w:tcPr>
          <w:p w14:paraId="14037338" w14:textId="77777777" w:rsidR="00E5290F" w:rsidRPr="00CD72C5" w:rsidRDefault="00E5290F" w:rsidP="000E299A">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CD72C5">
              <w:rPr>
                <w:rFonts w:ascii="Arial" w:hAnsi="Arial" w:cs="Arial"/>
                <w:color w:val="000000"/>
              </w:rPr>
              <w:t>Recommend PAM disruption whenever possible</w:t>
            </w:r>
            <w:r>
              <w:rPr>
                <w:rFonts w:ascii="Arial" w:hAnsi="Arial" w:cs="Arial"/>
                <w:color w:val="000000"/>
              </w:rPr>
              <w:fldChar w:fldCharType="begin" w:fldLock="1"/>
            </w:r>
            <w:r w:rsidRPr="00155F38">
              <w:rPr>
                <w:rFonts w:ascii="Arial" w:hAnsi="Arial" w:cs="Arial"/>
                <w:color w:val="000000"/>
              </w:rPr>
              <w:instrText>ADDIN CSL_CITATION {"citationItems":[{"id":"ITEM-1","itemData":{"DOI":"10.1038/s41586-019-1711-4","ISBN":"4158601917114","ISSN":"14764687","PMID":"31634902","abstract":"Most genetic variants that contribute to disease1 are challenging to correct efficiently and without excess byproducts2–5. Here we describe prime editing, a versatile and precise genome editing method that directly writes new genetic information into a specified DNA site using a catalytically impaired Cas9 endonuclease fused to an engineered reverse transcriptase, programmed with a prime editing guide RNA (pegRNA) that both specifies the target site and encodes the desired edit. We performed more than 175 edits in human cells, including targeted insertions, deletions, and all 12 types of point mutation, without requiring double-strand breaks or donor DNA templates. We used prime editing in human cells to correct, efficiently and with few byproducts, the primary genetic causes of sickle cell disease (requiring a transversion in HBB) and Tay–Sachs disease (requiring a deletion in HEXA); to install a protective transversion in PRNP; and to insert various tags and epitopes precisely into target loci. Four human cell lines and primary post-mitotic mouse cortical neurons support prime editing with varying efficiencies. Prime editing shows higher or similar efficiency and fewer byproducts than homology-directed repair, has complementary strengths and weaknesses compared to base editing, and induces much lower off-target editing than Cas9 nuclease at known Cas9 off-target sites. Prime editing substantially expands the scope and capabilities of genome editing, and in principle could correct up to 89% of known genetic variants associated with human diseases.","author":[{"dropping-particle":"V.","family":"Anzalone","given":"Andrew","non-dropping-particle":"","parse-names":false,"suffix":""},{"dropping-particle":"","family":"Randolph","given":"Peyton B.","non-dropping-particle":"","parse-names":false,"suffix":""},{"dropping-particle":"","family":"Davis","given":"Jessie R.","non-dropping-particle":"","parse-names":false,"suffix":""},{"dropping-particle":"","family":"Sousa","given":"Alexander A.","non-dropping-particle":"","parse-names":false,"suffix":""},{"dropping-particle":"","family":"Koblan","given":"Luke W.","non-dropping-particle":"","parse-names":false,"suffix":""},{"dropping-particle":"","family":"Levy","given":"Jonathan M.","non-dropping-particle":"","parse-names":false,"suffix":""},{"dropping-particle":"","family":"Chen","given":"Peter J.","non-dropping-particle":"","parse-names":false,"suffix":""},{"dropping-particle":"","family":"Wilson","given":"Christopher","non-dropping-particle":"","parse-names":false,"suffix":""},{"dropping-particle":"","family":"Newby","given":"Gregory A.","non-dropping-particle":"","parse-names":false,"suffix":""},{"dropping-particle":"","family":"Raguram","given":"Aditya","non-dropping-particle":"","parse-names":false,"suffix":""},{"dropping-particle":"","family":"Liu","given":"David R.","non-dropping-particle":"","parse-names":false,"suffix":""}],"container-title":"Nature","id":"ITEM-1","issue":"7785","issued":{"date-parts":[["2019"]]},"page":"149-157","title":"Search-and-replace genome editing without double-strand breaks or donor DNA","type":"article-journal","volume":"576"},"uris":["http://www.mendeley.com/documents/?uuid=ecd0491e-4cfd-45ea-90d1-445609eb60be"]}],"mendeley":{"formattedCitation":"&lt;sup&gt;1&lt;/sup&gt;","plainTextFormattedCitation":"1","previouslyFormattedCitation":"&lt;sup&gt;1&lt;/sup&gt;"},"properties":{"noteIndex":0},"schema":"https://github.com/citation-style-language/schema/raw/master/csl-citation.json"}</w:instrText>
            </w:r>
            <w:r>
              <w:rPr>
                <w:rFonts w:ascii="Arial" w:hAnsi="Arial" w:cs="Arial"/>
                <w:color w:val="000000"/>
              </w:rPr>
              <w:fldChar w:fldCharType="separate"/>
            </w:r>
            <w:r w:rsidRPr="007A7487">
              <w:rPr>
                <w:rFonts w:ascii="Arial" w:hAnsi="Arial" w:cs="Arial"/>
                <w:noProof/>
                <w:color w:val="000000"/>
                <w:vertAlign w:val="superscript"/>
              </w:rPr>
              <w:t>1</w:t>
            </w:r>
            <w:r>
              <w:rPr>
                <w:rFonts w:ascii="Arial" w:hAnsi="Arial" w:cs="Arial"/>
                <w:color w:val="000000"/>
              </w:rPr>
              <w:fldChar w:fldCharType="end"/>
            </w:r>
          </w:p>
        </w:tc>
      </w:tr>
    </w:tbl>
    <w:p w14:paraId="256592BC" w14:textId="77777777" w:rsidR="00E5290F" w:rsidRPr="00875DDA" w:rsidRDefault="00E5290F" w:rsidP="00E5290F">
      <w:pPr>
        <w:tabs>
          <w:tab w:val="left" w:pos="6120"/>
          <w:tab w:val="left" w:pos="7200"/>
        </w:tabs>
        <w:spacing w:after="200" w:line="480" w:lineRule="auto"/>
        <w:rPr>
          <w:rFonts w:ascii="Arial" w:hAnsi="Arial" w:cs="Arial"/>
          <w:color w:val="000000"/>
        </w:rPr>
      </w:pPr>
    </w:p>
    <w:p w14:paraId="44BB050C" w14:textId="77777777" w:rsidR="00E5290F" w:rsidRPr="00297AE7" w:rsidRDefault="00E5290F" w:rsidP="00E5290F">
      <w:pPr>
        <w:widowControl w:val="0"/>
        <w:autoSpaceDE w:val="0"/>
        <w:autoSpaceDN w:val="0"/>
        <w:adjustRightInd w:val="0"/>
        <w:ind w:left="640" w:hanging="640"/>
        <w:rPr>
          <w:rFonts w:ascii="Calibri" w:hAnsi="Calibri" w:cs="Calibri"/>
          <w:noProof/>
        </w:rPr>
      </w:pPr>
      <w:r>
        <w:fldChar w:fldCharType="begin" w:fldLock="1"/>
      </w:r>
      <w:r>
        <w:instrText xml:space="preserve">ADDIN Mendeley Bibliography CSL_BIBLIOGRAPHY </w:instrText>
      </w:r>
      <w:r>
        <w:fldChar w:fldCharType="separate"/>
      </w:r>
      <w:r w:rsidRPr="00297AE7">
        <w:rPr>
          <w:rFonts w:ascii="Calibri" w:hAnsi="Calibri" w:cs="Calibri"/>
          <w:noProof/>
        </w:rPr>
        <w:t>1.</w:t>
      </w:r>
      <w:r w:rsidRPr="00297AE7">
        <w:rPr>
          <w:rFonts w:ascii="Calibri" w:hAnsi="Calibri" w:cs="Calibri"/>
          <w:noProof/>
        </w:rPr>
        <w:tab/>
        <w:t xml:space="preserve">Anzalone, A. V. </w:t>
      </w:r>
      <w:r w:rsidRPr="00297AE7">
        <w:rPr>
          <w:rFonts w:ascii="Calibri" w:hAnsi="Calibri" w:cs="Calibri"/>
          <w:i/>
          <w:iCs/>
          <w:noProof/>
        </w:rPr>
        <w:t>et al.</w:t>
      </w:r>
      <w:r w:rsidRPr="00297AE7">
        <w:rPr>
          <w:rFonts w:ascii="Calibri" w:hAnsi="Calibri" w:cs="Calibri"/>
          <w:noProof/>
        </w:rPr>
        <w:t xml:space="preserve"> Search-and-replace genome editing without double-strand breaks or donor DNA. </w:t>
      </w:r>
      <w:r w:rsidRPr="00297AE7">
        <w:rPr>
          <w:rFonts w:ascii="Calibri" w:hAnsi="Calibri" w:cs="Calibri"/>
          <w:i/>
          <w:iCs/>
          <w:noProof/>
        </w:rPr>
        <w:t>Nature</w:t>
      </w:r>
      <w:r w:rsidRPr="00297AE7">
        <w:rPr>
          <w:rFonts w:ascii="Calibri" w:hAnsi="Calibri" w:cs="Calibri"/>
          <w:noProof/>
        </w:rPr>
        <w:t xml:space="preserve"> </w:t>
      </w:r>
      <w:r w:rsidRPr="00297AE7">
        <w:rPr>
          <w:rFonts w:ascii="Calibri" w:hAnsi="Calibri" w:cs="Calibri"/>
          <w:b/>
          <w:bCs/>
          <w:noProof/>
        </w:rPr>
        <w:t>576</w:t>
      </w:r>
      <w:r w:rsidRPr="00297AE7">
        <w:rPr>
          <w:rFonts w:ascii="Calibri" w:hAnsi="Calibri" w:cs="Calibri"/>
          <w:noProof/>
        </w:rPr>
        <w:t>, 149–157 (2019).</w:t>
      </w:r>
    </w:p>
    <w:p w14:paraId="55BD7387" w14:textId="77777777" w:rsidR="00E5290F" w:rsidRPr="00297AE7" w:rsidRDefault="00E5290F" w:rsidP="00E5290F">
      <w:pPr>
        <w:widowControl w:val="0"/>
        <w:autoSpaceDE w:val="0"/>
        <w:autoSpaceDN w:val="0"/>
        <w:adjustRightInd w:val="0"/>
        <w:ind w:left="640" w:hanging="640"/>
        <w:rPr>
          <w:rFonts w:ascii="Calibri" w:hAnsi="Calibri" w:cs="Calibri"/>
          <w:noProof/>
        </w:rPr>
      </w:pPr>
      <w:r w:rsidRPr="00297AE7">
        <w:rPr>
          <w:rFonts w:ascii="Calibri" w:hAnsi="Calibri" w:cs="Calibri"/>
          <w:noProof/>
        </w:rPr>
        <w:t>2.</w:t>
      </w:r>
      <w:r w:rsidRPr="00297AE7">
        <w:rPr>
          <w:rFonts w:ascii="Calibri" w:hAnsi="Calibri" w:cs="Calibri"/>
          <w:noProof/>
        </w:rPr>
        <w:tab/>
        <w:t xml:space="preserve">Hsu, J. Y. </w:t>
      </w:r>
      <w:r w:rsidRPr="00297AE7">
        <w:rPr>
          <w:rFonts w:ascii="Calibri" w:hAnsi="Calibri" w:cs="Calibri"/>
          <w:i/>
          <w:iCs/>
          <w:noProof/>
        </w:rPr>
        <w:t>et al.</w:t>
      </w:r>
      <w:r w:rsidRPr="00297AE7">
        <w:rPr>
          <w:rFonts w:ascii="Calibri" w:hAnsi="Calibri" w:cs="Calibri"/>
          <w:noProof/>
        </w:rPr>
        <w:t xml:space="preserve"> PrimeDesign software for rapid and simplified design of prime editing guide RNAs. </w:t>
      </w:r>
      <w:r w:rsidRPr="00297AE7">
        <w:rPr>
          <w:rFonts w:ascii="Calibri" w:hAnsi="Calibri" w:cs="Calibri"/>
          <w:i/>
          <w:iCs/>
          <w:noProof/>
        </w:rPr>
        <w:t>Nat. Commun.</w:t>
      </w:r>
      <w:r w:rsidRPr="00297AE7">
        <w:rPr>
          <w:rFonts w:ascii="Calibri" w:hAnsi="Calibri" w:cs="Calibri"/>
          <w:noProof/>
        </w:rPr>
        <w:t xml:space="preserve"> </w:t>
      </w:r>
      <w:r w:rsidRPr="00297AE7">
        <w:rPr>
          <w:rFonts w:ascii="Calibri" w:hAnsi="Calibri" w:cs="Calibri"/>
          <w:b/>
          <w:bCs/>
          <w:noProof/>
        </w:rPr>
        <w:t>12</w:t>
      </w:r>
      <w:r w:rsidRPr="00297AE7">
        <w:rPr>
          <w:rFonts w:ascii="Calibri" w:hAnsi="Calibri" w:cs="Calibri"/>
          <w:noProof/>
        </w:rPr>
        <w:t>, 1034 (2021).</w:t>
      </w:r>
    </w:p>
    <w:p w14:paraId="6005D789" w14:textId="77777777" w:rsidR="00E5290F" w:rsidRDefault="00E5290F" w:rsidP="00E5290F">
      <w:r>
        <w:fldChar w:fldCharType="end"/>
      </w:r>
    </w:p>
    <w:p w14:paraId="5B2A8646" w14:textId="77777777" w:rsidR="00E5290F" w:rsidRDefault="00E5290F" w:rsidP="00E5290F">
      <w:pPr>
        <w:rPr>
          <w:rFonts w:ascii="Arial" w:hAnsi="Arial" w:cs="Arial"/>
          <w:b/>
          <w:bCs/>
          <w:color w:val="000000"/>
          <w:sz w:val="20"/>
          <w:szCs w:val="20"/>
        </w:rPr>
      </w:pPr>
    </w:p>
    <w:p w14:paraId="3CD12AFD" w14:textId="77777777" w:rsidR="007A4901" w:rsidRDefault="007A4901"/>
    <w:sectPr w:rsidR="007A4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AB"/>
    <w:rsid w:val="00244477"/>
    <w:rsid w:val="006A05AB"/>
    <w:rsid w:val="007A4901"/>
    <w:rsid w:val="00E52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2908AF"/>
  <w14:defaultImageDpi w14:val="32767"/>
  <w15:chartTrackingRefBased/>
  <w15:docId w15:val="{BA9260B0-2C2D-4553-B6AA-315BC52E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290F"/>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2">
    <w:name w:val="Grid Table 2"/>
    <w:basedOn w:val="TableNormal"/>
    <w:uiPriority w:val="47"/>
    <w:rsid w:val="00E5290F"/>
    <w:pPr>
      <w:spacing w:after="0" w:line="240" w:lineRule="auto"/>
    </w:pPr>
    <w:rPr>
      <w:rFonts w:eastAsiaTheme="minorEastAsia"/>
      <w:sz w:val="24"/>
      <w:szCs w:val="24"/>
      <w:lang w:eastAsia="zh-CN"/>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4551</Words>
  <Characters>25944</Characters>
  <Application>Microsoft Office Word</Application>
  <DocSecurity>0</DocSecurity>
  <Lines>216</Lines>
  <Paragraphs>60</Paragraphs>
  <ScaleCrop>false</ScaleCrop>
  <Company/>
  <LinksUpToDate>false</LinksUpToDate>
  <CharactersWithSpaces>30435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Yichao</dc:creator>
  <cp:keywords/>
  <dc:description/>
  <cp:lastModifiedBy>Li, Yichao</cp:lastModifiedBy>
  <cp:revision>2</cp:revision>
  <dcterms:created xsi:type="dcterms:W3CDTF">2021-07-27T18:14:00Z</dcterms:created>
  <dcterms:modified xsi:type="dcterms:W3CDTF">2021-07-27T18:14:00Z</dcterms:modified>
</cp:coreProperties>
</file>