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090F5" w14:textId="153EF4AC" w:rsidR="009C357F" w:rsidRDefault="00941D41" w:rsidP="0058384C">
      <w:pPr>
        <w:spacing w:line="480" w:lineRule="auto"/>
        <w:rPr>
          <w:rFonts w:ascii="Times New Roman" w:eastAsia="Times New Roman" w:hAnsi="Times New Roman" w:cs="Times New Roman"/>
          <w:b/>
          <w:color w:val="000000"/>
          <w:sz w:val="24"/>
          <w:szCs w:val="24"/>
        </w:rPr>
      </w:pPr>
      <w:bookmarkStart w:id="0" w:name="_3rdcrjn" w:colFirst="0" w:colLast="0"/>
      <w:bookmarkEnd w:id="0"/>
      <w:r>
        <w:rPr>
          <w:rFonts w:ascii="Times New Roman" w:eastAsia="Times New Roman" w:hAnsi="Times New Roman" w:cs="Times New Roman"/>
          <w:b/>
          <w:color w:val="000000"/>
          <w:sz w:val="24"/>
          <w:szCs w:val="24"/>
        </w:rPr>
        <w:t>Supplementary</w:t>
      </w:r>
    </w:p>
    <w:p w14:paraId="19B5C0C7" w14:textId="77777777" w:rsidR="009C357F" w:rsidRDefault="00941D41">
      <w:pPr>
        <w:pStyle w:val="Heading3"/>
        <w:spacing w:line="480" w:lineRule="auto"/>
        <w:rPr>
          <w:rFonts w:ascii="Times New Roman" w:eastAsia="Times New Roman" w:hAnsi="Times New Roman" w:cs="Times New Roman"/>
          <w:b/>
        </w:rPr>
      </w:pPr>
      <w:bookmarkStart w:id="1" w:name="_egbj89hp2zrb" w:colFirst="0" w:colLast="0"/>
      <w:bookmarkEnd w:id="1"/>
      <w:r>
        <w:rPr>
          <w:rFonts w:ascii="Times New Roman" w:eastAsia="Times New Roman" w:hAnsi="Times New Roman" w:cs="Times New Roman"/>
          <w:b/>
        </w:rPr>
        <w:t>C</w:t>
      </w:r>
      <w:r>
        <w:rPr>
          <w:rFonts w:ascii="Times New Roman" w:eastAsia="Times New Roman" w:hAnsi="Times New Roman" w:cs="Times New Roman"/>
          <w:b/>
        </w:rPr>
        <w:t xml:space="preserve">omparison of use of t-test in </w:t>
      </w:r>
      <w:proofErr w:type="spellStart"/>
      <w:r>
        <w:rPr>
          <w:rFonts w:ascii="Times New Roman" w:eastAsia="Times New Roman" w:hAnsi="Times New Roman" w:cs="Times New Roman"/>
          <w:b/>
        </w:rPr>
        <w:t>treekoR</w:t>
      </w:r>
      <w:proofErr w:type="spellEnd"/>
      <w:r>
        <w:rPr>
          <w:rFonts w:ascii="Times New Roman" w:eastAsia="Times New Roman" w:hAnsi="Times New Roman" w:cs="Times New Roman"/>
          <w:b/>
        </w:rPr>
        <w:t xml:space="preserve"> to count </w:t>
      </w:r>
      <w:proofErr w:type="gramStart"/>
      <w:r>
        <w:rPr>
          <w:rFonts w:ascii="Times New Roman" w:eastAsia="Times New Roman" w:hAnsi="Times New Roman" w:cs="Times New Roman"/>
          <w:b/>
        </w:rPr>
        <w:t>models</w:t>
      </w:r>
      <w:proofErr w:type="gram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edgeR</w:t>
      </w:r>
      <w:proofErr w:type="spellEnd"/>
      <w:r>
        <w:rPr>
          <w:rFonts w:ascii="Times New Roman" w:eastAsia="Times New Roman" w:hAnsi="Times New Roman" w:cs="Times New Roman"/>
          <w:b/>
        </w:rPr>
        <w:t xml:space="preserve"> and GLMM</w:t>
      </w:r>
    </w:p>
    <w:p w14:paraId="6CB1477D" w14:textId="77777777" w:rsidR="009C357F" w:rsidRDefault="00941D41">
      <w:pPr>
        <w:pStyle w:val="Heading2"/>
        <w:widowControl w:val="0"/>
        <w:spacing w:line="480" w:lineRule="auto"/>
        <w:rPr>
          <w:rFonts w:ascii="Times New Roman" w:eastAsia="Times New Roman" w:hAnsi="Times New Roman" w:cs="Times New Roman"/>
          <w:color w:val="FF0000"/>
          <w:sz w:val="24"/>
          <w:szCs w:val="24"/>
        </w:rPr>
      </w:pPr>
      <w:bookmarkStart w:id="2" w:name="_vo0mrs5cbcuz" w:colFirst="0" w:colLast="0"/>
      <w:bookmarkEnd w:id="2"/>
      <w:r>
        <w:rPr>
          <w:rFonts w:ascii="Times New Roman" w:eastAsia="Times New Roman" w:hAnsi="Times New Roman" w:cs="Times New Roman"/>
          <w:color w:val="FF0000"/>
          <w:sz w:val="24"/>
          <w:szCs w:val="24"/>
        </w:rPr>
        <w:t xml:space="preserve">In this section, p-values obtained from using t-tests on proportions are compared to p-values obtained from using </w:t>
      </w:r>
      <w:proofErr w:type="spellStart"/>
      <w:r>
        <w:rPr>
          <w:rFonts w:ascii="Times New Roman" w:eastAsia="Times New Roman" w:hAnsi="Times New Roman" w:cs="Times New Roman"/>
          <w:color w:val="FF0000"/>
          <w:sz w:val="24"/>
          <w:szCs w:val="24"/>
        </w:rPr>
        <w:t>edgeR</w:t>
      </w:r>
      <w:proofErr w:type="spellEnd"/>
      <w:r>
        <w:rPr>
          <w:rFonts w:ascii="Times New Roman" w:eastAsia="Times New Roman" w:hAnsi="Times New Roman" w:cs="Times New Roman"/>
          <w:color w:val="FF0000"/>
          <w:sz w:val="24"/>
          <w:szCs w:val="24"/>
        </w:rPr>
        <w:t xml:space="preserve"> and GLMM on counts. P-values were computed from testing for associ</w:t>
      </w:r>
      <w:r>
        <w:rPr>
          <w:rFonts w:ascii="Times New Roman" w:eastAsia="Times New Roman" w:hAnsi="Times New Roman" w:cs="Times New Roman"/>
          <w:color w:val="FF0000"/>
          <w:sz w:val="24"/>
          <w:szCs w:val="24"/>
        </w:rPr>
        <w:t>ation with COVID-19 response using a flow cytometry sample T Cells</w:t>
      </w:r>
      <w:hyperlink r:id="rId6">
        <w:r>
          <w:rPr>
            <w:rFonts w:ascii="Times New Roman" w:eastAsia="Times New Roman" w:hAnsi="Times New Roman" w:cs="Times New Roman"/>
            <w:color w:val="000000"/>
            <w:sz w:val="24"/>
            <w:szCs w:val="24"/>
            <w:vertAlign w:val="superscript"/>
          </w:rPr>
          <w:t>4</w:t>
        </w:r>
      </w:hyperlink>
      <w:r>
        <w:rPr>
          <w:rFonts w:ascii="Times New Roman" w:eastAsia="Times New Roman" w:hAnsi="Times New Roman" w:cs="Times New Roman"/>
          <w:color w:val="FF0000"/>
          <w:sz w:val="24"/>
          <w:szCs w:val="24"/>
        </w:rPr>
        <w:t xml:space="preserve">. When the p-values from </w:t>
      </w:r>
      <w:proofErr w:type="spellStart"/>
      <w:r>
        <w:rPr>
          <w:rFonts w:ascii="Times New Roman" w:eastAsia="Times New Roman" w:hAnsi="Times New Roman" w:cs="Times New Roman"/>
          <w:color w:val="FF0000"/>
          <w:sz w:val="24"/>
          <w:szCs w:val="24"/>
        </w:rPr>
        <w:t>treekoR</w:t>
      </w:r>
      <w:proofErr w:type="spellEnd"/>
      <w:r>
        <w:rPr>
          <w:rFonts w:ascii="Times New Roman" w:eastAsia="Times New Roman" w:hAnsi="Times New Roman" w:cs="Times New Roman"/>
          <w:color w:val="FF0000"/>
          <w:sz w:val="24"/>
          <w:szCs w:val="24"/>
        </w:rPr>
        <w:t xml:space="preserve"> were compared to the p-values from </w:t>
      </w:r>
      <w:proofErr w:type="spellStart"/>
      <w:r>
        <w:rPr>
          <w:rFonts w:ascii="Times New Roman" w:eastAsia="Times New Roman" w:hAnsi="Times New Roman" w:cs="Times New Roman"/>
          <w:color w:val="FF0000"/>
          <w:sz w:val="24"/>
          <w:szCs w:val="24"/>
        </w:rPr>
        <w:t>edgeR</w:t>
      </w:r>
      <w:proofErr w:type="spellEnd"/>
      <w:r>
        <w:rPr>
          <w:rFonts w:ascii="Times New Roman" w:eastAsia="Times New Roman" w:hAnsi="Times New Roman" w:cs="Times New Roman"/>
          <w:color w:val="FF0000"/>
          <w:sz w:val="24"/>
          <w:szCs w:val="24"/>
        </w:rPr>
        <w:t xml:space="preserve"> and GLMM, Spearman correlations </w:t>
      </w:r>
      <w:proofErr w:type="gramStart"/>
      <w:r>
        <w:rPr>
          <w:rFonts w:ascii="Times New Roman" w:eastAsia="Times New Roman" w:hAnsi="Times New Roman" w:cs="Times New Roman"/>
          <w:color w:val="FF0000"/>
          <w:sz w:val="24"/>
          <w:szCs w:val="24"/>
        </w:rPr>
        <w:t>of  0.895</w:t>
      </w:r>
      <w:proofErr w:type="gramEnd"/>
      <w:r>
        <w:rPr>
          <w:rFonts w:ascii="Times New Roman" w:eastAsia="Times New Roman" w:hAnsi="Times New Roman" w:cs="Times New Roman"/>
          <w:color w:val="FF0000"/>
          <w:sz w:val="24"/>
          <w:szCs w:val="24"/>
        </w:rPr>
        <w:t xml:space="preserve"> and 0.838 (respec</w:t>
      </w:r>
      <w:r>
        <w:rPr>
          <w:rFonts w:ascii="Times New Roman" w:eastAsia="Times New Roman" w:hAnsi="Times New Roman" w:cs="Times New Roman"/>
          <w:color w:val="FF0000"/>
          <w:sz w:val="24"/>
          <w:szCs w:val="24"/>
        </w:rPr>
        <w:t>tively) were obtained using %total, and 0.862 and 0.895 (respectively) were obtained using %parent (</w:t>
      </w:r>
      <w:r>
        <w:rPr>
          <w:rFonts w:ascii="Times New Roman" w:eastAsia="Times New Roman" w:hAnsi="Times New Roman" w:cs="Times New Roman"/>
          <w:b/>
          <w:color w:val="FF0000"/>
          <w:sz w:val="24"/>
          <w:szCs w:val="24"/>
        </w:rPr>
        <w:t>Figure S1</w:t>
      </w:r>
      <w:r>
        <w:rPr>
          <w:rFonts w:ascii="Times New Roman" w:eastAsia="Times New Roman" w:hAnsi="Times New Roman" w:cs="Times New Roman"/>
          <w:color w:val="FF0000"/>
          <w:sz w:val="24"/>
          <w:szCs w:val="24"/>
        </w:rPr>
        <w:t>). Although there are differences between how the methods handle the variability in the data, leading to different p-values in some cell types, the</w:t>
      </w:r>
      <w:r>
        <w:rPr>
          <w:rFonts w:ascii="Times New Roman" w:eastAsia="Times New Roman" w:hAnsi="Times New Roman" w:cs="Times New Roman"/>
          <w:color w:val="FF0000"/>
          <w:sz w:val="24"/>
          <w:szCs w:val="24"/>
        </w:rPr>
        <w:t xml:space="preserve"> p-values obtained from modelling cell types as counts and proportions broadly followed the same trend.</w:t>
      </w:r>
    </w:p>
    <w:p w14:paraId="68108543" w14:textId="77777777" w:rsidR="009C357F" w:rsidRDefault="009C357F"/>
    <w:p w14:paraId="5CD5491C" w14:textId="77777777" w:rsidR="009C357F" w:rsidRDefault="009C357F"/>
    <w:p w14:paraId="7D6294FB" w14:textId="77777777" w:rsidR="009C357F" w:rsidRDefault="00941D41">
      <w:pPr>
        <w:pStyle w:val="Heading3"/>
        <w:spacing w:line="480" w:lineRule="auto"/>
        <w:rPr>
          <w:rFonts w:ascii="Times New Roman" w:eastAsia="Times New Roman" w:hAnsi="Times New Roman" w:cs="Times New Roman"/>
          <w:b/>
        </w:rPr>
      </w:pPr>
      <w:bookmarkStart w:id="3" w:name="_lnxbz9" w:colFirst="0" w:colLast="0"/>
      <w:bookmarkEnd w:id="3"/>
      <w:r>
        <w:rPr>
          <w:rFonts w:ascii="Times New Roman" w:eastAsia="Times New Roman" w:hAnsi="Times New Roman" w:cs="Times New Roman"/>
          <w:b/>
        </w:rPr>
        <w:t>Different hierarchical clustering methods uncover varying %parent relationships in cytometry data</w:t>
      </w:r>
    </w:p>
    <w:p w14:paraId="49FA4AE8" w14:textId="77777777" w:rsidR="009C357F" w:rsidRDefault="00941D4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this section several tree structures derived from</w:t>
      </w:r>
      <w:r>
        <w:rPr>
          <w:rFonts w:ascii="Times New Roman" w:eastAsia="Times New Roman" w:hAnsi="Times New Roman" w:cs="Times New Roman"/>
          <w:sz w:val="24"/>
          <w:szCs w:val="24"/>
        </w:rPr>
        <w:t xml:space="preserve"> different hierarchical aggregation techniques are compared, in addition to a manual gating tree structure. The </w:t>
      </w:r>
      <w:proofErr w:type="gramStart"/>
      <w:r>
        <w:rPr>
          <w:rFonts w:ascii="Times New Roman" w:eastAsia="Times New Roman" w:hAnsi="Times New Roman" w:cs="Times New Roman"/>
          <w:sz w:val="24"/>
          <w:szCs w:val="24"/>
        </w:rPr>
        <w:t>manner in which</w:t>
      </w:r>
      <w:proofErr w:type="gramEnd"/>
      <w:r>
        <w:rPr>
          <w:rFonts w:ascii="Times New Roman" w:eastAsia="Times New Roman" w:hAnsi="Times New Roman" w:cs="Times New Roman"/>
          <w:sz w:val="24"/>
          <w:szCs w:val="24"/>
        </w:rPr>
        <w:t xml:space="preserve"> these ultimately result in capturing different signals from the data are demonstrated. Although no single representation may be </w:t>
      </w:r>
      <w:r>
        <w:rPr>
          <w:rFonts w:ascii="Times New Roman" w:eastAsia="Times New Roman" w:hAnsi="Times New Roman" w:cs="Times New Roman"/>
          <w:sz w:val="24"/>
          <w:szCs w:val="24"/>
        </w:rPr>
        <w:t xml:space="preserve">the absolute correct one, exploring these different representations can begin to help analysts to uncover a broader scope of complex relationships that exist within cytometry data to discover the cellular heterogeneity between patient samples. </w:t>
      </w:r>
    </w:p>
    <w:p w14:paraId="22188B83" w14:textId="77777777" w:rsidR="009C357F" w:rsidRDefault="00941D4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our fram</w:t>
      </w:r>
      <w:r>
        <w:rPr>
          <w:rFonts w:ascii="Times New Roman" w:eastAsia="Times New Roman" w:hAnsi="Times New Roman" w:cs="Times New Roman"/>
          <w:sz w:val="24"/>
          <w:szCs w:val="24"/>
        </w:rPr>
        <w:t xml:space="preserve">ework, the HOPACH algorithm was used to hierarchically aggregate the clusters into a tree. HOPACH is a clustering algorithm that was originally developed for gene expression data </w:t>
      </w:r>
      <w:proofErr w:type="gramStart"/>
      <w:r>
        <w:rPr>
          <w:rFonts w:ascii="Times New Roman" w:eastAsia="Times New Roman" w:hAnsi="Times New Roman" w:cs="Times New Roman"/>
          <w:sz w:val="24"/>
          <w:szCs w:val="24"/>
        </w:rPr>
        <w:t>analysis, but</w:t>
      </w:r>
      <w:proofErr w:type="gramEnd"/>
      <w:r>
        <w:rPr>
          <w:rFonts w:ascii="Times New Roman" w:eastAsia="Times New Roman" w:hAnsi="Times New Roman" w:cs="Times New Roman"/>
          <w:sz w:val="24"/>
          <w:szCs w:val="24"/>
        </w:rPr>
        <w:t xml:space="preserve"> has useful properties for the analysis of high-dimensional </w:t>
      </w:r>
      <w:r>
        <w:rPr>
          <w:rFonts w:ascii="Times New Roman" w:eastAsia="Times New Roman" w:hAnsi="Times New Roman" w:cs="Times New Roman"/>
          <w:sz w:val="24"/>
          <w:szCs w:val="24"/>
        </w:rPr>
        <w:lastRenderedPageBreak/>
        <w:t>cyto</w:t>
      </w:r>
      <w:r>
        <w:rPr>
          <w:rFonts w:ascii="Times New Roman" w:eastAsia="Times New Roman" w:hAnsi="Times New Roman" w:cs="Times New Roman"/>
          <w:sz w:val="24"/>
          <w:szCs w:val="24"/>
        </w:rPr>
        <w:t>metry data. One advantage is the lack of restriction for splits to be binary, allowing up to 15 child nodes per node (</w:t>
      </w:r>
      <w:r>
        <w:rPr>
          <w:rFonts w:ascii="Times New Roman" w:eastAsia="Times New Roman" w:hAnsi="Times New Roman" w:cs="Times New Roman"/>
          <w:b/>
          <w:sz w:val="24"/>
          <w:szCs w:val="24"/>
        </w:rPr>
        <w:t>Figure S2a</w:t>
      </w:r>
      <w:r>
        <w:rPr>
          <w:rFonts w:ascii="Times New Roman" w:eastAsia="Times New Roman" w:hAnsi="Times New Roman" w:cs="Times New Roman"/>
          <w:sz w:val="24"/>
          <w:szCs w:val="24"/>
        </w:rPr>
        <w:t>). In this example it can be observed that Pre-B cells, Mature B Cells and Immature B Cells fall under the same parent node, whi</w:t>
      </w:r>
      <w:r>
        <w:rPr>
          <w:rFonts w:ascii="Times New Roman" w:eastAsia="Times New Roman" w:hAnsi="Times New Roman" w:cs="Times New Roman"/>
          <w:sz w:val="24"/>
          <w:szCs w:val="24"/>
        </w:rPr>
        <w:t>ch, for example, would allow analysts to determine whether the compositional makeup of B cells plays any role in patient disease. Another advantage of HOPACH is the cluster collapsing step, which helps to alleviate any incorrect splitting of clusters. This</w:t>
      </w:r>
      <w:r>
        <w:rPr>
          <w:rFonts w:ascii="Times New Roman" w:eastAsia="Times New Roman" w:hAnsi="Times New Roman" w:cs="Times New Roman"/>
          <w:sz w:val="24"/>
          <w:szCs w:val="24"/>
        </w:rPr>
        <w:t xml:space="preserve"> helps prevent the tree from containing too many branches, which can reduce some correlations between proportions as our framework explores each of the parent-child relationships in the generated trees. </w:t>
      </w:r>
    </w:p>
    <w:p w14:paraId="22ACE347" w14:textId="77777777" w:rsidR="009C357F" w:rsidRDefault="00941D4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high-dimensional nature of single cell cytometry</w:t>
      </w:r>
      <w:r>
        <w:rPr>
          <w:rFonts w:ascii="Times New Roman" w:eastAsia="Times New Roman" w:hAnsi="Times New Roman" w:cs="Times New Roman"/>
          <w:sz w:val="24"/>
          <w:szCs w:val="24"/>
        </w:rPr>
        <w:t xml:space="preserve"> data gives rise to numerous biologically relevant cell type hierarchies. </w:t>
      </w:r>
      <w:proofErr w:type="spellStart"/>
      <w:r>
        <w:rPr>
          <w:rFonts w:ascii="Times New Roman" w:eastAsia="Times New Roman" w:hAnsi="Times New Roman" w:cs="Times New Roman"/>
          <w:sz w:val="24"/>
          <w:szCs w:val="24"/>
        </w:rPr>
        <w:t>treekoR</w:t>
      </w:r>
      <w:proofErr w:type="spellEnd"/>
      <w:r>
        <w:rPr>
          <w:rFonts w:ascii="Times New Roman" w:eastAsia="Times New Roman" w:hAnsi="Times New Roman" w:cs="Times New Roman"/>
          <w:sz w:val="24"/>
          <w:szCs w:val="24"/>
        </w:rPr>
        <w:t xml:space="preserve"> acknowledges this by providing a framework which is not restricted to one specific cell type hierarchy constructed by a specific algorithm. We compared trees constructed usin</w:t>
      </w:r>
      <w:r>
        <w:rPr>
          <w:rFonts w:ascii="Times New Roman" w:eastAsia="Times New Roman" w:hAnsi="Times New Roman" w:cs="Times New Roman"/>
          <w:sz w:val="24"/>
          <w:szCs w:val="24"/>
        </w:rPr>
        <w:t>g Hierarchical Ordered Partitioning And Collapsing Hybrid (HOPACH)</w:t>
      </w:r>
      <w:hyperlink r:id="rId7">
        <w:r>
          <w:rPr>
            <w:rFonts w:ascii="Times New Roman" w:eastAsia="Times New Roman" w:hAnsi="Times New Roman" w:cs="Times New Roman"/>
            <w:color w:val="000000"/>
            <w:sz w:val="24"/>
            <w:szCs w:val="24"/>
            <w:vertAlign w:val="superscript"/>
          </w:rPr>
          <w:t>17</w:t>
        </w:r>
      </w:hyperlink>
      <w:r>
        <w:rPr>
          <w:rFonts w:ascii="Times New Roman" w:eastAsia="Times New Roman" w:hAnsi="Times New Roman" w:cs="Times New Roman"/>
          <w:sz w:val="24"/>
          <w:szCs w:val="24"/>
        </w:rPr>
        <w:t xml:space="preserve"> clustering, average-linkage hierarchical clustering, and single-linkage hierarchical clustering via ‘</w:t>
      </w:r>
      <w:proofErr w:type="spellStart"/>
      <w:r>
        <w:rPr>
          <w:rFonts w:ascii="Times New Roman" w:eastAsia="Times New Roman" w:hAnsi="Times New Roman" w:cs="Times New Roman"/>
          <w:sz w:val="24"/>
          <w:szCs w:val="24"/>
        </w:rPr>
        <w:t>tanglegrams</w:t>
      </w:r>
      <w:proofErr w:type="spellEnd"/>
      <w:r>
        <w:rPr>
          <w:rFonts w:ascii="Times New Roman" w:eastAsia="Times New Roman" w:hAnsi="Times New Roman" w:cs="Times New Roman"/>
          <w:sz w:val="24"/>
          <w:szCs w:val="24"/>
        </w:rPr>
        <w:t xml:space="preserve">’ (a pair of trees </w:t>
      </w:r>
      <w:r>
        <w:rPr>
          <w:rFonts w:ascii="Times New Roman" w:eastAsia="Times New Roman" w:hAnsi="Times New Roman" w:cs="Times New Roman"/>
          <w:sz w:val="24"/>
          <w:szCs w:val="24"/>
        </w:rPr>
        <w:t>drawn with edges connecting matching leaves between the pair) on a PBMC sample from a healthy bone marrow donor</w:t>
      </w:r>
      <w:hyperlink r:id="rId8">
        <w:r>
          <w:rPr>
            <w:rFonts w:ascii="Times New Roman" w:eastAsia="Times New Roman" w:hAnsi="Times New Roman" w:cs="Times New Roman"/>
            <w:color w:val="000000"/>
            <w:sz w:val="24"/>
            <w:szCs w:val="24"/>
            <w:vertAlign w:val="superscript"/>
          </w:rPr>
          <w:t>42</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Figure S2b-S2d</w:t>
      </w:r>
      <w:r>
        <w:rPr>
          <w:rFonts w:ascii="Times New Roman" w:eastAsia="Times New Roman" w:hAnsi="Times New Roman" w:cs="Times New Roman"/>
          <w:sz w:val="24"/>
          <w:szCs w:val="24"/>
        </w:rPr>
        <w:t>). The comparison highlights distinct cell type trees, which would cons</w:t>
      </w:r>
      <w:r>
        <w:rPr>
          <w:rFonts w:ascii="Times New Roman" w:eastAsia="Times New Roman" w:hAnsi="Times New Roman" w:cs="Times New Roman"/>
          <w:sz w:val="24"/>
          <w:szCs w:val="24"/>
        </w:rPr>
        <w:t xml:space="preserve">equently result in distinct quantifications of %parent proportions. Average-linkage hierarchical clustering - used in algorithms such as </w:t>
      </w:r>
      <w:proofErr w:type="spellStart"/>
      <w:r>
        <w:rPr>
          <w:rFonts w:ascii="Times New Roman" w:eastAsia="Times New Roman" w:hAnsi="Times New Roman" w:cs="Times New Roman"/>
          <w:sz w:val="24"/>
          <w:szCs w:val="24"/>
        </w:rPr>
        <w:t>treeclimbr</w:t>
      </w:r>
      <w:proofErr w:type="spellEnd"/>
      <w:r>
        <w:rPr>
          <w:rFonts w:ascii="Times New Roman" w:eastAsia="Times New Roman" w:hAnsi="Times New Roman" w:cs="Times New Roman"/>
          <w:sz w:val="24"/>
          <w:szCs w:val="24"/>
        </w:rPr>
        <w:t xml:space="preserve"> and citrus - and single-linkage clustering - closely resembling minimum spanning trees</w:t>
      </w:r>
      <w:hyperlink r:id="rId9">
        <w:r>
          <w:rPr>
            <w:rFonts w:ascii="Times New Roman" w:eastAsia="Times New Roman" w:hAnsi="Times New Roman" w:cs="Times New Roman"/>
            <w:color w:val="000000"/>
            <w:sz w:val="24"/>
            <w:szCs w:val="24"/>
            <w:vertAlign w:val="superscript"/>
          </w:rPr>
          <w:t>43</w:t>
        </w:r>
      </w:hyperlink>
      <w:r>
        <w:rPr>
          <w:rFonts w:ascii="Times New Roman" w:eastAsia="Times New Roman" w:hAnsi="Times New Roman" w:cs="Times New Roman"/>
          <w:sz w:val="24"/>
          <w:szCs w:val="24"/>
        </w:rPr>
        <w:t xml:space="preserve"> used in SPADE and visualising </w:t>
      </w:r>
      <w:proofErr w:type="spellStart"/>
      <w:r>
        <w:rPr>
          <w:rFonts w:ascii="Times New Roman" w:eastAsia="Times New Roman" w:hAnsi="Times New Roman" w:cs="Times New Roman"/>
          <w:sz w:val="24"/>
          <w:szCs w:val="24"/>
        </w:rPr>
        <w:t>FlowSOM</w:t>
      </w:r>
      <w:proofErr w:type="spellEnd"/>
      <w:r>
        <w:rPr>
          <w:rFonts w:ascii="Times New Roman" w:eastAsia="Times New Roman" w:hAnsi="Times New Roman" w:cs="Times New Roman"/>
          <w:sz w:val="24"/>
          <w:szCs w:val="24"/>
        </w:rPr>
        <w:t xml:space="preserve"> - generate distinct hierarchical representations of the data. In this dataset, HOPACH provided a representation more closely resembling the manual gating tree constructed by Bendall et al. Of importance is that one re</w:t>
      </w:r>
      <w:r>
        <w:rPr>
          <w:rFonts w:ascii="Times New Roman" w:eastAsia="Times New Roman" w:hAnsi="Times New Roman" w:cs="Times New Roman"/>
          <w:sz w:val="24"/>
          <w:szCs w:val="24"/>
        </w:rPr>
        <w:t>presentation of cell type hierarchy may not necessarily be the most informative, but each of these representations can lead to diverse yet relevant %parent relationships.</w:t>
      </w:r>
    </w:p>
    <w:p w14:paraId="5D97E798" w14:textId="77777777" w:rsidR="009C357F" w:rsidRDefault="00941D41">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When comparing the HOPACH constructed tree to the manual gating hierarchy, a clear di</w:t>
      </w:r>
      <w:r>
        <w:rPr>
          <w:rFonts w:ascii="Times New Roman" w:eastAsia="Times New Roman" w:hAnsi="Times New Roman" w:cs="Times New Roman"/>
          <w:sz w:val="24"/>
          <w:szCs w:val="24"/>
        </w:rPr>
        <w:t>fference is how NK cells and GMP cells are grouped - NK and GMP fall under the same immediate parent node in the HOPACH tree whilst they are not in the gating tree (</w:t>
      </w:r>
      <w:r>
        <w:rPr>
          <w:rFonts w:ascii="Times New Roman" w:eastAsia="Times New Roman" w:hAnsi="Times New Roman" w:cs="Times New Roman"/>
          <w:b/>
          <w:sz w:val="24"/>
          <w:szCs w:val="24"/>
        </w:rPr>
        <w:t>Figure S2b</w:t>
      </w:r>
      <w:r>
        <w:rPr>
          <w:rFonts w:ascii="Times New Roman" w:eastAsia="Times New Roman" w:hAnsi="Times New Roman" w:cs="Times New Roman"/>
          <w:sz w:val="24"/>
          <w:szCs w:val="24"/>
        </w:rPr>
        <w:t xml:space="preserve">). An analyst may gate the cell types differently using two markers such as CD34 </w:t>
      </w:r>
      <w:r>
        <w:rPr>
          <w:rFonts w:ascii="Times New Roman" w:eastAsia="Times New Roman" w:hAnsi="Times New Roman" w:cs="Times New Roman"/>
          <w:sz w:val="24"/>
          <w:szCs w:val="24"/>
        </w:rPr>
        <w:t>&amp; CD45RA (</w:t>
      </w:r>
      <w:r>
        <w:rPr>
          <w:rFonts w:ascii="Times New Roman" w:eastAsia="Times New Roman" w:hAnsi="Times New Roman" w:cs="Times New Roman"/>
          <w:b/>
          <w:sz w:val="24"/>
          <w:szCs w:val="24"/>
        </w:rPr>
        <w:t>Figure S2f</w:t>
      </w:r>
      <w:r>
        <w:rPr>
          <w:rFonts w:ascii="Times New Roman" w:eastAsia="Times New Roman" w:hAnsi="Times New Roman" w:cs="Times New Roman"/>
          <w:sz w:val="24"/>
          <w:szCs w:val="24"/>
        </w:rPr>
        <w:t>). Although this provides a more interpretable representation to cell groupings, it is clear in the t-SNE plot (</w:t>
      </w:r>
      <w:r>
        <w:rPr>
          <w:rFonts w:ascii="Times New Roman" w:eastAsia="Times New Roman" w:hAnsi="Times New Roman" w:cs="Times New Roman"/>
          <w:b/>
          <w:sz w:val="24"/>
          <w:szCs w:val="24"/>
        </w:rPr>
        <w:t>Figure S2g</w:t>
      </w:r>
      <w:r>
        <w:rPr>
          <w:rFonts w:ascii="Times New Roman" w:eastAsia="Times New Roman" w:hAnsi="Times New Roman" w:cs="Times New Roman"/>
          <w:sz w:val="24"/>
          <w:szCs w:val="24"/>
        </w:rPr>
        <w:t>) how they would group together via clustering which considers all the available markers in unison. This indicates</w:t>
      </w:r>
      <w:r>
        <w:rPr>
          <w:rFonts w:ascii="Times New Roman" w:eastAsia="Times New Roman" w:hAnsi="Times New Roman" w:cs="Times New Roman"/>
          <w:sz w:val="24"/>
          <w:szCs w:val="24"/>
        </w:rPr>
        <w:t xml:space="preserve"> the effect of the experimental panel design, where some biologically distinct cell subpopulations can group together in automated clustering methods when there are more markers to distinguish them. Although there are notable differences between the automa</w:t>
      </w:r>
      <w:r>
        <w:rPr>
          <w:rFonts w:ascii="Times New Roman" w:eastAsia="Times New Roman" w:hAnsi="Times New Roman" w:cs="Times New Roman"/>
          <w:sz w:val="24"/>
          <w:szCs w:val="24"/>
        </w:rPr>
        <w:t xml:space="preserve">tically generated tree and the manually gated hierarchy, the HOPACH clustering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regenerate some of the cell type groupings. Despite some scenarios where the parent proportions may make less sense, this provides our framework with a big advantage </w:t>
      </w:r>
      <w:r>
        <w:rPr>
          <w:rFonts w:ascii="Times New Roman" w:eastAsia="Times New Roman" w:hAnsi="Times New Roman" w:cs="Times New Roman"/>
          <w:sz w:val="24"/>
          <w:szCs w:val="24"/>
        </w:rPr>
        <w:t>over manual gating through being more efficient in handling larger datasets as well requiring a lower extent of prior knowledge to subset cells.</w:t>
      </w:r>
    </w:p>
    <w:p w14:paraId="279C9307" w14:textId="77777777" w:rsidR="009C357F" w:rsidRDefault="009C357F">
      <w:pPr>
        <w:spacing w:line="480" w:lineRule="auto"/>
        <w:rPr>
          <w:rFonts w:ascii="Times New Roman" w:eastAsia="Times New Roman" w:hAnsi="Times New Roman" w:cs="Times New Roman"/>
          <w:sz w:val="24"/>
          <w:szCs w:val="24"/>
        </w:rPr>
      </w:pPr>
    </w:p>
    <w:p w14:paraId="3CC14118" w14:textId="77777777" w:rsidR="009C357F" w:rsidRDefault="009C357F">
      <w:pPr>
        <w:shd w:val="clear" w:color="auto" w:fill="FFFFFF"/>
        <w:spacing w:after="150" w:line="480" w:lineRule="auto"/>
        <w:rPr>
          <w:rFonts w:ascii="Times New Roman" w:eastAsia="Times New Roman" w:hAnsi="Times New Roman" w:cs="Times New Roman"/>
          <w:sz w:val="24"/>
          <w:szCs w:val="24"/>
        </w:rPr>
      </w:pPr>
    </w:p>
    <w:p w14:paraId="5CEB0F7B" w14:textId="77777777" w:rsidR="009C357F" w:rsidRDefault="00941D41">
      <w:pPr>
        <w:shd w:val="clear" w:color="auto" w:fill="FFFFFF"/>
        <w:spacing w:after="150" w:line="480" w:lineRule="auto"/>
        <w:rPr>
          <w:rFonts w:ascii="Times New Roman" w:eastAsia="Times New Roman" w:hAnsi="Times New Roman" w:cs="Times New Roman"/>
          <w:sz w:val="24"/>
          <w:szCs w:val="24"/>
        </w:rPr>
      </w:pPr>
      <w:r>
        <w:br w:type="page"/>
      </w:r>
    </w:p>
    <w:p w14:paraId="40BDD2C0" w14:textId="77777777" w:rsidR="009C357F" w:rsidRDefault="00941D41">
      <w:pPr>
        <w:shd w:val="clear" w:color="auto" w:fill="FFFFFF"/>
        <w:spacing w:after="150"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13A24352" wp14:editId="52FD6D5D">
            <wp:extent cx="5731200" cy="5143500"/>
            <wp:effectExtent l="0" t="0" r="0" b="0"/>
            <wp:docPr id="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
                    <a:srcRect/>
                    <a:stretch>
                      <a:fillRect/>
                    </a:stretch>
                  </pic:blipFill>
                  <pic:spPr>
                    <a:xfrm>
                      <a:off x="0" y="0"/>
                      <a:ext cx="5731200" cy="5143500"/>
                    </a:xfrm>
                    <a:prstGeom prst="rect">
                      <a:avLst/>
                    </a:prstGeom>
                    <a:ln/>
                  </pic:spPr>
                </pic:pic>
              </a:graphicData>
            </a:graphic>
          </wp:inline>
        </w:drawing>
      </w:r>
    </w:p>
    <w:p w14:paraId="4D4AED43" w14:textId="77777777" w:rsidR="009C357F" w:rsidRDefault="00941D41">
      <w:pPr>
        <w:shd w:val="clear" w:color="auto" w:fill="FFFFFF"/>
        <w:spacing w:after="150" w:line="480" w:lineRule="auto"/>
        <w:rPr>
          <w:rFonts w:ascii="Times New Roman" w:eastAsia="Times New Roman" w:hAnsi="Times New Roman" w:cs="Times New Roman"/>
          <w:color w:val="FF0000"/>
          <w:sz w:val="24"/>
          <w:szCs w:val="24"/>
        </w:rPr>
      </w:pPr>
      <w:r>
        <w:rPr>
          <w:rFonts w:ascii="Times New Roman" w:eastAsia="Times New Roman" w:hAnsi="Times New Roman" w:cs="Times New Roman"/>
          <w:b/>
          <w:color w:val="FF0000"/>
          <w:sz w:val="24"/>
          <w:szCs w:val="24"/>
        </w:rPr>
        <w:t xml:space="preserve">Fig S1: A pairs plot of p-values generated from testing using counts in </w:t>
      </w:r>
      <w:proofErr w:type="spellStart"/>
      <w:r>
        <w:rPr>
          <w:rFonts w:ascii="Times New Roman" w:eastAsia="Times New Roman" w:hAnsi="Times New Roman" w:cs="Times New Roman"/>
          <w:b/>
          <w:color w:val="FF0000"/>
          <w:sz w:val="24"/>
          <w:szCs w:val="24"/>
        </w:rPr>
        <w:t>edgeR</w:t>
      </w:r>
      <w:proofErr w:type="spellEnd"/>
      <w:r>
        <w:rPr>
          <w:rFonts w:ascii="Times New Roman" w:eastAsia="Times New Roman" w:hAnsi="Times New Roman" w:cs="Times New Roman"/>
          <w:b/>
          <w:color w:val="FF0000"/>
          <w:sz w:val="24"/>
          <w:szCs w:val="24"/>
        </w:rPr>
        <w:t>, counts in GLMM and proport</w:t>
      </w:r>
      <w:r>
        <w:rPr>
          <w:rFonts w:ascii="Times New Roman" w:eastAsia="Times New Roman" w:hAnsi="Times New Roman" w:cs="Times New Roman"/>
          <w:b/>
          <w:color w:val="FF0000"/>
          <w:sz w:val="24"/>
          <w:szCs w:val="24"/>
        </w:rPr>
        <w:t xml:space="preserve">ions in t-tests. </w:t>
      </w:r>
      <w:r>
        <w:rPr>
          <w:rFonts w:ascii="Times New Roman" w:eastAsia="Times New Roman" w:hAnsi="Times New Roman" w:cs="Times New Roman"/>
          <w:color w:val="FF0000"/>
          <w:sz w:val="24"/>
          <w:szCs w:val="24"/>
        </w:rPr>
        <w:t xml:space="preserve"> Each point in the scatterplots represents a cell type obtained from running </w:t>
      </w:r>
      <w:proofErr w:type="spellStart"/>
      <w:r>
        <w:rPr>
          <w:rFonts w:ascii="Times New Roman" w:eastAsia="Times New Roman" w:hAnsi="Times New Roman" w:cs="Times New Roman"/>
          <w:color w:val="FF0000"/>
          <w:sz w:val="24"/>
          <w:szCs w:val="24"/>
        </w:rPr>
        <w:t>treekoR</w:t>
      </w:r>
      <w:proofErr w:type="spellEnd"/>
      <w:r>
        <w:rPr>
          <w:rFonts w:ascii="Times New Roman" w:eastAsia="Times New Roman" w:hAnsi="Times New Roman" w:cs="Times New Roman"/>
          <w:color w:val="FF0000"/>
          <w:sz w:val="24"/>
          <w:szCs w:val="24"/>
        </w:rPr>
        <w:t xml:space="preserve"> on the dataset COVID-19 T Cells (CD8+ T cell compartment), and their respective p-values from testing between healthy vs COVID-19. The negative log10 of t</w:t>
      </w:r>
      <w:r>
        <w:rPr>
          <w:rFonts w:ascii="Times New Roman" w:eastAsia="Times New Roman" w:hAnsi="Times New Roman" w:cs="Times New Roman"/>
          <w:color w:val="FF0000"/>
          <w:sz w:val="24"/>
          <w:szCs w:val="24"/>
        </w:rPr>
        <w:t>he p-values multiplied by the sign of the log fold change were plotted on the x and y axes in the scatterplots. Points highlighted in blue represent cell types which had a p-value &lt; 0.01 from a t-test using %parent and p-value &gt; 0.1 from a t-test using %to</w:t>
      </w:r>
      <w:r>
        <w:rPr>
          <w:rFonts w:ascii="Times New Roman" w:eastAsia="Times New Roman" w:hAnsi="Times New Roman" w:cs="Times New Roman"/>
          <w:color w:val="FF0000"/>
          <w:sz w:val="24"/>
          <w:szCs w:val="24"/>
        </w:rPr>
        <w:t xml:space="preserve">tal. Spearman correlations are shown in the upper triangle of the plot grid. </w:t>
      </w:r>
    </w:p>
    <w:p w14:paraId="4E7CF131" w14:textId="77777777" w:rsidR="009C357F" w:rsidRDefault="00941D41">
      <w:pPr>
        <w:spacing w:line="480" w:lineRule="auto"/>
        <w:rPr>
          <w:rFonts w:ascii="Times New Roman" w:eastAsia="Times New Roman" w:hAnsi="Times New Roman" w:cs="Times New Roman"/>
          <w:sz w:val="24"/>
          <w:szCs w:val="24"/>
        </w:rPr>
      </w:pPr>
      <w:r>
        <w:rPr>
          <w:noProof/>
        </w:rPr>
        <w:lastRenderedPageBreak/>
        <w:drawing>
          <wp:inline distT="0" distB="0" distL="0" distR="0" wp14:anchorId="5F597B0D" wp14:editId="06D27BA4">
            <wp:extent cx="5731200" cy="6692900"/>
            <wp:effectExtent l="0" t="0" r="0" b="0"/>
            <wp:docPr id="6"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1"/>
                    <a:srcRect/>
                    <a:stretch>
                      <a:fillRect/>
                    </a:stretch>
                  </pic:blipFill>
                  <pic:spPr>
                    <a:xfrm>
                      <a:off x="0" y="0"/>
                      <a:ext cx="5731200" cy="6692900"/>
                    </a:xfrm>
                    <a:prstGeom prst="rect">
                      <a:avLst/>
                    </a:prstGeom>
                    <a:ln/>
                  </pic:spPr>
                </pic:pic>
              </a:graphicData>
            </a:graphic>
          </wp:inline>
        </w:drawing>
      </w:r>
    </w:p>
    <w:p w14:paraId="2A3DB414" w14:textId="77777777" w:rsidR="009C357F" w:rsidRDefault="00941D41">
      <w:pPr>
        <w:shd w:val="clear" w:color="auto" w:fill="FFFFFF"/>
        <w:spacing w:after="150" w:line="48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Fig S2: </w:t>
      </w:r>
      <w:proofErr w:type="spellStart"/>
      <w:r>
        <w:rPr>
          <w:rFonts w:ascii="Times New Roman" w:eastAsia="Times New Roman" w:hAnsi="Times New Roman" w:cs="Times New Roman"/>
          <w:b/>
          <w:sz w:val="24"/>
          <w:szCs w:val="24"/>
        </w:rPr>
        <w:t>treekoR</w:t>
      </w:r>
      <w:proofErr w:type="spellEnd"/>
      <w:r>
        <w:rPr>
          <w:rFonts w:ascii="Times New Roman" w:eastAsia="Times New Roman" w:hAnsi="Times New Roman" w:cs="Times New Roman"/>
          <w:b/>
          <w:sz w:val="24"/>
          <w:szCs w:val="24"/>
        </w:rPr>
        <w:t xml:space="preserve"> facilities varying cell type hierarchies to enable the measurement of cell types %parent</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a.</w:t>
      </w:r>
      <w:r>
        <w:rPr>
          <w:rFonts w:ascii="Times New Roman" w:eastAsia="Times New Roman" w:hAnsi="Times New Roman" w:cs="Times New Roman"/>
          <w:sz w:val="24"/>
          <w:szCs w:val="24"/>
        </w:rPr>
        <w:t xml:space="preserve"> A heatmap of the median marker frequencies, clustered using HOPACH, </w:t>
      </w:r>
      <w:r>
        <w:rPr>
          <w:rFonts w:ascii="Times New Roman" w:eastAsia="Times New Roman" w:hAnsi="Times New Roman" w:cs="Times New Roman"/>
          <w:sz w:val="24"/>
          <w:szCs w:val="24"/>
        </w:rPr>
        <w:t xml:space="preserve">for each cell type as </w:t>
      </w:r>
      <w:proofErr w:type="spellStart"/>
      <w:r>
        <w:rPr>
          <w:rFonts w:ascii="Times New Roman" w:eastAsia="Times New Roman" w:hAnsi="Times New Roman" w:cs="Times New Roman"/>
          <w:sz w:val="24"/>
          <w:szCs w:val="24"/>
        </w:rPr>
        <w:t>subsetted</w:t>
      </w:r>
      <w:proofErr w:type="spellEnd"/>
      <w:r>
        <w:rPr>
          <w:rFonts w:ascii="Times New Roman" w:eastAsia="Times New Roman" w:hAnsi="Times New Roman" w:cs="Times New Roman"/>
          <w:sz w:val="24"/>
          <w:szCs w:val="24"/>
        </w:rPr>
        <w:t xml:space="preserve"> with manual gating from a healthy human bone marrow sample</w:t>
      </w:r>
      <w:hyperlink r:id="rId12">
        <w:r>
          <w:rPr>
            <w:rFonts w:ascii="Times New Roman" w:eastAsia="Times New Roman" w:hAnsi="Times New Roman" w:cs="Times New Roman"/>
            <w:color w:val="000000"/>
            <w:sz w:val="24"/>
            <w:szCs w:val="24"/>
            <w:vertAlign w:val="superscript"/>
          </w:rPr>
          <w:t>42</w:t>
        </w:r>
      </w:hyperlink>
      <w:r>
        <w:rPr>
          <w:rFonts w:ascii="Times New Roman" w:eastAsia="Times New Roman" w:hAnsi="Times New Roman" w:cs="Times New Roman"/>
          <w:sz w:val="24"/>
          <w:szCs w:val="24"/>
        </w:rPr>
        <w:t xml:space="preserve"> (top left). </w:t>
      </w:r>
      <w:proofErr w:type="spellStart"/>
      <w:proofErr w:type="gramStart"/>
      <w:r>
        <w:rPr>
          <w:rFonts w:ascii="Times New Roman" w:eastAsia="Times New Roman" w:hAnsi="Times New Roman" w:cs="Times New Roman"/>
          <w:b/>
          <w:sz w:val="24"/>
          <w:szCs w:val="24"/>
        </w:rPr>
        <w:t>b.</w:t>
      </w:r>
      <w:r>
        <w:rPr>
          <w:rFonts w:ascii="Times New Roman" w:eastAsia="Times New Roman" w:hAnsi="Times New Roman" w:cs="Times New Roman"/>
          <w:sz w:val="24"/>
          <w:szCs w:val="24"/>
        </w:rPr>
        <w:t>Tanglegrams</w:t>
      </w:r>
      <w:proofErr w:type="spellEnd"/>
      <w:proofErr w:type="gramEnd"/>
      <w:r>
        <w:rPr>
          <w:rFonts w:ascii="Times New Roman" w:eastAsia="Times New Roman" w:hAnsi="Times New Roman" w:cs="Times New Roman"/>
          <w:sz w:val="24"/>
          <w:szCs w:val="24"/>
        </w:rPr>
        <w:t xml:space="preserve"> comparing two trees to highlight differences in cell type hierarchies: manual gat</w:t>
      </w:r>
      <w:r>
        <w:rPr>
          <w:rFonts w:ascii="Times New Roman" w:eastAsia="Times New Roman" w:hAnsi="Times New Roman" w:cs="Times New Roman"/>
          <w:sz w:val="24"/>
          <w:szCs w:val="24"/>
        </w:rPr>
        <w:t xml:space="preserve">ing hierarchy vs. HOPACH clustering; </w:t>
      </w:r>
      <w:r>
        <w:rPr>
          <w:rFonts w:ascii="Times New Roman" w:eastAsia="Times New Roman" w:hAnsi="Times New Roman" w:cs="Times New Roman"/>
          <w:b/>
          <w:sz w:val="24"/>
          <w:szCs w:val="24"/>
        </w:rPr>
        <w:t xml:space="preserve">c. </w:t>
      </w:r>
      <w:r>
        <w:rPr>
          <w:rFonts w:ascii="Times New Roman" w:eastAsia="Times New Roman" w:hAnsi="Times New Roman" w:cs="Times New Roman"/>
          <w:sz w:val="24"/>
          <w:szCs w:val="24"/>
        </w:rPr>
        <w:t xml:space="preserve">average-linkage hierarchical </w:t>
      </w:r>
      <w:r>
        <w:rPr>
          <w:rFonts w:ascii="Times New Roman" w:eastAsia="Times New Roman" w:hAnsi="Times New Roman" w:cs="Times New Roman"/>
          <w:sz w:val="24"/>
          <w:szCs w:val="24"/>
        </w:rPr>
        <w:lastRenderedPageBreak/>
        <w:t xml:space="preserve">clustering vs. HOPACH clustering; and </w:t>
      </w:r>
      <w:r>
        <w:rPr>
          <w:rFonts w:ascii="Times New Roman" w:eastAsia="Times New Roman" w:hAnsi="Times New Roman" w:cs="Times New Roman"/>
          <w:b/>
          <w:sz w:val="24"/>
          <w:szCs w:val="24"/>
        </w:rPr>
        <w:t xml:space="preserve">d. </w:t>
      </w:r>
      <w:r>
        <w:rPr>
          <w:rFonts w:ascii="Times New Roman" w:eastAsia="Times New Roman" w:hAnsi="Times New Roman" w:cs="Times New Roman"/>
          <w:sz w:val="24"/>
          <w:szCs w:val="24"/>
        </w:rPr>
        <w:t xml:space="preserve">single-linkage hierarchical clustering vs. HOPACH clustering (bottom right). </w:t>
      </w:r>
      <w:r>
        <w:rPr>
          <w:rFonts w:ascii="Times New Roman" w:eastAsia="Times New Roman" w:hAnsi="Times New Roman" w:cs="Times New Roman"/>
          <w:b/>
          <w:sz w:val="24"/>
          <w:szCs w:val="24"/>
        </w:rPr>
        <w:t xml:space="preserve">e. </w:t>
      </w:r>
      <w:r>
        <w:rPr>
          <w:rFonts w:ascii="Times New Roman" w:eastAsia="Times New Roman" w:hAnsi="Times New Roman" w:cs="Times New Roman"/>
          <w:sz w:val="24"/>
          <w:szCs w:val="24"/>
        </w:rPr>
        <w:t>A t-SNE plot of the sample, highlighted by the manually gated cell types</w:t>
      </w:r>
      <w:r>
        <w:rPr>
          <w:rFonts w:ascii="Times New Roman" w:eastAsia="Times New Roman" w:hAnsi="Times New Roman" w:cs="Times New Roman"/>
          <w:b/>
          <w:sz w:val="24"/>
          <w:szCs w:val="24"/>
        </w:rPr>
        <w:t xml:space="preserve"> f. </w:t>
      </w:r>
      <w:r>
        <w:rPr>
          <w:rFonts w:ascii="Times New Roman" w:eastAsia="Times New Roman" w:hAnsi="Times New Roman" w:cs="Times New Roman"/>
          <w:sz w:val="24"/>
          <w:szCs w:val="24"/>
        </w:rPr>
        <w:t xml:space="preserve">Scatterplot of CD34 vs. CD45RA with only CMP, GMP, MEP &amp; NK cells highlighted </w:t>
      </w:r>
      <w:r>
        <w:rPr>
          <w:rFonts w:ascii="Times New Roman" w:eastAsia="Times New Roman" w:hAnsi="Times New Roman" w:cs="Times New Roman"/>
          <w:b/>
          <w:sz w:val="24"/>
          <w:szCs w:val="24"/>
        </w:rPr>
        <w:t xml:space="preserve">g. </w:t>
      </w:r>
      <w:r>
        <w:rPr>
          <w:rFonts w:ascii="Times New Roman" w:eastAsia="Times New Roman" w:hAnsi="Times New Roman" w:cs="Times New Roman"/>
          <w:sz w:val="24"/>
          <w:szCs w:val="24"/>
        </w:rPr>
        <w:t>A t-SNE plot of the sample with only CMP, GMP, MEP &amp; NK cells highlighted</w:t>
      </w:r>
    </w:p>
    <w:sectPr w:rsidR="009C357F">
      <w:headerReference w:type="default" r:id="rId13"/>
      <w:footerReference w:type="default" r:id="rId14"/>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E77FC3" w14:textId="77777777" w:rsidR="00941D41" w:rsidRDefault="00941D41">
      <w:pPr>
        <w:spacing w:after="0" w:line="240" w:lineRule="auto"/>
      </w:pPr>
      <w:r>
        <w:separator/>
      </w:r>
    </w:p>
  </w:endnote>
  <w:endnote w:type="continuationSeparator" w:id="0">
    <w:p w14:paraId="200D3067" w14:textId="77777777" w:rsidR="00941D41" w:rsidRDefault="00941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3E34E" w14:textId="77777777" w:rsidR="009C357F" w:rsidRDefault="009C35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8EEF37" w14:textId="77777777" w:rsidR="00941D41" w:rsidRDefault="00941D41">
      <w:pPr>
        <w:spacing w:after="0" w:line="240" w:lineRule="auto"/>
      </w:pPr>
      <w:r>
        <w:separator/>
      </w:r>
    </w:p>
  </w:footnote>
  <w:footnote w:type="continuationSeparator" w:id="0">
    <w:p w14:paraId="623EFA2B" w14:textId="77777777" w:rsidR="00941D41" w:rsidRDefault="00941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F5104A" w14:textId="77777777" w:rsidR="009C357F" w:rsidRDefault="009C357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57F"/>
    <w:rsid w:val="0058384C"/>
    <w:rsid w:val="00941D41"/>
    <w:rsid w:val="009C357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6411C"/>
  <w15:docId w15:val="{40D32920-DD4A-4714-9854-5D395450F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40" w:after="0"/>
      <w:outlineLvl w:val="1"/>
    </w:pPr>
    <w:rPr>
      <w:color w:val="2F5496"/>
      <w:sz w:val="26"/>
      <w:szCs w:val="26"/>
    </w:rPr>
  </w:style>
  <w:style w:type="paragraph" w:styleId="Heading3">
    <w:name w:val="heading 3"/>
    <w:basedOn w:val="Normal"/>
    <w:next w:val="Normal"/>
    <w:uiPriority w:val="9"/>
    <w:unhideWhenUsed/>
    <w:qFormat/>
    <w:pPr>
      <w:keepNext/>
      <w:keepLines/>
      <w:spacing w:before="40" w:after="0"/>
      <w:outlineLvl w:val="2"/>
    </w:pPr>
    <w:rPr>
      <w:color w:val="1F3863"/>
      <w:sz w:val="24"/>
      <w:szCs w:val="24"/>
    </w:rPr>
  </w:style>
  <w:style w:type="paragraph" w:styleId="Heading4">
    <w:name w:val="heading 4"/>
    <w:basedOn w:val="Normal"/>
    <w:next w:val="Normal"/>
    <w:uiPriority w:val="9"/>
    <w:semiHidden/>
    <w:unhideWhenUsed/>
    <w:qFormat/>
    <w:pPr>
      <w:keepNext/>
      <w:keepLines/>
      <w:spacing w:before="40" w:after="0"/>
      <w:outlineLvl w:val="3"/>
    </w:pPr>
    <w:rPr>
      <w:i/>
      <w:color w:val="2F5496"/>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https://paperpile.com/c/dKyHE7/FWiNz"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perpile.com/c/dKyHE7/c6gx6" TargetMode="External"/><Relationship Id="rId12" Type="http://schemas.openxmlformats.org/officeDocument/2006/relationships/hyperlink" Target="https://paperpile.com/c/dKyHE7/FWiNz"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aperpile.com/c/dKyHE7/CQJUW" TargetMode="External"/><Relationship Id="rId11" Type="http://schemas.openxmlformats.org/officeDocument/2006/relationships/image" Target="media/image2.jp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hyperlink" Target="https://paperpile.com/c/dKyHE7/p9iO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1025</Words>
  <Characters>5846</Characters>
  <Application>Microsoft Office Word</Application>
  <DocSecurity>0</DocSecurity>
  <Lines>48</Lines>
  <Paragraphs>13</Paragraphs>
  <ScaleCrop>false</ScaleCrop>
  <Company/>
  <LinksUpToDate>false</LinksUpToDate>
  <CharactersWithSpaces>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Adam Chan</cp:lastModifiedBy>
  <cp:revision>2</cp:revision>
  <dcterms:created xsi:type="dcterms:W3CDTF">2021-10-22T07:15:00Z</dcterms:created>
  <dcterms:modified xsi:type="dcterms:W3CDTF">2021-10-22T07:15:00Z</dcterms:modified>
</cp:coreProperties>
</file>