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B8B64" w14:textId="07479827" w:rsidR="00B2474F" w:rsidRPr="009475DF" w:rsidRDefault="00B2474F" w:rsidP="00B2474F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t>Supplementary figures</w:t>
      </w:r>
      <w:r>
        <w:rPr>
          <w:b/>
          <w:bCs/>
        </w:rPr>
        <w:t xml:space="preserve"> for</w:t>
      </w:r>
    </w:p>
    <w:p w14:paraId="020D108D" w14:textId="0EF46288" w:rsidR="00B2474F" w:rsidRDefault="00B2474F" w:rsidP="000D1316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Yang et al., </w:t>
      </w:r>
      <w:r w:rsidRPr="00B2474F">
        <w:rPr>
          <w:b/>
          <w:bCs/>
        </w:rPr>
        <w:t xml:space="preserve">Wheat in vivo RNA structure landscape reveals a prevalent role of RNA structure in modulating translational </w:t>
      </w:r>
      <w:proofErr w:type="spellStart"/>
      <w:r w:rsidRPr="00B2474F">
        <w:rPr>
          <w:b/>
          <w:bCs/>
        </w:rPr>
        <w:t>subgenome</w:t>
      </w:r>
      <w:proofErr w:type="spellEnd"/>
      <w:r w:rsidRPr="00B2474F">
        <w:rPr>
          <w:b/>
          <w:bCs/>
        </w:rPr>
        <w:t xml:space="preserve"> expression asymmetry</w:t>
      </w:r>
      <w:r>
        <w:rPr>
          <w:b/>
          <w:bCs/>
        </w:rPr>
        <w:t xml:space="preserve">, </w:t>
      </w:r>
      <w:r w:rsidRPr="00B2474F">
        <w:rPr>
          <w:b/>
          <w:bCs/>
          <w:i/>
          <w:iCs/>
        </w:rPr>
        <w:t>Genome Biology</w:t>
      </w:r>
      <w:r>
        <w:rPr>
          <w:b/>
          <w:bCs/>
        </w:rPr>
        <w:t xml:space="preserve"> (2021).</w:t>
      </w:r>
    </w:p>
    <w:p w14:paraId="25FBB612" w14:textId="77777777" w:rsidR="00B2474F" w:rsidRDefault="00B2474F" w:rsidP="000D1316">
      <w:pPr>
        <w:spacing w:line="360" w:lineRule="auto"/>
        <w:jc w:val="both"/>
        <w:rPr>
          <w:b/>
          <w:bCs/>
        </w:rPr>
      </w:pPr>
    </w:p>
    <w:p w14:paraId="50AFE857" w14:textId="5074A571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t>FigureS1</w:t>
      </w:r>
    </w:p>
    <w:p w14:paraId="0771333E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  <w:noProof/>
          <w:lang w:val="en-US"/>
        </w:rPr>
        <w:drawing>
          <wp:inline distT="0" distB="0" distL="0" distR="0" wp14:anchorId="7FFAC709" wp14:editId="52B29496">
            <wp:extent cx="5731510" cy="4771390"/>
            <wp:effectExtent l="0" t="0" r="0" b="0"/>
            <wp:docPr id="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low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778A3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 xml:space="preserve">Figure S1 </w:t>
      </w:r>
      <w:r w:rsidRPr="009475DF">
        <w:t>The high reproducibility of the libraries for RNA-</w:t>
      </w:r>
      <w:proofErr w:type="spellStart"/>
      <w:r w:rsidRPr="009475DF">
        <w:t>seq</w:t>
      </w:r>
      <w:proofErr w:type="spellEnd"/>
      <w:r w:rsidRPr="009475DF">
        <w:t xml:space="preserve"> and polysome-</w:t>
      </w:r>
      <w:proofErr w:type="spellStart"/>
      <w:r w:rsidRPr="009475DF">
        <w:t>seq</w:t>
      </w:r>
      <w:proofErr w:type="spellEnd"/>
      <w:r w:rsidRPr="009475DF">
        <w:t xml:space="preserve"> in tetraploid </w:t>
      </w:r>
      <w:r w:rsidRPr="009475DF">
        <w:rPr>
          <w:iCs/>
        </w:rPr>
        <w:t>Kronos</w:t>
      </w:r>
      <w:r w:rsidRPr="009475DF">
        <w:t xml:space="preserve">.  </w:t>
      </w:r>
    </w:p>
    <w:p w14:paraId="2B6BD803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(A)</w:t>
      </w:r>
      <w:r w:rsidRPr="009475DF">
        <w:t xml:space="preserve"> Heat plot showing the Pearson correlation coefficient among three biological replicates of RNA-</w:t>
      </w:r>
      <w:proofErr w:type="spellStart"/>
      <w:r w:rsidRPr="009475DF">
        <w:t>seq</w:t>
      </w:r>
      <w:proofErr w:type="spellEnd"/>
      <w:r w:rsidRPr="009475DF">
        <w:t xml:space="preserve"> libraries. </w:t>
      </w:r>
    </w:p>
    <w:p w14:paraId="634AB9EA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(B)</w:t>
      </w:r>
      <w:r w:rsidRPr="009475DF">
        <w:t xml:space="preserve"> Heat plot showing the Pearson correlation coefficient among three biological replicates of polysome-</w:t>
      </w:r>
      <w:proofErr w:type="spellStart"/>
      <w:r w:rsidRPr="009475DF">
        <w:t>seq</w:t>
      </w:r>
      <w:proofErr w:type="spellEnd"/>
      <w:r w:rsidRPr="009475DF">
        <w:t xml:space="preserve"> libraries.</w:t>
      </w:r>
    </w:p>
    <w:p w14:paraId="44CB2325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(C)</w:t>
      </w:r>
      <w:r w:rsidRPr="009475DF">
        <w:t xml:space="preserve"> Statistics of the RNA-</w:t>
      </w:r>
      <w:proofErr w:type="spellStart"/>
      <w:r w:rsidRPr="009475DF">
        <w:t>seq</w:t>
      </w:r>
      <w:proofErr w:type="spellEnd"/>
      <w:r w:rsidRPr="009475DF">
        <w:t xml:space="preserve"> and polysome-</w:t>
      </w:r>
      <w:proofErr w:type="spellStart"/>
      <w:r w:rsidRPr="009475DF">
        <w:t>seq</w:t>
      </w:r>
      <w:proofErr w:type="spellEnd"/>
      <w:r w:rsidRPr="009475DF">
        <w:t xml:space="preserve"> libraries.</w:t>
      </w:r>
    </w:p>
    <w:p w14:paraId="401013D0" w14:textId="77777777" w:rsidR="000D1316" w:rsidRPr="009475DF" w:rsidRDefault="000D1316" w:rsidP="000D1316">
      <w:pPr>
        <w:spacing w:line="360" w:lineRule="auto"/>
        <w:jc w:val="both"/>
      </w:pPr>
      <w:r w:rsidRPr="009475DF">
        <w:br w:type="page"/>
      </w:r>
    </w:p>
    <w:p w14:paraId="43D4F671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lastRenderedPageBreak/>
        <w:t>FigureS2</w:t>
      </w:r>
      <w:r w:rsidRPr="009475DF">
        <w:rPr>
          <w:b/>
          <w:bCs/>
        </w:rPr>
        <w:tab/>
      </w:r>
    </w:p>
    <w:p w14:paraId="5BFF2BC2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noProof/>
          <w:lang w:val="en-US"/>
        </w:rPr>
        <w:drawing>
          <wp:inline distT="0" distB="0" distL="0" distR="0" wp14:anchorId="27FB231F" wp14:editId="687F33ED">
            <wp:extent cx="5731510" cy="1896745"/>
            <wp:effectExtent l="0" t="0" r="2540" b="8255"/>
            <wp:docPr id="4" name="Picture 4" descr="A picture containing text, dark,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dark, l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EA217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Figure S2</w:t>
      </w:r>
      <w:r w:rsidRPr="009475DF">
        <w:t xml:space="preserve"> Relationship between translation efficiency and translation related factors. </w:t>
      </w:r>
    </w:p>
    <w:p w14:paraId="68DD4CC8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(A)</w:t>
      </w:r>
      <w:r w:rsidRPr="009475DF">
        <w:t xml:space="preserve"> Correlation between translation efficiency and CAI, with a correlation coefficient of 0.597.</w:t>
      </w:r>
    </w:p>
    <w:p w14:paraId="0CD77B3D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(B-C)</w:t>
      </w:r>
      <w:r w:rsidRPr="009475DF">
        <w:t xml:space="preserve"> Scatter plot showing the correlation between the differences of translation efficiency and GC content </w:t>
      </w:r>
      <w:r w:rsidRPr="009475DF">
        <w:rPr>
          <w:b/>
          <w:bCs/>
        </w:rPr>
        <w:t>(B)</w:t>
      </w:r>
      <w:r w:rsidRPr="009475DF">
        <w:t xml:space="preserve"> and </w:t>
      </w:r>
      <w:proofErr w:type="spellStart"/>
      <w:r w:rsidRPr="009475DF">
        <w:t>tAI</w:t>
      </w:r>
      <w:proofErr w:type="spellEnd"/>
      <w:r w:rsidRPr="009475DF">
        <w:t xml:space="preserve"> </w:t>
      </w:r>
      <w:r w:rsidRPr="009475DF">
        <w:rPr>
          <w:b/>
          <w:bCs/>
        </w:rPr>
        <w:t>(C)</w:t>
      </w:r>
      <w:r w:rsidRPr="009475DF">
        <w:t xml:space="preserve"> in A </w:t>
      </w:r>
      <w:proofErr w:type="spellStart"/>
      <w:r w:rsidRPr="009475DF">
        <w:t>subgenome</w:t>
      </w:r>
      <w:proofErr w:type="spellEnd"/>
      <w:r w:rsidRPr="009475DF">
        <w:t xml:space="preserve"> and B </w:t>
      </w:r>
      <w:proofErr w:type="spellStart"/>
      <w:r w:rsidRPr="009475DF">
        <w:t>subgenome</w:t>
      </w:r>
      <w:proofErr w:type="spellEnd"/>
      <w:r w:rsidRPr="009475DF">
        <w:t xml:space="preserve"> homoeologous genes.</w:t>
      </w:r>
    </w:p>
    <w:p w14:paraId="419F79D3" w14:textId="77777777" w:rsidR="000D1316" w:rsidRPr="009475DF" w:rsidRDefault="000D1316" w:rsidP="000D1316">
      <w:pPr>
        <w:spacing w:line="360" w:lineRule="auto"/>
        <w:jc w:val="both"/>
      </w:pPr>
      <w:r w:rsidRPr="009475DF">
        <w:br w:type="page"/>
      </w:r>
    </w:p>
    <w:p w14:paraId="1E116301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lastRenderedPageBreak/>
        <w:t>Figure S3</w:t>
      </w:r>
    </w:p>
    <w:p w14:paraId="1C0FDE8E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noProof/>
          <w:lang w:val="en-US"/>
        </w:rPr>
        <w:drawing>
          <wp:inline distT="0" distB="0" distL="0" distR="0" wp14:anchorId="72F7F8DD" wp14:editId="2E133A76">
            <wp:extent cx="5731510" cy="6132830"/>
            <wp:effectExtent l="0" t="0" r="0" b="1270"/>
            <wp:docPr id="9" name="Picture 9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3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9A21D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 xml:space="preserve">Figure S3 </w:t>
      </w:r>
      <w:r w:rsidRPr="009475DF">
        <w:t xml:space="preserve">NAI probing of tetraploid </w:t>
      </w:r>
      <w:r w:rsidRPr="009475DF">
        <w:rPr>
          <w:iCs/>
        </w:rPr>
        <w:t>Kronos</w:t>
      </w:r>
      <w:r w:rsidRPr="009475DF">
        <w:rPr>
          <w:i/>
          <w:iCs/>
        </w:rPr>
        <w:t xml:space="preserve"> </w:t>
      </w:r>
      <w:r w:rsidRPr="009475DF">
        <w:t xml:space="preserve">18S rRNA structure </w:t>
      </w:r>
      <w:r w:rsidRPr="009475DF">
        <w:rPr>
          <w:i/>
          <w:iCs/>
        </w:rPr>
        <w:t>in vivo</w:t>
      </w:r>
      <w:r w:rsidRPr="009475DF">
        <w:t xml:space="preserve">. </w:t>
      </w:r>
    </w:p>
    <w:p w14:paraId="632CF2AC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(A)</w:t>
      </w:r>
      <w:r w:rsidRPr="009475DF">
        <w:t xml:space="preserve"> NAI modification on 18S rRNA with different concentrations of NAI over 15 minutes. The modification signal was captured using reverse transcription stalling and gel-based analysis. The </w:t>
      </w:r>
      <w:proofErr w:type="spellStart"/>
      <w:r w:rsidRPr="009475DF">
        <w:t>Seq</w:t>
      </w:r>
      <w:proofErr w:type="spellEnd"/>
      <w:r w:rsidRPr="009475DF">
        <w:t xml:space="preserve"> Lanes of A/C/G/U indicate the sequence of the corresponding stalling.  </w:t>
      </w:r>
    </w:p>
    <w:p w14:paraId="4E669CE8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(B)</w:t>
      </w:r>
      <w:r w:rsidRPr="009475DF">
        <w:t xml:space="preserve"> 200 mM NAI modification on </w:t>
      </w:r>
      <w:r w:rsidRPr="009475DF">
        <w:rPr>
          <w:iCs/>
        </w:rPr>
        <w:t>18S rRNA</w:t>
      </w:r>
      <w:r w:rsidRPr="009475DF">
        <w:t xml:space="preserve"> with different incubation times, otherwise in A.</w:t>
      </w:r>
    </w:p>
    <w:p w14:paraId="519E43C0" w14:textId="77777777" w:rsidR="000D1316" w:rsidRPr="009475DF" w:rsidRDefault="000D1316" w:rsidP="000D1316">
      <w:pPr>
        <w:spacing w:line="360" w:lineRule="auto"/>
        <w:jc w:val="both"/>
      </w:pPr>
    </w:p>
    <w:p w14:paraId="3F9A03ED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br w:type="page"/>
      </w:r>
    </w:p>
    <w:p w14:paraId="12957983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lastRenderedPageBreak/>
        <w:t>FigureS4</w:t>
      </w:r>
    </w:p>
    <w:p w14:paraId="0B6344F9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noProof/>
          <w:lang w:val="en-US"/>
        </w:rPr>
        <w:drawing>
          <wp:inline distT="0" distB="0" distL="0" distR="0" wp14:anchorId="32B6843B" wp14:editId="1EFB8A3A">
            <wp:extent cx="5524042" cy="6181344"/>
            <wp:effectExtent l="0" t="0" r="0" b="0"/>
            <wp:docPr id="6" name="Picture 6" descr="A picture containing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924" cy="6191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75DF">
        <w:rPr>
          <w:b/>
          <w:bCs/>
        </w:rPr>
        <w:t xml:space="preserve">Figure S4 </w:t>
      </w:r>
      <w:r w:rsidRPr="009475DF">
        <w:t>The high reproducibility of the SHAPE-Structure-</w:t>
      </w:r>
      <w:proofErr w:type="spellStart"/>
      <w:r w:rsidRPr="009475DF">
        <w:t>seq</w:t>
      </w:r>
      <w:proofErr w:type="spellEnd"/>
      <w:r w:rsidRPr="009475DF">
        <w:t xml:space="preserve"> libraries.  </w:t>
      </w:r>
    </w:p>
    <w:p w14:paraId="7A59C8A3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(A)</w:t>
      </w:r>
      <w:r w:rsidRPr="009475DF">
        <w:t xml:space="preserve"> Statistics of our SHAPE-Structure-</w:t>
      </w:r>
      <w:proofErr w:type="spellStart"/>
      <w:r w:rsidRPr="009475DF">
        <w:t>seq</w:t>
      </w:r>
      <w:proofErr w:type="spellEnd"/>
      <w:r w:rsidRPr="009475DF">
        <w:t xml:space="preserve"> libraries.</w:t>
      </w:r>
    </w:p>
    <w:p w14:paraId="617320A8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(B)</w:t>
      </w:r>
      <w:r w:rsidRPr="009475DF">
        <w:t xml:space="preserve"> Scatter plot showing the Pearson correlation coefficient (PCC) between two biological replicates of -SHAPE libraries.  </w:t>
      </w:r>
    </w:p>
    <w:p w14:paraId="18B8A839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(C)</w:t>
      </w:r>
      <w:r w:rsidRPr="009475DF">
        <w:t xml:space="preserve"> Scatter plot showing the Pearson correlation coefficient (PCC) between two biological replicates of +SHAPE libraries.  </w:t>
      </w:r>
    </w:p>
    <w:p w14:paraId="7F1A485A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t xml:space="preserve">(D) </w:t>
      </w:r>
      <w:r w:rsidRPr="009475DF">
        <w:t>Histogram plot showing the high coverage of SHAPE-Structure-</w:t>
      </w:r>
      <w:proofErr w:type="spellStart"/>
      <w:r w:rsidRPr="009475DF">
        <w:t>seq</w:t>
      </w:r>
      <w:proofErr w:type="spellEnd"/>
      <w:r w:rsidRPr="009475DF">
        <w:t xml:space="preserve"> libraries in the Kronos transcriptome, with a sequencing depth of &gt;1reads/</w:t>
      </w:r>
      <w:proofErr w:type="spellStart"/>
      <w:r w:rsidRPr="009475DF">
        <w:t>nt</w:t>
      </w:r>
      <w:proofErr w:type="spellEnd"/>
      <w:r w:rsidRPr="009475DF">
        <w:t xml:space="preserve"> on 34,018 transcripts, represented by our +SHAPE library. </w:t>
      </w:r>
    </w:p>
    <w:p w14:paraId="2E56A6FF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lastRenderedPageBreak/>
        <w:t>FigureS5</w:t>
      </w:r>
    </w:p>
    <w:p w14:paraId="4D5159AE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noProof/>
          <w:lang w:val="en-US"/>
        </w:rPr>
        <w:drawing>
          <wp:inline distT="0" distB="0" distL="0" distR="0" wp14:anchorId="32F28ECA" wp14:editId="1E5CAC4F">
            <wp:extent cx="5727700" cy="1777365"/>
            <wp:effectExtent l="0" t="0" r="0" b="0"/>
            <wp:docPr id="14" name="Picture 14" descr="A picture containing night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night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4845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 xml:space="preserve">Figure S5 </w:t>
      </w:r>
      <w:r w:rsidRPr="009475DF">
        <w:t xml:space="preserve">Relationship between </w:t>
      </w:r>
      <w:r w:rsidRPr="009475DF">
        <w:rPr>
          <w:i/>
          <w:iCs/>
        </w:rPr>
        <w:t>in vivo</w:t>
      </w:r>
      <w:r w:rsidRPr="009475DF">
        <w:t xml:space="preserve"> RNA structure and GC content in different genic regions.</w:t>
      </w:r>
    </w:p>
    <w:p w14:paraId="6AE353A8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(A-C)</w:t>
      </w:r>
      <w:r w:rsidRPr="009475DF">
        <w:t xml:space="preserve"> The scatter plots showing the correlation between base-pairing probability and GC content in 5’UTR (A), CDS (B) and 3’UTR (C), respectively.</w:t>
      </w:r>
    </w:p>
    <w:p w14:paraId="2E0D5702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</w:p>
    <w:p w14:paraId="50CFAEAF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br w:type="page"/>
      </w:r>
    </w:p>
    <w:p w14:paraId="4A6D49F0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lastRenderedPageBreak/>
        <w:t>FigureS6</w:t>
      </w:r>
    </w:p>
    <w:p w14:paraId="5DBA5846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  <w:noProof/>
          <w:lang w:val="en-US"/>
        </w:rPr>
        <w:drawing>
          <wp:inline distT="0" distB="0" distL="0" distR="0" wp14:anchorId="644B0CC4" wp14:editId="2E35B2A4">
            <wp:extent cx="5727700" cy="4336415"/>
            <wp:effectExtent l="0" t="0" r="0" b="0"/>
            <wp:docPr id="19" name="Picture 19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Background patter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3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95856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 xml:space="preserve">Figure S6 </w:t>
      </w:r>
      <w:r w:rsidRPr="009475DF">
        <w:t xml:space="preserve">RNA structures of </w:t>
      </w:r>
      <w:proofErr w:type="spellStart"/>
      <w:r w:rsidRPr="009475DF">
        <w:t>homoelogous</w:t>
      </w:r>
      <w:proofErr w:type="spellEnd"/>
      <w:r w:rsidRPr="009475DF">
        <w:t xml:space="preserve"> genes with differences of translation efficiency (TE) in A and B </w:t>
      </w:r>
      <w:proofErr w:type="spellStart"/>
      <w:r w:rsidRPr="009475DF">
        <w:t>subgenome</w:t>
      </w:r>
      <w:proofErr w:type="spellEnd"/>
      <w:r w:rsidRPr="009475DF">
        <w:t>.</w:t>
      </w:r>
    </w:p>
    <w:p w14:paraId="3D1EAC17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(A)</w:t>
      </w:r>
      <w:r w:rsidRPr="009475DF">
        <w:t xml:space="preserve"> Arc diagram showing the RNA structure of the homoeologous gene pair of </w:t>
      </w:r>
      <w:r w:rsidRPr="009475DF">
        <w:rPr>
          <w:i/>
          <w:iCs/>
        </w:rPr>
        <w:t>cytochrome b6-f complex iron-</w:t>
      </w:r>
      <w:proofErr w:type="spellStart"/>
      <w:r w:rsidRPr="009475DF">
        <w:rPr>
          <w:i/>
          <w:iCs/>
        </w:rPr>
        <w:t>sulfur</w:t>
      </w:r>
      <w:proofErr w:type="spellEnd"/>
      <w:r w:rsidRPr="009475DF">
        <w:rPr>
          <w:i/>
          <w:iCs/>
        </w:rPr>
        <w:t xml:space="preserve"> subunit</w:t>
      </w:r>
      <w:r w:rsidRPr="009475DF">
        <w:t xml:space="preserve">, </w:t>
      </w:r>
      <w:r w:rsidRPr="009475DF">
        <w:rPr>
          <w:i/>
          <w:iCs/>
        </w:rPr>
        <w:t xml:space="preserve">TRITD2Av1G078520 </w:t>
      </w:r>
      <w:r w:rsidRPr="009475DF">
        <w:t xml:space="preserve">in A </w:t>
      </w:r>
      <w:proofErr w:type="spellStart"/>
      <w:r w:rsidRPr="009475DF">
        <w:t>subgenome</w:t>
      </w:r>
      <w:proofErr w:type="spellEnd"/>
      <w:r w:rsidRPr="009475DF">
        <w:t xml:space="preserve"> and </w:t>
      </w:r>
      <w:r w:rsidRPr="009475DF">
        <w:rPr>
          <w:i/>
          <w:iCs/>
        </w:rPr>
        <w:t>TRITD2Bv1G086350</w:t>
      </w:r>
      <w:r w:rsidRPr="009475DF">
        <w:t xml:space="preserve"> in B </w:t>
      </w:r>
      <w:proofErr w:type="spellStart"/>
      <w:r w:rsidRPr="009475DF">
        <w:t>subgeome</w:t>
      </w:r>
      <w:proofErr w:type="spellEnd"/>
      <w:r w:rsidRPr="009475DF">
        <w:t xml:space="preserve">, with higher TE in A </w:t>
      </w:r>
      <w:proofErr w:type="spellStart"/>
      <w:r w:rsidRPr="009475DF">
        <w:t>subgenome</w:t>
      </w:r>
      <w:proofErr w:type="spellEnd"/>
      <w:r w:rsidRPr="009475DF">
        <w:t xml:space="preserve"> than that in B </w:t>
      </w:r>
      <w:proofErr w:type="spellStart"/>
      <w:r w:rsidRPr="009475DF">
        <w:t>subgenome</w:t>
      </w:r>
      <w:proofErr w:type="spellEnd"/>
      <w:r w:rsidRPr="009475DF">
        <w:t xml:space="preserve">. Every arc corresponds to one base pair, the pairing nucleotides with pairing probability lower than 0.4, between 0.4 and 0.8, or over 0.8.are indicated by lines coloured with yellow, </w:t>
      </w:r>
      <w:proofErr w:type="gramStart"/>
      <w:r w:rsidRPr="009475DF">
        <w:t>green</w:t>
      </w:r>
      <w:proofErr w:type="gramEnd"/>
      <w:r w:rsidRPr="009475DF">
        <w:t xml:space="preserve"> or blue, respectively.</w:t>
      </w:r>
    </w:p>
    <w:p w14:paraId="5CBCC7D2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(B)</w:t>
      </w:r>
      <w:r w:rsidRPr="009475DF">
        <w:t xml:space="preserve"> Arc diagram showing the RNA structure of the homoeologous gene pair of </w:t>
      </w:r>
      <w:r w:rsidRPr="009475DF">
        <w:rPr>
          <w:i/>
          <w:iCs/>
        </w:rPr>
        <w:t>ribosomal protein L35</w:t>
      </w:r>
      <w:r w:rsidRPr="009475DF">
        <w:t xml:space="preserve">, </w:t>
      </w:r>
      <w:r w:rsidRPr="009475DF">
        <w:rPr>
          <w:i/>
          <w:iCs/>
        </w:rPr>
        <w:t xml:space="preserve">TRITD2Av1G164780 </w:t>
      </w:r>
      <w:r w:rsidRPr="009475DF">
        <w:t xml:space="preserve">in A </w:t>
      </w:r>
      <w:proofErr w:type="spellStart"/>
      <w:r w:rsidRPr="009475DF">
        <w:t>subgenome</w:t>
      </w:r>
      <w:proofErr w:type="spellEnd"/>
      <w:r w:rsidRPr="009475DF">
        <w:t xml:space="preserve"> and </w:t>
      </w:r>
      <w:r w:rsidRPr="009475DF">
        <w:rPr>
          <w:i/>
          <w:iCs/>
        </w:rPr>
        <w:t>TRITD2Bv1G137850</w:t>
      </w:r>
      <w:r w:rsidRPr="009475DF">
        <w:t xml:space="preserve"> in B </w:t>
      </w:r>
      <w:proofErr w:type="spellStart"/>
      <w:r w:rsidRPr="009475DF">
        <w:t>subgeome</w:t>
      </w:r>
      <w:proofErr w:type="spellEnd"/>
      <w:r w:rsidRPr="009475DF">
        <w:t xml:space="preserve">, with lower TE in A </w:t>
      </w:r>
      <w:proofErr w:type="spellStart"/>
      <w:r w:rsidRPr="009475DF">
        <w:t>subgenome</w:t>
      </w:r>
      <w:proofErr w:type="spellEnd"/>
      <w:r w:rsidRPr="009475DF">
        <w:t xml:space="preserve"> than that in B </w:t>
      </w:r>
      <w:proofErr w:type="spellStart"/>
      <w:r w:rsidRPr="009475DF">
        <w:t>subgenome</w:t>
      </w:r>
      <w:proofErr w:type="spellEnd"/>
      <w:r w:rsidRPr="009475DF">
        <w:t>. Otherwise in Figure S6A.</w:t>
      </w:r>
    </w:p>
    <w:p w14:paraId="514A987B" w14:textId="77777777" w:rsidR="000D1316" w:rsidRPr="009475DF" w:rsidRDefault="000D1316" w:rsidP="000D1316">
      <w:pPr>
        <w:spacing w:line="360" w:lineRule="auto"/>
        <w:jc w:val="both"/>
      </w:pPr>
    </w:p>
    <w:p w14:paraId="35C894AE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br w:type="page"/>
      </w:r>
    </w:p>
    <w:p w14:paraId="6AFCA390" w14:textId="77777777" w:rsidR="000D1316" w:rsidRPr="009475DF" w:rsidRDefault="000D1316" w:rsidP="000D1316">
      <w:pPr>
        <w:rPr>
          <w:b/>
          <w:bCs/>
        </w:rPr>
      </w:pPr>
      <w:r w:rsidRPr="009475DF">
        <w:rPr>
          <w:b/>
          <w:bCs/>
        </w:rPr>
        <w:lastRenderedPageBreak/>
        <w:t>Figure S7</w:t>
      </w:r>
    </w:p>
    <w:p w14:paraId="791BA8AC" w14:textId="77777777" w:rsidR="000D1316" w:rsidRPr="009475DF" w:rsidRDefault="000D1316" w:rsidP="000D1316">
      <w:pPr>
        <w:jc w:val="both"/>
        <w:rPr>
          <w:bCs/>
          <w:iCs/>
        </w:rPr>
      </w:pPr>
      <w:r w:rsidRPr="009475DF">
        <w:rPr>
          <w:noProof/>
        </w:rPr>
        <w:drawing>
          <wp:inline distT="0" distB="0" distL="0" distR="0" wp14:anchorId="5D130595" wp14:editId="3DCA1453">
            <wp:extent cx="5727700" cy="4709160"/>
            <wp:effectExtent l="0" t="0" r="0" b="0"/>
            <wp:docPr id="8" name="Picture 8" descr="A picture containing text, d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d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2B4EA" w14:textId="77777777" w:rsidR="000D1316" w:rsidRPr="009475DF" w:rsidRDefault="000D1316" w:rsidP="000D1316">
      <w:pPr>
        <w:spacing w:line="360" w:lineRule="auto"/>
        <w:jc w:val="both"/>
        <w:rPr>
          <w:b/>
          <w:iCs/>
        </w:rPr>
      </w:pPr>
      <w:r w:rsidRPr="009475DF">
        <w:rPr>
          <w:b/>
          <w:iCs/>
        </w:rPr>
        <w:t xml:space="preserve">Figure S7 Comparison of SHAPE reactivities </w:t>
      </w:r>
      <w:r w:rsidRPr="009475DF">
        <w:rPr>
          <w:b/>
          <w:i/>
        </w:rPr>
        <w:t xml:space="preserve">in vivo </w:t>
      </w:r>
      <w:r w:rsidRPr="009475DF">
        <w:rPr>
          <w:b/>
          <w:iCs/>
        </w:rPr>
        <w:t xml:space="preserve">for homoeologous pairs in wheat. </w:t>
      </w:r>
    </w:p>
    <w:p w14:paraId="0F83342D" w14:textId="77777777" w:rsidR="000D1316" w:rsidRPr="009475DF" w:rsidRDefault="000D1316" w:rsidP="000D1316">
      <w:pPr>
        <w:spacing w:line="360" w:lineRule="auto"/>
        <w:jc w:val="both"/>
        <w:rPr>
          <w:bCs/>
          <w:iCs/>
        </w:rPr>
      </w:pPr>
      <w:r w:rsidRPr="009475DF">
        <w:rPr>
          <w:b/>
          <w:iCs/>
        </w:rPr>
        <w:t xml:space="preserve">(A) </w:t>
      </w:r>
      <w:r w:rsidRPr="009475DF">
        <w:rPr>
          <w:bCs/>
          <w:iCs/>
        </w:rPr>
        <w:t xml:space="preserve">Normalized SHAPE reactivity profile </w:t>
      </w:r>
      <w:r w:rsidRPr="009475DF">
        <w:rPr>
          <w:bCs/>
          <w:i/>
        </w:rPr>
        <w:t>in vivo</w:t>
      </w:r>
      <w:r w:rsidRPr="009475DF">
        <w:rPr>
          <w:bCs/>
          <w:iCs/>
        </w:rPr>
        <w:t xml:space="preserve"> for the homoeologous pair: </w:t>
      </w:r>
      <w:r w:rsidRPr="009475DF">
        <w:rPr>
          <w:bCs/>
          <w:i/>
        </w:rPr>
        <w:t>protein translation factor SUI1</w:t>
      </w:r>
      <w:r w:rsidRPr="009475DF">
        <w:rPr>
          <w:bCs/>
          <w:iCs/>
        </w:rPr>
        <w:t xml:space="preserve">, </w:t>
      </w:r>
      <w:r w:rsidRPr="009475DF">
        <w:rPr>
          <w:bCs/>
          <w:i/>
        </w:rPr>
        <w:t>TRITD2Av1G085990</w:t>
      </w:r>
      <w:r w:rsidRPr="009475DF">
        <w:rPr>
          <w:bCs/>
          <w:iCs/>
        </w:rPr>
        <w:t xml:space="preserve"> in the A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 and </w:t>
      </w:r>
      <w:r w:rsidRPr="009475DF">
        <w:rPr>
          <w:bCs/>
          <w:i/>
        </w:rPr>
        <w:t>TRITD2Bv1G091150</w:t>
      </w:r>
      <w:r w:rsidRPr="009475DF">
        <w:rPr>
          <w:bCs/>
          <w:iCs/>
        </w:rPr>
        <w:t xml:space="preserve"> in the B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, with higher TE in the A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 than in the B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. </w:t>
      </w:r>
    </w:p>
    <w:p w14:paraId="37755A8B" w14:textId="77777777" w:rsidR="000D1316" w:rsidRPr="009475DF" w:rsidRDefault="000D1316" w:rsidP="000D1316">
      <w:pPr>
        <w:spacing w:line="360" w:lineRule="auto"/>
        <w:jc w:val="both"/>
        <w:rPr>
          <w:b/>
          <w:iCs/>
        </w:rPr>
      </w:pPr>
      <w:r w:rsidRPr="009475DF">
        <w:rPr>
          <w:b/>
          <w:iCs/>
        </w:rPr>
        <w:t xml:space="preserve">(B) </w:t>
      </w:r>
      <w:r w:rsidRPr="009475DF">
        <w:rPr>
          <w:bCs/>
          <w:iCs/>
        </w:rPr>
        <w:t xml:space="preserve">Normalized SHAPE reactivity profile </w:t>
      </w:r>
      <w:r w:rsidRPr="009475DF">
        <w:rPr>
          <w:bCs/>
          <w:i/>
        </w:rPr>
        <w:t>in vivo</w:t>
      </w:r>
      <w:r w:rsidRPr="009475DF">
        <w:rPr>
          <w:bCs/>
          <w:iCs/>
        </w:rPr>
        <w:t xml:space="preserve"> for the homoeologous pair: </w:t>
      </w:r>
      <w:r w:rsidRPr="009475DF">
        <w:rPr>
          <w:i/>
          <w:iCs/>
        </w:rPr>
        <w:t>cytochrome b6-f complex iron-</w:t>
      </w:r>
      <w:proofErr w:type="spellStart"/>
      <w:r w:rsidRPr="009475DF">
        <w:rPr>
          <w:i/>
          <w:iCs/>
        </w:rPr>
        <w:t>sulfur</w:t>
      </w:r>
      <w:proofErr w:type="spellEnd"/>
      <w:r w:rsidRPr="009475DF">
        <w:rPr>
          <w:i/>
          <w:iCs/>
        </w:rPr>
        <w:t xml:space="preserve"> subunit</w:t>
      </w:r>
      <w:r w:rsidRPr="009475DF">
        <w:t xml:space="preserve">, </w:t>
      </w:r>
      <w:r w:rsidRPr="009475DF">
        <w:rPr>
          <w:i/>
          <w:iCs/>
        </w:rPr>
        <w:t xml:space="preserve">TRITD2Av1G078520 </w:t>
      </w:r>
      <w:r w:rsidRPr="009475DF">
        <w:t xml:space="preserve">in the A </w:t>
      </w:r>
      <w:proofErr w:type="spellStart"/>
      <w:r w:rsidRPr="009475DF">
        <w:t>subgenome</w:t>
      </w:r>
      <w:proofErr w:type="spellEnd"/>
      <w:r w:rsidRPr="009475DF">
        <w:t xml:space="preserve"> and </w:t>
      </w:r>
      <w:r w:rsidRPr="009475DF">
        <w:rPr>
          <w:i/>
          <w:iCs/>
        </w:rPr>
        <w:t>TRITD2Bv1G086350</w:t>
      </w:r>
      <w:r w:rsidRPr="009475DF">
        <w:t xml:space="preserve"> in the B </w:t>
      </w:r>
      <w:proofErr w:type="spellStart"/>
      <w:r w:rsidRPr="009475DF">
        <w:t>subgenome</w:t>
      </w:r>
      <w:proofErr w:type="spellEnd"/>
      <w:r w:rsidRPr="009475DF">
        <w:t xml:space="preserve">, with higher TE in the A </w:t>
      </w:r>
      <w:proofErr w:type="spellStart"/>
      <w:r w:rsidRPr="009475DF">
        <w:t>subgenome</w:t>
      </w:r>
      <w:proofErr w:type="spellEnd"/>
      <w:r w:rsidRPr="009475DF">
        <w:t xml:space="preserve"> than in the B </w:t>
      </w:r>
      <w:proofErr w:type="spellStart"/>
      <w:r w:rsidRPr="009475DF">
        <w:t>subgenome</w:t>
      </w:r>
      <w:proofErr w:type="spellEnd"/>
      <w:r w:rsidRPr="009475DF">
        <w:rPr>
          <w:bCs/>
          <w:iCs/>
        </w:rPr>
        <w:t>.</w:t>
      </w:r>
      <w:r w:rsidRPr="009475DF">
        <w:rPr>
          <w:b/>
          <w:iCs/>
        </w:rPr>
        <w:t xml:space="preserve"> </w:t>
      </w:r>
    </w:p>
    <w:p w14:paraId="2C1F692E" w14:textId="77777777" w:rsidR="000D1316" w:rsidRPr="009475DF" w:rsidRDefault="000D1316" w:rsidP="000D1316">
      <w:pPr>
        <w:spacing w:line="360" w:lineRule="auto"/>
        <w:jc w:val="both"/>
        <w:rPr>
          <w:bCs/>
          <w:iCs/>
        </w:rPr>
      </w:pPr>
      <w:r w:rsidRPr="009475DF">
        <w:rPr>
          <w:b/>
          <w:iCs/>
        </w:rPr>
        <w:t xml:space="preserve">(C) </w:t>
      </w:r>
      <w:r w:rsidRPr="009475DF">
        <w:rPr>
          <w:bCs/>
          <w:iCs/>
        </w:rPr>
        <w:t xml:space="preserve">Normalized SHAPE reactivity profile </w:t>
      </w:r>
      <w:r w:rsidRPr="009475DF">
        <w:rPr>
          <w:bCs/>
          <w:i/>
        </w:rPr>
        <w:t>in vivo</w:t>
      </w:r>
      <w:r w:rsidRPr="009475DF">
        <w:rPr>
          <w:bCs/>
          <w:iCs/>
        </w:rPr>
        <w:t xml:space="preserve"> for the homoeologous pair: </w:t>
      </w:r>
      <w:r w:rsidRPr="009475DF">
        <w:rPr>
          <w:bCs/>
          <w:i/>
        </w:rPr>
        <w:t>60S ribosomal</w:t>
      </w:r>
      <w:r w:rsidRPr="009475DF">
        <w:rPr>
          <w:bCs/>
          <w:iCs/>
        </w:rPr>
        <w:t xml:space="preserve"> </w:t>
      </w:r>
      <w:r w:rsidRPr="009475DF">
        <w:rPr>
          <w:bCs/>
          <w:i/>
        </w:rPr>
        <w:t>protein L18a</w:t>
      </w:r>
      <w:r w:rsidRPr="009475DF">
        <w:rPr>
          <w:bCs/>
          <w:iCs/>
        </w:rPr>
        <w:t xml:space="preserve">, </w:t>
      </w:r>
      <w:r w:rsidRPr="009475DF">
        <w:rPr>
          <w:bCs/>
          <w:i/>
        </w:rPr>
        <w:t>TRITD1Av1G210460</w:t>
      </w:r>
      <w:r w:rsidRPr="009475DF">
        <w:rPr>
          <w:bCs/>
          <w:iCs/>
        </w:rPr>
        <w:t xml:space="preserve"> in the A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 and </w:t>
      </w:r>
      <w:r w:rsidRPr="009475DF">
        <w:rPr>
          <w:bCs/>
          <w:i/>
        </w:rPr>
        <w:t>TRITD1Bv1G213890</w:t>
      </w:r>
      <w:r w:rsidRPr="009475DF">
        <w:rPr>
          <w:bCs/>
          <w:iCs/>
        </w:rPr>
        <w:t xml:space="preserve"> in the B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, with lower TE in the A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 than in the B </w:t>
      </w:r>
      <w:proofErr w:type="spellStart"/>
      <w:r w:rsidRPr="009475DF">
        <w:rPr>
          <w:bCs/>
          <w:iCs/>
        </w:rPr>
        <w:t>subgenome</w:t>
      </w:r>
      <w:proofErr w:type="spellEnd"/>
      <w:r w:rsidRPr="009475DF">
        <w:rPr>
          <w:bCs/>
          <w:iCs/>
        </w:rPr>
        <w:t xml:space="preserve">. </w:t>
      </w:r>
    </w:p>
    <w:p w14:paraId="4C12C5A7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iCs/>
        </w:rPr>
        <w:t xml:space="preserve">(D) </w:t>
      </w:r>
      <w:r w:rsidRPr="009475DF">
        <w:rPr>
          <w:bCs/>
          <w:iCs/>
        </w:rPr>
        <w:t xml:space="preserve">Normalized SHAPE reactivity profile </w:t>
      </w:r>
      <w:r w:rsidRPr="009475DF">
        <w:rPr>
          <w:bCs/>
          <w:i/>
        </w:rPr>
        <w:t>in vivo</w:t>
      </w:r>
      <w:r w:rsidRPr="009475DF">
        <w:rPr>
          <w:bCs/>
          <w:iCs/>
        </w:rPr>
        <w:t xml:space="preserve"> for the homoeologous pair: </w:t>
      </w:r>
      <w:r w:rsidRPr="009475DF">
        <w:rPr>
          <w:i/>
          <w:iCs/>
        </w:rPr>
        <w:t>ribosomal protein L35</w:t>
      </w:r>
      <w:r w:rsidRPr="009475DF">
        <w:t xml:space="preserve">, </w:t>
      </w:r>
      <w:r w:rsidRPr="009475DF">
        <w:rPr>
          <w:i/>
          <w:iCs/>
        </w:rPr>
        <w:t xml:space="preserve">TRITD2Av1G164780 </w:t>
      </w:r>
      <w:r w:rsidRPr="009475DF">
        <w:t xml:space="preserve">in the A </w:t>
      </w:r>
      <w:proofErr w:type="spellStart"/>
      <w:r w:rsidRPr="009475DF">
        <w:t>subgenome</w:t>
      </w:r>
      <w:proofErr w:type="spellEnd"/>
      <w:r w:rsidRPr="009475DF">
        <w:t xml:space="preserve"> and </w:t>
      </w:r>
      <w:r w:rsidRPr="009475DF">
        <w:rPr>
          <w:i/>
          <w:iCs/>
        </w:rPr>
        <w:t>TRITD2Bv1G137850</w:t>
      </w:r>
      <w:r w:rsidRPr="009475DF">
        <w:t xml:space="preserve"> in the B </w:t>
      </w:r>
      <w:proofErr w:type="spellStart"/>
      <w:r w:rsidRPr="009475DF">
        <w:t>subgenome</w:t>
      </w:r>
      <w:proofErr w:type="spellEnd"/>
      <w:r w:rsidRPr="009475DF">
        <w:t xml:space="preserve">, with lower TE in the A </w:t>
      </w:r>
      <w:proofErr w:type="spellStart"/>
      <w:r w:rsidRPr="009475DF">
        <w:t>subgenome</w:t>
      </w:r>
      <w:proofErr w:type="spellEnd"/>
      <w:r w:rsidRPr="009475DF">
        <w:t xml:space="preserve"> than in the B </w:t>
      </w:r>
      <w:proofErr w:type="spellStart"/>
      <w:r w:rsidRPr="009475DF">
        <w:t>subgenome</w:t>
      </w:r>
      <w:proofErr w:type="spellEnd"/>
      <w:r w:rsidRPr="009475DF">
        <w:t>.</w:t>
      </w:r>
    </w:p>
    <w:p w14:paraId="07357D80" w14:textId="77777777" w:rsidR="000D1316" w:rsidRPr="009475DF" w:rsidRDefault="000D1316" w:rsidP="000D1316">
      <w:r w:rsidRPr="009475DF">
        <w:br w:type="page"/>
      </w:r>
    </w:p>
    <w:p w14:paraId="2A1C4535" w14:textId="77777777" w:rsidR="000D1316" w:rsidRPr="009475DF" w:rsidRDefault="000D1316" w:rsidP="000D1316">
      <w:pPr>
        <w:jc w:val="both"/>
        <w:rPr>
          <w:b/>
          <w:bCs/>
        </w:rPr>
      </w:pPr>
      <w:r w:rsidRPr="009475DF">
        <w:rPr>
          <w:b/>
          <w:bCs/>
        </w:rPr>
        <w:lastRenderedPageBreak/>
        <w:t>FigureS8</w:t>
      </w:r>
    </w:p>
    <w:p w14:paraId="1997D474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  <w:noProof/>
        </w:rPr>
        <w:drawing>
          <wp:inline distT="0" distB="0" distL="0" distR="0" wp14:anchorId="0C7A7CE9" wp14:editId="5216B86E">
            <wp:extent cx="5727700" cy="4360545"/>
            <wp:effectExtent l="0" t="0" r="0" b="0"/>
            <wp:docPr id="10" name="Picture 10" descr="A picture containing text,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ligh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6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E2394" w14:textId="77777777" w:rsidR="000D1316" w:rsidRPr="009475DF" w:rsidRDefault="000D1316" w:rsidP="000D1316">
      <w:pPr>
        <w:spacing w:line="360" w:lineRule="auto"/>
        <w:jc w:val="both"/>
        <w:rPr>
          <w:i/>
          <w:iCs/>
        </w:rPr>
      </w:pPr>
      <w:r w:rsidRPr="009475DF">
        <w:rPr>
          <w:b/>
          <w:bCs/>
        </w:rPr>
        <w:t xml:space="preserve">Figure S8 SNV affects RNA structure </w:t>
      </w:r>
      <w:r w:rsidRPr="009475DF">
        <w:rPr>
          <w:b/>
          <w:bCs/>
          <w:i/>
          <w:iCs/>
        </w:rPr>
        <w:t>in vivo</w:t>
      </w:r>
      <w:r w:rsidRPr="009475DF">
        <w:rPr>
          <w:b/>
          <w:bCs/>
        </w:rPr>
        <w:t>.</w:t>
      </w:r>
    </w:p>
    <w:p w14:paraId="4967E2DF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 xml:space="preserve">(A) </w:t>
      </w:r>
      <w:r w:rsidRPr="009475DF">
        <w:t xml:space="preserve">Scatter plot showing the correlation between the length of insertion in A </w:t>
      </w:r>
      <w:proofErr w:type="spellStart"/>
      <w:r w:rsidRPr="009475DF">
        <w:t>subgenome</w:t>
      </w:r>
      <w:proofErr w:type="spellEnd"/>
      <w:r w:rsidRPr="009475DF">
        <w:t xml:space="preserve"> and experimental structural disruption coefficient (</w:t>
      </w:r>
      <w:proofErr w:type="spellStart"/>
      <w:r w:rsidRPr="009475DF">
        <w:t>eSDC</w:t>
      </w:r>
      <w:proofErr w:type="spellEnd"/>
      <w:r w:rsidRPr="009475DF">
        <w:t>).</w:t>
      </w:r>
    </w:p>
    <w:p w14:paraId="31775376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 xml:space="preserve">(B) </w:t>
      </w:r>
      <w:r w:rsidRPr="009475DF">
        <w:t xml:space="preserve">Scatter plot showing the correlation between length of insertion in B </w:t>
      </w:r>
      <w:proofErr w:type="spellStart"/>
      <w:r w:rsidRPr="009475DF">
        <w:t>subgenome</w:t>
      </w:r>
      <w:proofErr w:type="spellEnd"/>
      <w:r w:rsidRPr="009475DF">
        <w:t xml:space="preserve"> and experimental structural disruption coefficient (</w:t>
      </w:r>
      <w:proofErr w:type="spellStart"/>
      <w:r w:rsidRPr="009475DF">
        <w:t>eSDC</w:t>
      </w:r>
      <w:proofErr w:type="spellEnd"/>
      <w:r w:rsidRPr="009475DF">
        <w:t>).</w:t>
      </w:r>
    </w:p>
    <w:p w14:paraId="49C9B686" w14:textId="77777777" w:rsidR="000D1316" w:rsidRPr="009475DF" w:rsidRDefault="000D1316" w:rsidP="000D1316">
      <w:pPr>
        <w:spacing w:line="360" w:lineRule="auto"/>
        <w:jc w:val="both"/>
      </w:pPr>
      <w:r w:rsidRPr="009475DF">
        <w:rPr>
          <w:b/>
          <w:bCs/>
        </w:rPr>
        <w:t>(C)</w:t>
      </w:r>
      <w:r w:rsidRPr="009475DF">
        <w:t xml:space="preserve"> Pie plot showing the counts of nucleotide transition or transversion for single nucleotide variation (SNV) between the A and B </w:t>
      </w:r>
      <w:proofErr w:type="spellStart"/>
      <w:r w:rsidRPr="009475DF">
        <w:t>subgenomes</w:t>
      </w:r>
      <w:proofErr w:type="spellEnd"/>
      <w:r w:rsidRPr="009475DF">
        <w:t xml:space="preserve"> in tetraploid Kronos.</w:t>
      </w:r>
    </w:p>
    <w:p w14:paraId="5A6C18A8" w14:textId="77777777" w:rsidR="000D1316" w:rsidRPr="009475DF" w:rsidRDefault="000D1316" w:rsidP="000D1316">
      <w:pPr>
        <w:spacing w:line="360" w:lineRule="auto"/>
        <w:jc w:val="both"/>
        <w:rPr>
          <w:b/>
          <w:bCs/>
        </w:rPr>
      </w:pPr>
      <w:r w:rsidRPr="009475DF">
        <w:rPr>
          <w:b/>
          <w:bCs/>
        </w:rPr>
        <w:t>(D)</w:t>
      </w:r>
      <w:r w:rsidRPr="009475DF">
        <w:t xml:space="preserve"> Statistics of SNV count, </w:t>
      </w:r>
      <w:proofErr w:type="spellStart"/>
      <w:r w:rsidRPr="009475DF">
        <w:t>riboSNitch</w:t>
      </w:r>
      <w:proofErr w:type="spellEnd"/>
      <w:r w:rsidRPr="009475DF">
        <w:t xml:space="preserve"> count and the ratio of </w:t>
      </w:r>
      <w:proofErr w:type="spellStart"/>
      <w:r w:rsidRPr="009475DF">
        <w:t>riboSNitch</w:t>
      </w:r>
      <w:proofErr w:type="spellEnd"/>
      <w:r w:rsidRPr="009475DF">
        <w:t xml:space="preserve"> relative to SNV, in different genic regions.</w:t>
      </w:r>
    </w:p>
    <w:p w14:paraId="79A76016" w14:textId="77777777" w:rsidR="00E91B58" w:rsidRDefault="00E91B58"/>
    <w:sectPr w:rsidR="00E91B58" w:rsidSect="00EF378B">
      <w:pgSz w:w="11900" w:h="16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316"/>
    <w:rsid w:val="000014B6"/>
    <w:rsid w:val="00023785"/>
    <w:rsid w:val="00026CB5"/>
    <w:rsid w:val="00030BA8"/>
    <w:rsid w:val="00030EDA"/>
    <w:rsid w:val="000439BA"/>
    <w:rsid w:val="000450AE"/>
    <w:rsid w:val="000504F5"/>
    <w:rsid w:val="00057FEC"/>
    <w:rsid w:val="000655E9"/>
    <w:rsid w:val="0009573D"/>
    <w:rsid w:val="000B6B6D"/>
    <w:rsid w:val="000D1316"/>
    <w:rsid w:val="000D153D"/>
    <w:rsid w:val="000E26FE"/>
    <w:rsid w:val="000F2EFD"/>
    <w:rsid w:val="00104169"/>
    <w:rsid w:val="00104DCB"/>
    <w:rsid w:val="0011030A"/>
    <w:rsid w:val="001272FB"/>
    <w:rsid w:val="0013730B"/>
    <w:rsid w:val="00137730"/>
    <w:rsid w:val="00151C34"/>
    <w:rsid w:val="00152611"/>
    <w:rsid w:val="00167037"/>
    <w:rsid w:val="00190EB1"/>
    <w:rsid w:val="0019704E"/>
    <w:rsid w:val="001A7350"/>
    <w:rsid w:val="001B21CA"/>
    <w:rsid w:val="001B323D"/>
    <w:rsid w:val="001B6A47"/>
    <w:rsid w:val="001C26E5"/>
    <w:rsid w:val="001D035E"/>
    <w:rsid w:val="001D09C4"/>
    <w:rsid w:val="001D41A9"/>
    <w:rsid w:val="001E0E9F"/>
    <w:rsid w:val="001F0508"/>
    <w:rsid w:val="001F2CF4"/>
    <w:rsid w:val="001F7EED"/>
    <w:rsid w:val="00210C7B"/>
    <w:rsid w:val="00214EF7"/>
    <w:rsid w:val="0021521A"/>
    <w:rsid w:val="00230BC1"/>
    <w:rsid w:val="00233DD4"/>
    <w:rsid w:val="0023513F"/>
    <w:rsid w:val="002567A4"/>
    <w:rsid w:val="00257B61"/>
    <w:rsid w:val="00281F53"/>
    <w:rsid w:val="002A0EAF"/>
    <w:rsid w:val="002A1002"/>
    <w:rsid w:val="002B2EF6"/>
    <w:rsid w:val="002E2953"/>
    <w:rsid w:val="002F14CF"/>
    <w:rsid w:val="00303C08"/>
    <w:rsid w:val="00314B61"/>
    <w:rsid w:val="0032003B"/>
    <w:rsid w:val="00323C3E"/>
    <w:rsid w:val="00325176"/>
    <w:rsid w:val="003320FB"/>
    <w:rsid w:val="00334CE4"/>
    <w:rsid w:val="003360A7"/>
    <w:rsid w:val="0034343D"/>
    <w:rsid w:val="003605C1"/>
    <w:rsid w:val="003659BA"/>
    <w:rsid w:val="0039368D"/>
    <w:rsid w:val="00396EC3"/>
    <w:rsid w:val="003B1F08"/>
    <w:rsid w:val="003B3663"/>
    <w:rsid w:val="003B4C2F"/>
    <w:rsid w:val="003B6BFB"/>
    <w:rsid w:val="003C20F2"/>
    <w:rsid w:val="003C3206"/>
    <w:rsid w:val="003C4FC4"/>
    <w:rsid w:val="003E55FA"/>
    <w:rsid w:val="003F1F93"/>
    <w:rsid w:val="0040069B"/>
    <w:rsid w:val="00411441"/>
    <w:rsid w:val="0042092B"/>
    <w:rsid w:val="00426DA1"/>
    <w:rsid w:val="00472AB7"/>
    <w:rsid w:val="00486E5E"/>
    <w:rsid w:val="00492AC7"/>
    <w:rsid w:val="004A3A7C"/>
    <w:rsid w:val="004B4998"/>
    <w:rsid w:val="004B522C"/>
    <w:rsid w:val="004F7761"/>
    <w:rsid w:val="00524BB9"/>
    <w:rsid w:val="00527AF7"/>
    <w:rsid w:val="005436CF"/>
    <w:rsid w:val="00561518"/>
    <w:rsid w:val="00566444"/>
    <w:rsid w:val="00576A4B"/>
    <w:rsid w:val="00597A44"/>
    <w:rsid w:val="005B1AF1"/>
    <w:rsid w:val="005B612D"/>
    <w:rsid w:val="005D6131"/>
    <w:rsid w:val="0060549A"/>
    <w:rsid w:val="006068C6"/>
    <w:rsid w:val="006254C0"/>
    <w:rsid w:val="00633B6B"/>
    <w:rsid w:val="0065209E"/>
    <w:rsid w:val="00667C28"/>
    <w:rsid w:val="00686310"/>
    <w:rsid w:val="00696DB0"/>
    <w:rsid w:val="006977AE"/>
    <w:rsid w:val="006A0C8E"/>
    <w:rsid w:val="006A36AC"/>
    <w:rsid w:val="006A627D"/>
    <w:rsid w:val="006B032B"/>
    <w:rsid w:val="006C3C40"/>
    <w:rsid w:val="006E2A44"/>
    <w:rsid w:val="00711522"/>
    <w:rsid w:val="00712F5B"/>
    <w:rsid w:val="00715424"/>
    <w:rsid w:val="0072322D"/>
    <w:rsid w:val="00723B82"/>
    <w:rsid w:val="00724938"/>
    <w:rsid w:val="007258C8"/>
    <w:rsid w:val="00735478"/>
    <w:rsid w:val="007358AE"/>
    <w:rsid w:val="00745D30"/>
    <w:rsid w:val="0076550C"/>
    <w:rsid w:val="00780C71"/>
    <w:rsid w:val="00781104"/>
    <w:rsid w:val="00795629"/>
    <w:rsid w:val="007A183E"/>
    <w:rsid w:val="007A3068"/>
    <w:rsid w:val="007A3831"/>
    <w:rsid w:val="007C3D9B"/>
    <w:rsid w:val="007D09F6"/>
    <w:rsid w:val="007D3D94"/>
    <w:rsid w:val="007D5862"/>
    <w:rsid w:val="007F2E22"/>
    <w:rsid w:val="00804608"/>
    <w:rsid w:val="0081118F"/>
    <w:rsid w:val="0083752C"/>
    <w:rsid w:val="008534DF"/>
    <w:rsid w:val="0086270C"/>
    <w:rsid w:val="0087147E"/>
    <w:rsid w:val="008742D3"/>
    <w:rsid w:val="00881DB5"/>
    <w:rsid w:val="008831E7"/>
    <w:rsid w:val="00890198"/>
    <w:rsid w:val="008A298F"/>
    <w:rsid w:val="008A55FA"/>
    <w:rsid w:val="008B1497"/>
    <w:rsid w:val="008B1FA1"/>
    <w:rsid w:val="008B50C5"/>
    <w:rsid w:val="008B75A0"/>
    <w:rsid w:val="008F350D"/>
    <w:rsid w:val="008F59B9"/>
    <w:rsid w:val="00904089"/>
    <w:rsid w:val="00914794"/>
    <w:rsid w:val="00915F05"/>
    <w:rsid w:val="00915F6B"/>
    <w:rsid w:val="00920F0C"/>
    <w:rsid w:val="00942817"/>
    <w:rsid w:val="00943C3A"/>
    <w:rsid w:val="00966C2F"/>
    <w:rsid w:val="00970AA2"/>
    <w:rsid w:val="009756CF"/>
    <w:rsid w:val="00985C31"/>
    <w:rsid w:val="009A3E6C"/>
    <w:rsid w:val="009A50F5"/>
    <w:rsid w:val="009B034D"/>
    <w:rsid w:val="009B6E20"/>
    <w:rsid w:val="009D0488"/>
    <w:rsid w:val="009E0B16"/>
    <w:rsid w:val="009F7D79"/>
    <w:rsid w:val="00A06101"/>
    <w:rsid w:val="00A15E1F"/>
    <w:rsid w:val="00A255FB"/>
    <w:rsid w:val="00A42DD1"/>
    <w:rsid w:val="00A451AD"/>
    <w:rsid w:val="00A45AFB"/>
    <w:rsid w:val="00A60CA5"/>
    <w:rsid w:val="00A61A9F"/>
    <w:rsid w:val="00A66855"/>
    <w:rsid w:val="00A66AB2"/>
    <w:rsid w:val="00A67393"/>
    <w:rsid w:val="00A752DD"/>
    <w:rsid w:val="00A967DB"/>
    <w:rsid w:val="00AA5FE0"/>
    <w:rsid w:val="00AB041E"/>
    <w:rsid w:val="00AB15EF"/>
    <w:rsid w:val="00B14415"/>
    <w:rsid w:val="00B1614A"/>
    <w:rsid w:val="00B228C6"/>
    <w:rsid w:val="00B2474F"/>
    <w:rsid w:val="00B30562"/>
    <w:rsid w:val="00B34053"/>
    <w:rsid w:val="00B42ECE"/>
    <w:rsid w:val="00B5408B"/>
    <w:rsid w:val="00B55372"/>
    <w:rsid w:val="00B67F4C"/>
    <w:rsid w:val="00B83A5B"/>
    <w:rsid w:val="00B91985"/>
    <w:rsid w:val="00B93E3A"/>
    <w:rsid w:val="00B94A15"/>
    <w:rsid w:val="00B96BF3"/>
    <w:rsid w:val="00BA45FB"/>
    <w:rsid w:val="00BC30DB"/>
    <w:rsid w:val="00C3512E"/>
    <w:rsid w:val="00C40AD9"/>
    <w:rsid w:val="00C561F4"/>
    <w:rsid w:val="00C72743"/>
    <w:rsid w:val="00C8669C"/>
    <w:rsid w:val="00C9047A"/>
    <w:rsid w:val="00C92087"/>
    <w:rsid w:val="00CB3796"/>
    <w:rsid w:val="00CC137D"/>
    <w:rsid w:val="00CC246F"/>
    <w:rsid w:val="00CC2E8B"/>
    <w:rsid w:val="00CD454C"/>
    <w:rsid w:val="00CD46FB"/>
    <w:rsid w:val="00CF0DF0"/>
    <w:rsid w:val="00CF5C62"/>
    <w:rsid w:val="00CF7F60"/>
    <w:rsid w:val="00D011BF"/>
    <w:rsid w:val="00D038E4"/>
    <w:rsid w:val="00D1180C"/>
    <w:rsid w:val="00D152C9"/>
    <w:rsid w:val="00D1694B"/>
    <w:rsid w:val="00D27086"/>
    <w:rsid w:val="00D27698"/>
    <w:rsid w:val="00D30DE6"/>
    <w:rsid w:val="00D37890"/>
    <w:rsid w:val="00D61982"/>
    <w:rsid w:val="00D74F58"/>
    <w:rsid w:val="00D801A9"/>
    <w:rsid w:val="00DA0D40"/>
    <w:rsid w:val="00DE01E9"/>
    <w:rsid w:val="00DE70B5"/>
    <w:rsid w:val="00DF4D3D"/>
    <w:rsid w:val="00E03A4D"/>
    <w:rsid w:val="00E05811"/>
    <w:rsid w:val="00E11B05"/>
    <w:rsid w:val="00E1388A"/>
    <w:rsid w:val="00E411B2"/>
    <w:rsid w:val="00E42CC6"/>
    <w:rsid w:val="00E51303"/>
    <w:rsid w:val="00E5309A"/>
    <w:rsid w:val="00E72B33"/>
    <w:rsid w:val="00E91B58"/>
    <w:rsid w:val="00E92A95"/>
    <w:rsid w:val="00E95450"/>
    <w:rsid w:val="00ED106F"/>
    <w:rsid w:val="00EE6BFB"/>
    <w:rsid w:val="00EF1222"/>
    <w:rsid w:val="00EF378B"/>
    <w:rsid w:val="00EF4838"/>
    <w:rsid w:val="00F078D0"/>
    <w:rsid w:val="00F15FD6"/>
    <w:rsid w:val="00F31B59"/>
    <w:rsid w:val="00F43CF3"/>
    <w:rsid w:val="00F77020"/>
    <w:rsid w:val="00F80363"/>
    <w:rsid w:val="00F87556"/>
    <w:rsid w:val="00FB0F94"/>
    <w:rsid w:val="00FC4661"/>
    <w:rsid w:val="00FE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01E43"/>
  <w14:defaultImageDpi w14:val="32767"/>
  <w15:chartTrackingRefBased/>
  <w15:docId w15:val="{D4ABFD6E-2B4C-0048-82E0-24F508D3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0D131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717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Yiliang Ding (JIC)</dc:creator>
  <cp:keywords/>
  <dc:description/>
  <cp:lastModifiedBy>Xiaofei Yang (JIC)</cp:lastModifiedBy>
  <cp:revision>2</cp:revision>
  <dcterms:created xsi:type="dcterms:W3CDTF">2021-11-18T17:50:00Z</dcterms:created>
  <dcterms:modified xsi:type="dcterms:W3CDTF">2021-11-19T11:23:00Z</dcterms:modified>
</cp:coreProperties>
</file>