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DE687" w14:textId="77777777" w:rsidR="00667C2A" w:rsidRPr="006D4D47" w:rsidRDefault="00667C2A" w:rsidP="00667C2A">
      <w:r w:rsidRPr="006D4D47">
        <w:rPr>
          <w:noProof/>
        </w:rPr>
        <w:drawing>
          <wp:inline distT="0" distB="0" distL="0" distR="0" wp14:anchorId="40A73C95" wp14:editId="6ACBE762">
            <wp:extent cx="5759450" cy="5100320"/>
            <wp:effectExtent l="0" t="0" r="0" b="5080"/>
            <wp:docPr id="8" name="Picture 8" descr="Chart, shape, arrow,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shape, arrow, scatter chart&#10;&#10;Description automatically generated"/>
                    <pic:cNvPicPr/>
                  </pic:nvPicPr>
                  <pic:blipFill>
                    <a:blip r:embed="rId6"/>
                    <a:stretch>
                      <a:fillRect/>
                    </a:stretch>
                  </pic:blipFill>
                  <pic:spPr>
                    <a:xfrm>
                      <a:off x="0" y="0"/>
                      <a:ext cx="5759450" cy="5100320"/>
                    </a:xfrm>
                    <a:prstGeom prst="rect">
                      <a:avLst/>
                    </a:prstGeom>
                  </pic:spPr>
                </pic:pic>
              </a:graphicData>
            </a:graphic>
          </wp:inline>
        </w:drawing>
      </w:r>
    </w:p>
    <w:p w14:paraId="37E1739A" w14:textId="373A3FB6" w:rsidR="00667C2A" w:rsidRDefault="000F3BFA" w:rsidP="00667C2A">
      <w:pPr>
        <w:rPr>
          <w:sz w:val="20"/>
          <w:szCs w:val="20"/>
        </w:rPr>
      </w:pPr>
      <w:r>
        <w:rPr>
          <w:b/>
          <w:bCs/>
          <w:sz w:val="20"/>
          <w:szCs w:val="20"/>
        </w:rPr>
        <w:t>Fig.</w:t>
      </w:r>
      <w:r w:rsidR="00667C2A" w:rsidRPr="006D4D47">
        <w:rPr>
          <w:b/>
          <w:bCs/>
          <w:sz w:val="20"/>
          <w:szCs w:val="20"/>
        </w:rPr>
        <w:t xml:space="preserve"> S1. </w:t>
      </w:r>
      <w:r w:rsidR="00667C2A" w:rsidRPr="006D4D47">
        <w:rPr>
          <w:sz w:val="20"/>
          <w:szCs w:val="20"/>
        </w:rPr>
        <w:t>Agreement of epigenetic clocks in extreme individuals. (</w:t>
      </w:r>
      <w:r w:rsidR="00667C2A" w:rsidRPr="006D4D47">
        <w:rPr>
          <w:b/>
          <w:bCs/>
          <w:sz w:val="20"/>
          <w:szCs w:val="20"/>
        </w:rPr>
        <w:t>A</w:t>
      </w:r>
      <w:r w:rsidR="00667C2A" w:rsidRPr="006D4D47">
        <w:rPr>
          <w:sz w:val="20"/>
          <w:szCs w:val="20"/>
        </w:rPr>
        <w:t>) For each clock, the individuals in which predicted age deviated from chronological age by at least 10 years were colored. (</w:t>
      </w:r>
      <w:r w:rsidR="00667C2A" w:rsidRPr="006D4D47">
        <w:rPr>
          <w:b/>
          <w:bCs/>
          <w:sz w:val="20"/>
          <w:szCs w:val="20"/>
        </w:rPr>
        <w:t>B</w:t>
      </w:r>
      <w:r w:rsidR="00667C2A" w:rsidRPr="006D4D47">
        <w:rPr>
          <w:sz w:val="20"/>
          <w:szCs w:val="20"/>
        </w:rPr>
        <w:t>) The predicted ages of the colored individuals per clock according to the 3 other clocks.</w:t>
      </w:r>
    </w:p>
    <w:p w14:paraId="43AB2D48" w14:textId="77777777" w:rsidR="007827E0" w:rsidRDefault="007827E0" w:rsidP="00667C2A">
      <w:pPr>
        <w:rPr>
          <w:sz w:val="20"/>
          <w:szCs w:val="20"/>
        </w:rPr>
      </w:pPr>
    </w:p>
    <w:p w14:paraId="08B77E87" w14:textId="77777777" w:rsidR="007827E0" w:rsidRDefault="007827E0" w:rsidP="00667C2A">
      <w:pPr>
        <w:rPr>
          <w:sz w:val="20"/>
          <w:szCs w:val="20"/>
        </w:rPr>
      </w:pPr>
    </w:p>
    <w:p w14:paraId="5843B796" w14:textId="77777777" w:rsidR="00FD7DAF" w:rsidRDefault="00FD7DAF" w:rsidP="00667C2A">
      <w:pPr>
        <w:rPr>
          <w:sz w:val="20"/>
          <w:szCs w:val="20"/>
        </w:rPr>
      </w:pPr>
    </w:p>
    <w:p w14:paraId="2E3DA490" w14:textId="1FC5C852" w:rsidR="007827E0" w:rsidRDefault="007827E0" w:rsidP="00667C2A">
      <w:pPr>
        <w:rPr>
          <w:sz w:val="20"/>
          <w:szCs w:val="20"/>
        </w:rPr>
      </w:pPr>
      <w:r>
        <w:rPr>
          <w:b/>
          <w:bCs/>
          <w:sz w:val="20"/>
          <w:szCs w:val="20"/>
        </w:rPr>
        <w:t>Table S1.</w:t>
      </w:r>
      <w:r>
        <w:rPr>
          <w:sz w:val="20"/>
          <w:szCs w:val="20"/>
        </w:rPr>
        <w:t xml:space="preserve"> </w:t>
      </w:r>
      <w:r w:rsidR="002D3C2C">
        <w:rPr>
          <w:sz w:val="20"/>
          <w:szCs w:val="20"/>
        </w:rPr>
        <w:t>A</w:t>
      </w:r>
      <w:r w:rsidR="002D3C2C" w:rsidRPr="002D3C2C">
        <w:rPr>
          <w:sz w:val="20"/>
          <w:szCs w:val="20"/>
        </w:rPr>
        <w:t>ll associations</w:t>
      </w:r>
      <w:r w:rsidR="002D3C2C">
        <w:rPr>
          <w:sz w:val="20"/>
          <w:szCs w:val="20"/>
        </w:rPr>
        <w:t xml:space="preserve"> between clock Cp</w:t>
      </w:r>
      <w:r w:rsidR="00FD7DAF">
        <w:rPr>
          <w:sz w:val="20"/>
          <w:szCs w:val="20"/>
        </w:rPr>
        <w:t>G</w:t>
      </w:r>
      <w:r w:rsidR="00406DE8">
        <w:rPr>
          <w:sz w:val="20"/>
          <w:szCs w:val="20"/>
        </w:rPr>
        <w:t xml:space="preserve"> methylation</w:t>
      </w:r>
      <w:r w:rsidR="002D3C2C">
        <w:rPr>
          <w:sz w:val="20"/>
          <w:szCs w:val="20"/>
        </w:rPr>
        <w:t xml:space="preserve"> and</w:t>
      </w:r>
      <w:r w:rsidR="00406DE8">
        <w:rPr>
          <w:sz w:val="20"/>
          <w:szCs w:val="20"/>
        </w:rPr>
        <w:t xml:space="preserve"> expression of</w:t>
      </w:r>
      <w:r w:rsidR="002D3C2C">
        <w:rPr>
          <w:sz w:val="20"/>
          <w:szCs w:val="20"/>
        </w:rPr>
        <w:t xml:space="preserve"> </w:t>
      </w:r>
      <w:r w:rsidR="00FD7DAF">
        <w:rPr>
          <w:sz w:val="20"/>
          <w:szCs w:val="20"/>
        </w:rPr>
        <w:t xml:space="preserve">genes </w:t>
      </w:r>
      <w:r w:rsidR="00FD7DAF" w:rsidRPr="00FD7DAF">
        <w:rPr>
          <w:i/>
          <w:iCs/>
          <w:sz w:val="20"/>
          <w:szCs w:val="20"/>
        </w:rPr>
        <w:t>in cis</w:t>
      </w:r>
      <w:r w:rsidR="00FD7DAF">
        <w:rPr>
          <w:sz w:val="20"/>
          <w:szCs w:val="20"/>
        </w:rPr>
        <w:t xml:space="preserve"> and </w:t>
      </w:r>
      <w:r w:rsidR="00FD7DAF" w:rsidRPr="00FD7DAF">
        <w:rPr>
          <w:i/>
          <w:iCs/>
          <w:sz w:val="20"/>
          <w:szCs w:val="20"/>
        </w:rPr>
        <w:t>in trans</w:t>
      </w:r>
      <w:r w:rsidR="00406DE8">
        <w:rPr>
          <w:sz w:val="20"/>
          <w:szCs w:val="20"/>
        </w:rPr>
        <w:t xml:space="preserve"> as identified by the regression analysis</w:t>
      </w:r>
      <w:r w:rsidR="00FD7DAF">
        <w:rPr>
          <w:sz w:val="20"/>
          <w:szCs w:val="20"/>
        </w:rPr>
        <w:t>.</w:t>
      </w:r>
    </w:p>
    <w:p w14:paraId="02D3CC40" w14:textId="4FB2E26F" w:rsidR="00FD7DAF" w:rsidRPr="00FD7DAF" w:rsidRDefault="00FD7DAF" w:rsidP="00667C2A">
      <w:pPr>
        <w:rPr>
          <w:i/>
          <w:iCs/>
          <w:sz w:val="20"/>
          <w:szCs w:val="20"/>
        </w:rPr>
      </w:pPr>
      <w:r w:rsidRPr="00FD7DAF">
        <w:rPr>
          <w:i/>
          <w:iCs/>
          <w:sz w:val="20"/>
          <w:szCs w:val="20"/>
        </w:rPr>
        <w:t>Supplied separately</w:t>
      </w:r>
      <w:r w:rsidR="00C21207">
        <w:rPr>
          <w:i/>
          <w:iCs/>
          <w:sz w:val="20"/>
          <w:szCs w:val="20"/>
        </w:rPr>
        <w:t xml:space="preserve"> in Additional File 2.</w:t>
      </w:r>
    </w:p>
    <w:p w14:paraId="5F1CBB60" w14:textId="77777777" w:rsidR="00667C2A" w:rsidRPr="006D4D47" w:rsidRDefault="00667C2A" w:rsidP="00667C2A">
      <w:pPr>
        <w:rPr>
          <w:b/>
          <w:bCs/>
          <w:sz w:val="20"/>
          <w:szCs w:val="20"/>
        </w:rPr>
      </w:pPr>
      <w:r w:rsidRPr="006D4D47">
        <w:rPr>
          <w:b/>
          <w:bCs/>
          <w:noProof/>
          <w:sz w:val="20"/>
          <w:szCs w:val="20"/>
        </w:rPr>
        <w:lastRenderedPageBreak/>
        <w:drawing>
          <wp:inline distT="0" distB="0" distL="0" distR="0" wp14:anchorId="2B7890D7" wp14:editId="4B5953DC">
            <wp:extent cx="5759450" cy="5620385"/>
            <wp:effectExtent l="0" t="0" r="0"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pic:nvPicPr>
                  <pic:blipFill>
                    <a:blip r:embed="rId7"/>
                    <a:stretch>
                      <a:fillRect/>
                    </a:stretch>
                  </pic:blipFill>
                  <pic:spPr>
                    <a:xfrm>
                      <a:off x="0" y="0"/>
                      <a:ext cx="5759450" cy="5620385"/>
                    </a:xfrm>
                    <a:prstGeom prst="rect">
                      <a:avLst/>
                    </a:prstGeom>
                  </pic:spPr>
                </pic:pic>
              </a:graphicData>
            </a:graphic>
          </wp:inline>
        </w:drawing>
      </w:r>
    </w:p>
    <w:p w14:paraId="6C4D494F" w14:textId="4C9D172A" w:rsidR="00667C2A" w:rsidRDefault="000F3BFA" w:rsidP="00667C2A">
      <w:pPr>
        <w:rPr>
          <w:sz w:val="20"/>
          <w:szCs w:val="20"/>
        </w:rPr>
      </w:pPr>
      <w:r>
        <w:rPr>
          <w:b/>
          <w:bCs/>
          <w:sz w:val="20"/>
          <w:szCs w:val="20"/>
        </w:rPr>
        <w:t>Fig.</w:t>
      </w:r>
      <w:r w:rsidR="00667C2A" w:rsidRPr="006D4D47">
        <w:rPr>
          <w:b/>
          <w:bCs/>
          <w:sz w:val="20"/>
          <w:szCs w:val="20"/>
        </w:rPr>
        <w:t xml:space="preserve"> S2. </w:t>
      </w:r>
      <w:r w:rsidR="00667C2A" w:rsidRPr="006D4D47">
        <w:rPr>
          <w:sz w:val="20"/>
          <w:szCs w:val="20"/>
        </w:rPr>
        <w:t xml:space="preserve">Associations between DNAm of clock CpGs and expression of genes </w:t>
      </w:r>
      <w:r w:rsidR="00667C2A" w:rsidRPr="006D4D47">
        <w:rPr>
          <w:i/>
          <w:iCs/>
          <w:sz w:val="20"/>
          <w:szCs w:val="20"/>
        </w:rPr>
        <w:t>in trans</w:t>
      </w:r>
      <w:r w:rsidR="00667C2A" w:rsidRPr="006D4D47">
        <w:rPr>
          <w:sz w:val="20"/>
          <w:szCs w:val="20"/>
        </w:rPr>
        <w:t xml:space="preserve"> (&gt;5MB distance or located on different chromosomes). Per gene-CpG pair, the t-statistic of their association is shown in the blue-red heatmap (red = positive association, blue = negative association, white = no significant association). Only CpGs which associated with at least 10 genes and genes which associated with at least 5% of any clock were included. Genes and CpGs were clustered based on Euclidean distance. Column sidebar indicates whether each CpG is part of any of the 4 investigated epigenetic clocks (black = yes, white = no). Row sidebar indicates whether the each gene correlates with age</w:t>
      </w:r>
      <w:r w:rsidR="00667C2A">
        <w:rPr>
          <w:sz w:val="20"/>
          <w:szCs w:val="20"/>
        </w:rPr>
        <w:t xml:space="preserve"> according to Peters et al. </w:t>
      </w:r>
      <w:r w:rsidR="00667C2A">
        <w:rPr>
          <w:sz w:val="20"/>
          <w:szCs w:val="20"/>
        </w:rPr>
        <w:fldChar w:fldCharType="begin"/>
      </w:r>
      <w:r w:rsidR="00667C2A">
        <w:rPr>
          <w:sz w:val="20"/>
          <w:szCs w:val="20"/>
        </w:rPr>
        <w:instrText xml:space="preserve"> ADDIN ZOTERO_ITEM CSL_CITATION {"citationID":"asti52oq4a","properties":{"formattedCitation":"[20]","plainCitation":"[20]","noteIndex":0},"citationItems":[{"id":1188,"uris":["http://zotero.org/users/local/O7bCweFn/items/PQ3UTBG2"],"uri":["http://zotero.org/users/local/O7bCweFn/items/PQ3UTBG2"],"itemData":{"id":1188,"type":"article-journal","abstract":"Disease incidences increase with age, but the molecular characteristics of ageing that lead to increased disease susceptibility remain inadequately understood. Here we perform a whole-blood gene expression meta-analysis in 14,983 individuals of European ancestry (including replication) and identify 1,497 genes that are differentially expressed with chronological age. The age-associated genes do not harbor more age-associated CpG-methylation sites than other genes, but are instead enriched for the presence of potentially functional CpG-methylation sites in enhancer and insulator regions that associate with both chronological age and gene expression levels. We further used the gene expression profiles to calculate the 'transcriptomic age' of an individual, and show that differences between transcriptomic age and chronological age are associated with biological features linked to ageing, such as blood pressure, cholesterol levels, fasting glucose, and body mass index. The transcriptomic prediction model adds biological relevance and complements existing epigenetic prediction models, and can be used by others to calculate transcriptomic age in external cohorts.","archive_location":"26490707","container-title":"Nat Commun","DOI":"10.1038/ncomms9570","ISSN":"2041-1723 (Electronic) 2041-1723 (Linking)","note":"edition: 2015/10/23","page":"8570","title":"The transcriptional landscape of age in human peripheral blood","volume":"6","author":[{"family":"Peters","given":"M. J."},{"family":"Joehanes","given":"R."},{"family":"Pilling","given":"L. C."},{"family":"Schurmann","given":"C."},{"family":"Conneely","given":"K. N."},{"family":"Powell","given":"J."},{"family":"Reinmaa","given":"E."},{"family":"Sutphin","given":"G. L."},{"family":"Zhernakova","given":"A."},{"family":"Schramm","given":"K."},{"family":"Wilson","given":"Y. A."},{"family":"Kobes","given":"S."},{"family":"Tukiainen","given":"T."},{"family":"Consortium","given":"Nabec Ukbec"},{"family":"Ramos","given":"Y. F."},{"family":"Goring","given":"H. H."},{"family":"Fornage","given":"M."},{"family":"Liu","given":"Y."},{"family":"Gharib","given":"S. A."},{"family":"Stranger","given":"B. E."},{"family":"De Jager","given":"P. L."},{"family":"Aviv","given":"A."},{"family":"Levy","given":"D."},{"family":"Murabito","given":"J. M."},{"family":"Munson","given":"P. J."},{"family":"Huan","given":"T."},{"family":"Hofman","given":"A."},{"family":"Uitterlinden","given":"A. G."},{"family":"Rivadeneira","given":"F."},{"family":"Rooij","given":"J.","non-dropping-particle":"van"},{"family":"Stolk","given":"L."},{"family":"Broer","given":"L."},{"family":"Verbiest","given":"M. M."},{"family":"Jhamai","given":"M."},{"family":"Arp","given":"P."},{"family":"Metspalu","given":"A."},{"family":"Tserel","given":"L."},{"family":"Milani","given":"L."},{"family":"Samani","given":"N. J."},{"family":"Peterson","given":"P."},{"family":"Kasela","given":"S."},{"family":"Codd","given":"V."},{"family":"Peters","given":"A."},{"family":"Ward-Caviness","given":"C. K."},{"family":"Herder","given":"C."},{"family":"Waldenberger","given":"M."},{"family":"Roden","given":"M."},{"family":"Singmann","given":"P."},{"family":"Zeilinger","given":"S."},{"family":"Illig","given":"T."},{"family":"Homuth","given":"G."},{"family":"Grabe","given":"H. J."},{"family":"Volzke","given":"H."},{"family":"Steil","given":"L."},{"family":"Kocher","given":"T."},{"family":"Murray","given":"A."},{"family":"Melzer","given":"D."},{"family":"Yaghootkar","given":"H."},{"family":"Bandinelli","given":"S."},{"family":"Moses","given":"E. K."},{"family":"Kent","given":"J. W."},{"family":"Curran","given":"J. E."},{"family":"Johnson","given":"M. P."},{"family":"Williams-Blangero","given":"S."},{"family":"Westra","given":"H. J."},{"family":"McRae","given":"A. F."},{"family":"Smith","given":"J. A."},{"family":"Kardia","given":"S. L."},{"family":"Hovatta","given":"I."},{"family":"Perola","given":"M."},{"family":"Ripatti","given":"S."},{"family":"Salomaa","given":"V."},{"family":"Henders","given":"A. K."},{"family":"Martin","given":"N. G."},{"family":"Smith","given":"A. K."},{"family":"Mehta","given":"D."},{"family":"Binder","given":"E. B."},{"family":"Nylocks","given":"K. M."},{"family":"Kennedy","given":"E. M."},{"family":"Klengel","given":"T."},{"family":"Ding","given":"J."},{"family":"Suchy-Dicey","given":"A. M."},{"family":"Enquobahrie","given":"D. A."},{"family":"Brody","given":"J."},{"family":"Rotter","given":"J. I."},{"family":"Chen","given":"Y. D."},{"family":"Houwing-Duistermaat","given":"J."},{"family":"Kloppenburg","given":"M."},{"family":"Slagboom","given":"P. E."},{"family":"Helmer","given":"Q."},{"family":"Hollander","given":"W.","non-dropping-particle":"den"},{"family":"Bean","given":"S."},{"family":"Raj","given":"T."},{"family":"Bakhshi","given":"N."},{"family":"Wang","given":"Q. P."},{"family":"Oyston","given":"L. J."},{"family":"Psaty","given":"B. M."},{"family":"Tracy","given":"R. P."},{"family":"Montgomery","given":"G. W."},{"family":"Turner","given":"S. T."},{"family":"Blangero","given":"J."},{"family":"Meulenbelt","given":"I."},{"family":"Ressler","given":"K. J."},{"family":"Yang","given":"J."},{"family":"Franke","given":"L."},{"family":"Kettunen","given":"J."},{"family":"Visscher","given":"P. M."},{"family":"Neely","given":"G. G."},{"family":"Korstanje","given":"R."},{"family":"Hanson","given":"R. L."},{"family":"Prokisch","given":"H."},{"family":"Ferrucci","given":"L."},{"family":"Esko","given":"T."},{"family":"Teumer","given":"A."},{"family":"Meurs","given":"J. B.","non-dropping-particle":"van"},{"family":"Johnson","given":"A. D."}],"issued":{"date-parts":[["2015",10,22]]}}}],"schema":"https://github.com/citation-style-language/schema/raw/master/csl-citation.json"} </w:instrText>
      </w:r>
      <w:r w:rsidR="00667C2A">
        <w:rPr>
          <w:sz w:val="20"/>
          <w:szCs w:val="20"/>
        </w:rPr>
        <w:fldChar w:fldCharType="separate"/>
      </w:r>
      <w:r w:rsidR="00667C2A" w:rsidRPr="009766DB">
        <w:rPr>
          <w:rFonts w:ascii="Calibri" w:hAnsi="Calibri" w:cs="Calibri"/>
          <w:sz w:val="20"/>
          <w:szCs w:val="24"/>
        </w:rPr>
        <w:t>[20]</w:t>
      </w:r>
      <w:r w:rsidR="00667C2A">
        <w:rPr>
          <w:sz w:val="20"/>
          <w:szCs w:val="20"/>
        </w:rPr>
        <w:fldChar w:fldCharType="end"/>
      </w:r>
      <w:r w:rsidR="00667C2A" w:rsidRPr="006D4D47">
        <w:rPr>
          <w:sz w:val="20"/>
          <w:szCs w:val="20"/>
        </w:rPr>
        <w:t xml:space="preserve"> (yellow = positive correlation, purple = negative correlation, white = no significant correlation).</w:t>
      </w:r>
    </w:p>
    <w:p w14:paraId="67207BB6" w14:textId="77777777" w:rsidR="00406DE8" w:rsidRDefault="00406DE8" w:rsidP="00667C2A">
      <w:pPr>
        <w:rPr>
          <w:sz w:val="20"/>
          <w:szCs w:val="20"/>
        </w:rPr>
      </w:pPr>
    </w:p>
    <w:p w14:paraId="295A5463" w14:textId="77777777" w:rsidR="00406DE8" w:rsidRDefault="00406DE8" w:rsidP="00667C2A">
      <w:pPr>
        <w:rPr>
          <w:sz w:val="20"/>
          <w:szCs w:val="20"/>
        </w:rPr>
      </w:pPr>
    </w:p>
    <w:p w14:paraId="635820B0" w14:textId="5D33D278" w:rsidR="00406DE8" w:rsidRDefault="00406DE8" w:rsidP="00667C2A">
      <w:pPr>
        <w:rPr>
          <w:sz w:val="20"/>
          <w:szCs w:val="20"/>
        </w:rPr>
      </w:pPr>
      <w:r w:rsidRPr="00406DE8">
        <w:rPr>
          <w:b/>
          <w:bCs/>
          <w:sz w:val="20"/>
          <w:szCs w:val="20"/>
        </w:rPr>
        <w:t>Table S2.</w:t>
      </w:r>
      <w:r>
        <w:rPr>
          <w:sz w:val="20"/>
          <w:szCs w:val="20"/>
        </w:rPr>
        <w:t xml:space="preserve"> Gene ontology (GO) </w:t>
      </w:r>
      <w:r w:rsidRPr="00406DE8">
        <w:rPr>
          <w:sz w:val="20"/>
          <w:szCs w:val="20"/>
        </w:rPr>
        <w:t>enrichments</w:t>
      </w:r>
      <w:r>
        <w:rPr>
          <w:sz w:val="20"/>
          <w:szCs w:val="20"/>
        </w:rPr>
        <w:t xml:space="preserve"> of the</w:t>
      </w:r>
      <w:r w:rsidRPr="00406DE8">
        <w:rPr>
          <w:sz w:val="20"/>
          <w:szCs w:val="20"/>
        </w:rPr>
        <w:t xml:space="preserve"> </w:t>
      </w:r>
      <w:r w:rsidRPr="00406DE8">
        <w:rPr>
          <w:i/>
          <w:iCs/>
          <w:sz w:val="20"/>
          <w:szCs w:val="20"/>
        </w:rPr>
        <w:t>trans</w:t>
      </w:r>
      <w:r>
        <w:rPr>
          <w:sz w:val="20"/>
          <w:szCs w:val="20"/>
        </w:rPr>
        <w:t>-</w:t>
      </w:r>
      <w:r w:rsidRPr="00406DE8">
        <w:rPr>
          <w:sz w:val="20"/>
          <w:szCs w:val="20"/>
        </w:rPr>
        <w:t>genes</w:t>
      </w:r>
      <w:r>
        <w:rPr>
          <w:sz w:val="20"/>
          <w:szCs w:val="20"/>
        </w:rPr>
        <w:t xml:space="preserve"> identified in the regression analysis.</w:t>
      </w:r>
    </w:p>
    <w:p w14:paraId="284059A0" w14:textId="5A039955" w:rsidR="0092725C" w:rsidRDefault="0092725C" w:rsidP="00667C2A">
      <w:pPr>
        <w:rPr>
          <w:i/>
          <w:iCs/>
          <w:sz w:val="20"/>
          <w:szCs w:val="20"/>
        </w:rPr>
      </w:pPr>
      <w:r w:rsidRPr="00FD7DAF">
        <w:rPr>
          <w:i/>
          <w:iCs/>
          <w:sz w:val="20"/>
          <w:szCs w:val="20"/>
        </w:rPr>
        <w:t>Supplied separately</w:t>
      </w:r>
      <w:r>
        <w:rPr>
          <w:i/>
          <w:iCs/>
          <w:sz w:val="20"/>
          <w:szCs w:val="20"/>
        </w:rPr>
        <w:t xml:space="preserve"> in Additional File 3.</w:t>
      </w:r>
    </w:p>
    <w:p w14:paraId="48D97AA5" w14:textId="77777777" w:rsidR="006D6A4A" w:rsidRPr="006D6A4A" w:rsidRDefault="006D6A4A" w:rsidP="00667C2A">
      <w:pPr>
        <w:rPr>
          <w:sz w:val="20"/>
          <w:szCs w:val="20"/>
        </w:rPr>
      </w:pPr>
    </w:p>
    <w:p w14:paraId="5B45EFAB" w14:textId="77777777" w:rsidR="006D6A4A" w:rsidRPr="006D6A4A" w:rsidRDefault="006D6A4A" w:rsidP="00667C2A">
      <w:pPr>
        <w:rPr>
          <w:sz w:val="20"/>
          <w:szCs w:val="20"/>
        </w:rPr>
      </w:pPr>
    </w:p>
    <w:p w14:paraId="2DF3CCE0" w14:textId="77777777" w:rsidR="004D6C95" w:rsidRDefault="004D6C95" w:rsidP="006D6A4A">
      <w:pPr>
        <w:rPr>
          <w:b/>
          <w:bCs/>
          <w:sz w:val="20"/>
          <w:szCs w:val="20"/>
        </w:rPr>
      </w:pPr>
    </w:p>
    <w:p w14:paraId="237F4A4E" w14:textId="77777777" w:rsidR="004D6C95" w:rsidRDefault="004D6C95" w:rsidP="006D6A4A">
      <w:pPr>
        <w:rPr>
          <w:b/>
          <w:bCs/>
          <w:sz w:val="20"/>
          <w:szCs w:val="20"/>
        </w:rPr>
      </w:pPr>
    </w:p>
    <w:p w14:paraId="2BF7C089" w14:textId="7D077E25" w:rsidR="004D6C95" w:rsidRDefault="006D6A4A" w:rsidP="006D6A4A">
      <w:pPr>
        <w:rPr>
          <w:sz w:val="20"/>
          <w:szCs w:val="20"/>
        </w:rPr>
      </w:pPr>
      <w:r w:rsidRPr="00406DE8">
        <w:rPr>
          <w:b/>
          <w:bCs/>
          <w:sz w:val="20"/>
          <w:szCs w:val="20"/>
        </w:rPr>
        <w:lastRenderedPageBreak/>
        <w:t>Table S</w:t>
      </w:r>
      <w:r>
        <w:rPr>
          <w:b/>
          <w:bCs/>
          <w:sz w:val="20"/>
          <w:szCs w:val="20"/>
        </w:rPr>
        <w:t>3</w:t>
      </w:r>
      <w:r w:rsidRPr="00406DE8">
        <w:rPr>
          <w:b/>
          <w:bCs/>
          <w:sz w:val="20"/>
          <w:szCs w:val="20"/>
        </w:rPr>
        <w:t>.</w:t>
      </w:r>
      <w:r>
        <w:rPr>
          <w:sz w:val="20"/>
          <w:szCs w:val="20"/>
        </w:rPr>
        <w:t xml:space="preserve"> </w:t>
      </w:r>
      <w:r w:rsidR="004D6C95" w:rsidRPr="004D6C95">
        <w:rPr>
          <w:sz w:val="20"/>
          <w:szCs w:val="20"/>
        </w:rPr>
        <w:t>Overlap between meQTLs</w:t>
      </w:r>
      <w:r w:rsidR="004D6C95">
        <w:rPr>
          <w:sz w:val="20"/>
          <w:szCs w:val="20"/>
        </w:rPr>
        <w:t xml:space="preserve"> affecting clock CpG DNAm and</w:t>
      </w:r>
      <w:r w:rsidR="004D6C95" w:rsidRPr="004D6C95">
        <w:rPr>
          <w:sz w:val="20"/>
          <w:szCs w:val="20"/>
        </w:rPr>
        <w:t xml:space="preserve"> eQTLs</w:t>
      </w:r>
      <w:r w:rsidR="004D6C95">
        <w:rPr>
          <w:sz w:val="20"/>
          <w:szCs w:val="20"/>
        </w:rPr>
        <w:t xml:space="preserve"> affecting </w:t>
      </w:r>
      <w:r w:rsidR="004D6C95" w:rsidRPr="004D6C95">
        <w:rPr>
          <w:i/>
          <w:iCs/>
          <w:sz w:val="20"/>
          <w:szCs w:val="20"/>
        </w:rPr>
        <w:t>trans</w:t>
      </w:r>
      <w:r w:rsidR="004D6C95">
        <w:rPr>
          <w:sz w:val="20"/>
          <w:szCs w:val="20"/>
        </w:rPr>
        <w:t>-gene expression.</w:t>
      </w:r>
    </w:p>
    <w:p w14:paraId="51BE2F1D" w14:textId="1DAEA775" w:rsidR="006D6A4A" w:rsidRDefault="006D6A4A" w:rsidP="00667C2A">
      <w:pPr>
        <w:rPr>
          <w:sz w:val="20"/>
          <w:szCs w:val="20"/>
        </w:rPr>
      </w:pPr>
      <w:r w:rsidRPr="00FD7DAF">
        <w:rPr>
          <w:i/>
          <w:iCs/>
          <w:sz w:val="20"/>
          <w:szCs w:val="20"/>
        </w:rPr>
        <w:t>Supplied separately</w:t>
      </w:r>
      <w:r>
        <w:rPr>
          <w:i/>
          <w:iCs/>
          <w:sz w:val="20"/>
          <w:szCs w:val="20"/>
        </w:rPr>
        <w:t xml:space="preserve"> in Additional File </w:t>
      </w:r>
      <w:r w:rsidR="004D6C95">
        <w:rPr>
          <w:i/>
          <w:iCs/>
          <w:sz w:val="20"/>
          <w:szCs w:val="20"/>
        </w:rPr>
        <w:t>4</w:t>
      </w:r>
      <w:r>
        <w:rPr>
          <w:i/>
          <w:iCs/>
          <w:sz w:val="20"/>
          <w:szCs w:val="20"/>
        </w:rPr>
        <w:t>.</w:t>
      </w:r>
    </w:p>
    <w:p w14:paraId="4CC6010D" w14:textId="77777777" w:rsidR="00275CCA" w:rsidRDefault="00275CCA" w:rsidP="00667C2A">
      <w:pPr>
        <w:rPr>
          <w:sz w:val="20"/>
          <w:szCs w:val="20"/>
        </w:rPr>
      </w:pPr>
    </w:p>
    <w:p w14:paraId="56603219" w14:textId="77777777" w:rsidR="00275CCA" w:rsidRDefault="00275CCA" w:rsidP="00667C2A">
      <w:pPr>
        <w:rPr>
          <w:sz w:val="20"/>
          <w:szCs w:val="20"/>
        </w:rPr>
      </w:pPr>
    </w:p>
    <w:p w14:paraId="0AA05044" w14:textId="77777777" w:rsidR="00275CCA" w:rsidRPr="00275CCA" w:rsidRDefault="00275CCA" w:rsidP="00667C2A">
      <w:pPr>
        <w:rPr>
          <w:sz w:val="20"/>
          <w:szCs w:val="20"/>
        </w:rPr>
      </w:pPr>
    </w:p>
    <w:p w14:paraId="6C024A11" w14:textId="77777777" w:rsidR="00667C2A" w:rsidRPr="006D4D47" w:rsidRDefault="00667C2A" w:rsidP="00667C2A">
      <w:pPr>
        <w:rPr>
          <w:sz w:val="20"/>
          <w:szCs w:val="20"/>
        </w:rPr>
      </w:pPr>
      <w:r w:rsidRPr="006D4D47">
        <w:rPr>
          <w:noProof/>
          <w:sz w:val="20"/>
          <w:szCs w:val="20"/>
        </w:rPr>
        <w:drawing>
          <wp:inline distT="0" distB="0" distL="0" distR="0" wp14:anchorId="3CF2EAE6" wp14:editId="4E2A5A70">
            <wp:extent cx="5759450" cy="4320540"/>
            <wp:effectExtent l="0" t="0" r="0" b="3810"/>
            <wp:docPr id="12" name="Picture 1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10;&#10;Description automatically generated"/>
                    <pic:cNvPicPr/>
                  </pic:nvPicPr>
                  <pic:blipFill>
                    <a:blip r:embed="rId8"/>
                    <a:stretch>
                      <a:fillRect/>
                    </a:stretch>
                  </pic:blipFill>
                  <pic:spPr>
                    <a:xfrm>
                      <a:off x="0" y="0"/>
                      <a:ext cx="5759450" cy="4320540"/>
                    </a:xfrm>
                    <a:prstGeom prst="rect">
                      <a:avLst/>
                    </a:prstGeom>
                  </pic:spPr>
                </pic:pic>
              </a:graphicData>
            </a:graphic>
          </wp:inline>
        </w:drawing>
      </w:r>
    </w:p>
    <w:p w14:paraId="2EE05D72" w14:textId="154A946F" w:rsidR="00667C2A" w:rsidRDefault="000F3BFA" w:rsidP="00667C2A">
      <w:pPr>
        <w:rPr>
          <w:sz w:val="20"/>
          <w:szCs w:val="20"/>
        </w:rPr>
      </w:pPr>
      <w:r>
        <w:rPr>
          <w:b/>
          <w:bCs/>
          <w:sz w:val="20"/>
          <w:szCs w:val="20"/>
        </w:rPr>
        <w:t>Fig.</w:t>
      </w:r>
      <w:r w:rsidR="00667C2A" w:rsidRPr="006D4D47">
        <w:rPr>
          <w:b/>
          <w:bCs/>
          <w:sz w:val="20"/>
          <w:szCs w:val="20"/>
        </w:rPr>
        <w:t xml:space="preserve"> S3.</w:t>
      </w:r>
      <w:r w:rsidR="00667C2A" w:rsidRPr="006D4D47">
        <w:rPr>
          <w:sz w:val="20"/>
          <w:szCs w:val="20"/>
        </w:rPr>
        <w:t xml:space="preserve"> Unbiased clustering of sorted blood cell types based on </w:t>
      </w:r>
      <w:r w:rsidR="00667C2A" w:rsidRPr="006D4D47">
        <w:rPr>
          <w:i/>
          <w:iCs/>
          <w:sz w:val="20"/>
          <w:szCs w:val="20"/>
        </w:rPr>
        <w:t>trans</w:t>
      </w:r>
      <w:r w:rsidR="00667C2A" w:rsidRPr="006D4D47">
        <w:rPr>
          <w:sz w:val="20"/>
          <w:szCs w:val="20"/>
        </w:rPr>
        <w:t xml:space="preserve">-gene expression. External gene expression data measured in 17 sorted blood cell types were obtained from Monaco et al. </w: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 </w:instrTex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EN.CITE.DATA </w:instrText>
      </w:r>
      <w:r w:rsidR="00667C2A" w:rsidRPr="006D4D47">
        <w:rPr>
          <w:sz w:val="20"/>
          <w:szCs w:val="20"/>
        </w:rPr>
      </w:r>
      <w:r w:rsidR="00667C2A" w:rsidRPr="006D4D47">
        <w:rPr>
          <w:sz w:val="20"/>
          <w:szCs w:val="20"/>
        </w:rPr>
        <w:fldChar w:fldCharType="end"/>
      </w:r>
      <w:r w:rsidR="00667C2A" w:rsidRPr="006D4D47">
        <w:rPr>
          <w:sz w:val="20"/>
          <w:szCs w:val="20"/>
        </w:rPr>
      </w:r>
      <w:r w:rsidR="00667C2A" w:rsidRPr="006D4D47">
        <w:rPr>
          <w:sz w:val="20"/>
          <w:szCs w:val="20"/>
        </w:rPr>
        <w:fldChar w:fldCharType="separate"/>
      </w:r>
      <w:r w:rsidR="00667C2A" w:rsidRPr="006D4D47">
        <w:rPr>
          <w:sz w:val="20"/>
          <w:szCs w:val="20"/>
        </w:rPr>
        <w:t>[21]</w:t>
      </w:r>
      <w:r w:rsidR="00667C2A" w:rsidRPr="006D4D47">
        <w:rPr>
          <w:sz w:val="20"/>
          <w:szCs w:val="20"/>
        </w:rPr>
        <w:fldChar w:fldCharType="end"/>
      </w:r>
      <w:r w:rsidR="00667C2A" w:rsidRPr="006D4D47">
        <w:rPr>
          <w:sz w:val="20"/>
          <w:szCs w:val="20"/>
        </w:rPr>
        <w:t>. Expression values were normalized so that each gene had an expression range of 0-1 across all measured cell types. Genes and cell types were clustered based on Euclidean distance, and cell types were divided into 4 clusters based on expression profiles.</w:t>
      </w:r>
    </w:p>
    <w:p w14:paraId="706DAE36" w14:textId="77777777" w:rsidR="00667C2A" w:rsidRPr="006D4D47" w:rsidRDefault="00667C2A" w:rsidP="00667C2A">
      <w:pPr>
        <w:rPr>
          <w:sz w:val="20"/>
          <w:szCs w:val="20"/>
        </w:rPr>
      </w:pPr>
    </w:p>
    <w:p w14:paraId="3AC1389E" w14:textId="77777777" w:rsidR="00667C2A" w:rsidRPr="006D4D47" w:rsidRDefault="00667C2A" w:rsidP="00667C2A">
      <w:pPr>
        <w:rPr>
          <w:b/>
          <w:bCs/>
          <w:sz w:val="20"/>
          <w:szCs w:val="20"/>
        </w:rPr>
      </w:pPr>
      <w:r w:rsidRPr="006D4D47">
        <w:rPr>
          <w:b/>
          <w:bCs/>
          <w:noProof/>
          <w:sz w:val="20"/>
          <w:szCs w:val="20"/>
        </w:rPr>
        <w:lastRenderedPageBreak/>
        <w:drawing>
          <wp:inline distT="0" distB="0" distL="0" distR="0" wp14:anchorId="49DC4F35" wp14:editId="23D779E6">
            <wp:extent cx="5759450" cy="3864610"/>
            <wp:effectExtent l="0" t="0" r="0" b="2540"/>
            <wp:docPr id="13" name="Picture 13" descr="Graphical user interface, 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chart, treemap chart&#10;&#10;Description automatically generated"/>
                    <pic:cNvPicPr/>
                  </pic:nvPicPr>
                  <pic:blipFill>
                    <a:blip r:embed="rId9">
                      <a:clrChange>
                        <a:clrFrom>
                          <a:srgbClr val="000000">
                            <a:alpha val="3922"/>
                          </a:srgbClr>
                        </a:clrFrom>
                        <a:clrTo>
                          <a:srgbClr val="000000">
                            <a:alpha val="0"/>
                          </a:srgbClr>
                        </a:clrTo>
                      </a:clrChange>
                    </a:blip>
                    <a:stretch>
                      <a:fillRect/>
                    </a:stretch>
                  </pic:blipFill>
                  <pic:spPr>
                    <a:xfrm>
                      <a:off x="0" y="0"/>
                      <a:ext cx="5759450" cy="3864610"/>
                    </a:xfrm>
                    <a:prstGeom prst="rect">
                      <a:avLst/>
                    </a:prstGeom>
                  </pic:spPr>
                </pic:pic>
              </a:graphicData>
            </a:graphic>
          </wp:inline>
        </w:drawing>
      </w:r>
    </w:p>
    <w:p w14:paraId="21A5C790" w14:textId="0DD424AA" w:rsidR="00667C2A" w:rsidRPr="006D4D47" w:rsidRDefault="000F3BFA" w:rsidP="00667C2A">
      <w:pPr>
        <w:rPr>
          <w:sz w:val="20"/>
          <w:szCs w:val="20"/>
        </w:rPr>
      </w:pPr>
      <w:r>
        <w:rPr>
          <w:b/>
          <w:bCs/>
          <w:sz w:val="20"/>
          <w:szCs w:val="20"/>
        </w:rPr>
        <w:t>Fig.</w:t>
      </w:r>
      <w:r w:rsidR="00667C2A" w:rsidRPr="006D4D47">
        <w:rPr>
          <w:b/>
          <w:bCs/>
          <w:sz w:val="20"/>
          <w:szCs w:val="20"/>
        </w:rPr>
        <w:t xml:space="preserve"> S4.</w:t>
      </w:r>
      <w:r w:rsidR="00667C2A" w:rsidRPr="006D4D47">
        <w:rPr>
          <w:sz w:val="20"/>
          <w:szCs w:val="20"/>
        </w:rPr>
        <w:t xml:space="preserve"> Associations between DNAm of clock CpGs and expression of genes </w:t>
      </w:r>
      <w:r w:rsidR="00667C2A" w:rsidRPr="006D4D47">
        <w:rPr>
          <w:i/>
          <w:iCs/>
          <w:sz w:val="20"/>
          <w:szCs w:val="20"/>
        </w:rPr>
        <w:t>in trans</w:t>
      </w:r>
      <w:r w:rsidR="00667C2A" w:rsidRPr="006D4D47">
        <w:rPr>
          <w:sz w:val="20"/>
          <w:szCs w:val="20"/>
        </w:rPr>
        <w:t xml:space="preserve"> without correction for white blood cell counts. Per gene-CpG pair, the t-statistic of their association is shown in the blue-red heatmap (red = positive association, blue = negative association, white = no significant association). Only CpGs which associated with at least 5 genes and genes which associated with at least 2.5% of any clock were included. Genes and CpGs were clustered based on Euclidean distance. Two sidebars (</w:t>
      </w:r>
      <w:proofErr w:type="spellStart"/>
      <w:r w:rsidR="00667C2A" w:rsidRPr="006D4D47">
        <w:rPr>
          <w:sz w:val="20"/>
          <w:szCs w:val="20"/>
        </w:rPr>
        <w:t>viridis</w:t>
      </w:r>
      <w:proofErr w:type="spellEnd"/>
      <w:r w:rsidR="00667C2A" w:rsidRPr="006D4D47">
        <w:rPr>
          <w:sz w:val="20"/>
          <w:szCs w:val="20"/>
        </w:rPr>
        <w:t xml:space="preserve"> color scale) were included with external data, with the left sidebar depicting expression of </w:t>
      </w:r>
      <w:r w:rsidR="00667C2A" w:rsidRPr="006D4D47">
        <w:rPr>
          <w:i/>
          <w:iCs/>
          <w:sz w:val="20"/>
          <w:szCs w:val="20"/>
        </w:rPr>
        <w:t>trans</w:t>
      </w:r>
      <w:r w:rsidR="00667C2A" w:rsidRPr="006D4D47">
        <w:rPr>
          <w:sz w:val="20"/>
          <w:szCs w:val="20"/>
        </w:rPr>
        <w:t xml:space="preserve">-genes in 17 sorted blood cell types published by Monaco et al. </w: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 </w:instrTex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EN.CITE.DATA </w:instrText>
      </w:r>
      <w:r w:rsidR="00667C2A" w:rsidRPr="006D4D47">
        <w:rPr>
          <w:sz w:val="20"/>
          <w:szCs w:val="20"/>
        </w:rPr>
      </w:r>
      <w:r w:rsidR="00667C2A" w:rsidRPr="006D4D47">
        <w:rPr>
          <w:sz w:val="20"/>
          <w:szCs w:val="20"/>
        </w:rPr>
        <w:fldChar w:fldCharType="end"/>
      </w:r>
      <w:r w:rsidR="00667C2A" w:rsidRPr="006D4D47">
        <w:rPr>
          <w:sz w:val="20"/>
          <w:szCs w:val="20"/>
        </w:rPr>
      </w:r>
      <w:r w:rsidR="00667C2A" w:rsidRPr="006D4D47">
        <w:rPr>
          <w:sz w:val="20"/>
          <w:szCs w:val="20"/>
        </w:rPr>
        <w:fldChar w:fldCharType="separate"/>
      </w:r>
      <w:r w:rsidR="00667C2A" w:rsidRPr="006D4D47">
        <w:rPr>
          <w:sz w:val="20"/>
          <w:szCs w:val="20"/>
        </w:rPr>
        <w:t>[21]</w:t>
      </w:r>
      <w:r w:rsidR="00667C2A" w:rsidRPr="006D4D47">
        <w:rPr>
          <w:sz w:val="20"/>
          <w:szCs w:val="20"/>
        </w:rPr>
        <w:fldChar w:fldCharType="end"/>
      </w:r>
      <w:r w:rsidR="00667C2A" w:rsidRPr="006D4D47">
        <w:rPr>
          <w:sz w:val="20"/>
          <w:szCs w:val="20"/>
        </w:rPr>
        <w:t xml:space="preserve">, and the top sidebar depicting DNAm of clock CpGs in sorted T-cell and NK-cell subtypes combined from 4 datasets </w:t>
      </w:r>
      <w:r w:rsidR="00667C2A" w:rsidRPr="006D4D47">
        <w:rPr>
          <w:sz w:val="20"/>
          <w:szCs w:val="20"/>
        </w:rPr>
        <w:fldChar w:fldCharType="begin"/>
      </w:r>
      <w:r w:rsidR="00667C2A">
        <w:rPr>
          <w:sz w:val="20"/>
          <w:szCs w:val="20"/>
        </w:rPr>
        <w:instrText xml:space="preserve"> ADDIN ZOTERO_ITEM CSL_CITATION {"citationID":"bY4PKEYB","properties":{"formattedCitation":"[11,24\\uc0\\u8211{}26]","plainCitation":"[11,24–26]","noteIndex":0},"citationItems":[{"id":1058,"uris":["http://zotero.org/users/local/O7bCweFn/items/VRRPHVGV"],"uri":["http://zotero.org/users/local/O7bCweFn/items/VRRPHVGV"],"itemData":{"id":1058,"type":"article-journal","abstract":"The forkhead box P1 (FOXP1) transcription factor has been shown to regulate the generation and maintenance of quiescent naive murine T cells. In humans, FOXP1 expression has been correlated with overall survival in patients with peripheral T-cell lymphoma (PTCL), although its regulatory role in T-cell function is currently unknown. We found that FOXP1 is normally expressed in all human leukocyte subpopulations. Focusing on primary human CD4(+) T cells, we show that nuclear expression of FOXP1 predominates in naive cells with significant downregulation detected in memory cells from blood and tonsils. FOXP1 is repressed following in vitro T-cell activation of naive T cells, and later re-established in memory CD4(+) T cells, albeit at lower levels. DNA methylation analysis revealed that epigenetic mechanisms participate in regulating the human FOXP1 gene. ShRNA-mediated FOXP1 repression induces CD4(+) T cells to enter the cell cycle, acquire memory-like markers and upregulate helper T-cell differentiation genes. In patients with lymphoproliferative disorders, FOXP1 expression is constitutionally repressed in the clonal T cells in parallel with overexpression of helper T-cell differentiation genes. Collectively, these data identify FOXP1 as an essential transcriptional regulator for primary human CD4(+) T cells and suggest its potential important role in the development of PTCL.","archive_location":"27861791","container-title":"Eur J Immunol","DOI":"10.1002/eji.201646373","ISSN":"1521-4141 (Electronic) 0014-2980 (Linking)","issue":"1","note":"edition: 2016/11/20","page":"168-179","title":"FOXP1 is a regulator of quiescence in healthy human CD4(+) T cells and is constitutively repressed in T cells from patients with lymphoproliferative disorders","volume":"47","author":[{"family":"Garaud","given":"S."},{"family":"Roufosse","given":"F."},{"family":"De Silva","given":"P."},{"family":"Gu-Trantien","given":"C."},{"family":"Lodewyckx","given":"J. N."},{"family":"Duvillier","given":"H."},{"family":"Dedeurwaerder","given":"S."},{"family":"Bizet","given":"M."},{"family":"Defrance","given":"M."},{"family":"Fuks","given":"F."},{"family":"Bex","given":"F."},{"family":"Willard-Gallo","given":"K."}],"issued":{"date-parts":[["2017",1]]}}},{"id":1202,"uris":["http://zotero.org/users/local/O7bCweFn/items/KCHRNB4L"],"uri":["http://zotero.org/users/local/O7bCweFn/items/KCHRNB4L"],"itemData":{"id":1202,"type":"article-journal","abstract":"The genetic risk associated with rheumatoid arthritis (RA) includes genes regulating DNA methylation, one of the hallmarks of epigenetic re-programing, as well as many T-cell genes, with a strong MHC association, pointing to immunogenetic mechanisms as disease triggers leading to chronicity. The aim of our study was to explore DNA methylation in early, drug-naïve RA patients, towards a better understanding of early events in pathogenesis.","container-title":"Clinical Epigenetics","DOI":"10.1186/s13148-020-00837-1","ISSN":"1868-7083","issue":"1","journalAbbreviation":"Clinical Epigenetics","page":"54","source":"BioMed Central","title":"Differential CpG DNA methylation in peripheral naïve CD4+ T-cells in early rheumatoid arthritis patients","volume":"12","author":[{"family":"Pitaksalee","given":"R."},{"family":"Burska","given":"A. N."},{"family":"Ajaib","given":"S."},{"family":"Rogers","given":"J."},{"family":"Parmar","given":"R."},{"family":"Mydlova","given":"K."},{"family":"Xie","given":"X."},{"family":"Droop","given":"A."},{"family":"Nijjar","given":"J. S."},{"family":"Chambers","given":"P."},{"family":"Emery","given":"P."},{"family":"Hodgett","given":"R."},{"family":"McInnes","given":"I. B."},{"family":"Ponchel","given":"F."}],"issued":{"date-parts":[["2020",4,7]]}}},{"id":1003,"uris":["http://zotero.org/users/local/O7bCweFn/items/JZFDYLTH"],"uri":["http://zotero.org/users/local/O7bCweFn/items/JZFDYLTH"],"itemData":{"id":1003,"type":"article-journal","abstract":"The mechanisms underlying human natural killer (NK) cell phenotypic and functional heterogeneity are unknown. Here, we describe the emergence of diverse subsets of human NK cells selectively lacking expression of signaling proteins after human cytomegalovirus (HCMV) infection. The absence of B and myeloid cell-related signaling protein expression in these NK cell subsets correlated with promoter DNA hypermethylation. Genome-wide DNA methylation patterns were strikingly similar between HCMV-associated adaptive NK cells and cytotoxic effector T cells but differed from those of canonical NK cells. Functional interrogation demonstrated altered cytokine responsiveness in adaptive NK cells that was linked to reduced expression of the transcription factor PLZF. Furthermore, subsets of adaptive NK cells demonstrated significantly reduced functional responses to activated autologous T cells. The present results uncover a spectrum of epigenetically unique adaptive NK cell subsets that diversify in response to viral infection and have distinct functional capabilities compared to canonical NK cell subsets.","archive_location":"25786176","container-title":"Immunity","DOI":"10.1016/j.immuni.2015.02.008","ISSN":"1097-4180 (Electronic) 1074-7613 (Linking)","issue":"3","note":"edition: 2015/03/19","page":"443-56","title":"Cytomegalovirus infection drives adaptive epigenetic diversification of NK cells with altered signaling and effector function","volume":"42","author":[{"family":"Schlums","given":"H."},{"family":"Cichocki","given":"F."},{"family":"Tesi","given":"B."},{"family":"Theorell","given":"J."},{"family":"Beziat","given":"V."},{"family":"Holmes","given":"T. D."},{"family":"Han","given":"H."},{"family":"Chiang","given":"S. C."},{"family":"Foley","given":"B."},{"family":"Mattsson","given":"K."},{"family":"Larsson","given":"S."},{"family":"Schaffer","given":"M."},{"family":"Malmberg","given":"K. J."},{"family":"Ljunggren","given":"H. G."},{"family":"Miller","given":"J. S."},{"family":"Bryceson","given":"Y. T."}],"issued":{"date-parts":[["2015",3,17]]}}},{"id":1205,"uris":["http://zotero.org/users/local/O7bCweFn/items/ANMHDE2C"],"uri":["http://zotero.org/users/local/O7bCweFn/items/ANMHDE2C"],"itemData":{"id":1205,"type":"article-journal","abstract":"Epigenetic mechanisms play a critical role during differentiation of T cells by contributing to the formation of stable and heritable transcriptional patterns. To better understand the mechanisms of memory maintenance in CD8+ T cells, we performed genome-wide analysis of DNA methylation, histone marking (acetylated lysine 9 in histone H3 and trimethylated lysine 9 in histone), and gene-expression profiles in naive, effector memory (EM), and terminally differentiated EM (TEMRA) cells. Our results indicate that DNA demethylation and histone acetylation are coordinated to generate the transcriptional program associated with memory cells. Conversely, EM and TEMRA cells share a very similar epigenetic landscape. Nonetheless, the TEMRA transcriptional program predicts an innate immunity phenotype associated with genes never reported in these cells, including several mediators of NK cell activation (VAV3 and LYN) and a large array of NK receptors (e.g., KIR2DL3, KIR2DL4, KIR2DL1, KIR3DL1, KIR2DS5). In addition, we identified up to 161 genes that encode transcriptional regulators, some of unknown function in CD8+ T cells, and that were differentially expressed in the course of differentiation. Overall, these results provide new insights into the regulatory networks involved in memory CD8+ T cell maintenance and T cell terminal differentiation.","container-title":"The Journal of Immunology","DOI":"10.4049/jimmunol.1601102","ISSN":"0022-1767, 1550-6606","issue":"2","language":"en","note":"publisher: American Association of Immunologists\nsection: SYSTEMS IMMUNOLOGY\nPMID: 27974453","page":"937-949","source":"www.jimmunol.org","title":"Epigenetic Networks Regulate the Transcriptional Program in Memory and Terminally Differentiated CD8+ T Cells","volume":"198","author":[{"family":"Rodriguez","given":"Ramon M."},{"family":"Suarez-Alvarez","given":"Beatriz"},{"family":"Lavín","given":"José L."},{"family":"Mosén-Ansorena","given":"David"},{"family":"Raneros","given":"Aroa Baragaño"},{"family":"Márquez-Kisinousky","given":"Leonardo"},{"family":"Aransay","given":"Ana M."},{"family":"Lopez-Larrea","given":"Carlos"}],"issued":{"date-parts":[["2017",1,15]]}}}],"schema":"https://github.com/citation-style-language/schema/raw/master/csl-citation.json"} </w:instrText>
      </w:r>
      <w:r w:rsidR="00667C2A" w:rsidRPr="006D4D47">
        <w:rPr>
          <w:sz w:val="20"/>
          <w:szCs w:val="20"/>
        </w:rPr>
        <w:fldChar w:fldCharType="separate"/>
      </w:r>
      <w:r w:rsidR="00667C2A" w:rsidRPr="006D4D47">
        <w:rPr>
          <w:rFonts w:ascii="Calibri" w:hAnsi="Calibri" w:cs="Calibri"/>
          <w:sz w:val="20"/>
          <w:szCs w:val="24"/>
        </w:rPr>
        <w:t>[11,24–26]</w:t>
      </w:r>
      <w:r w:rsidR="00667C2A" w:rsidRPr="006D4D47">
        <w:rPr>
          <w:sz w:val="20"/>
          <w:szCs w:val="20"/>
        </w:rPr>
        <w:fldChar w:fldCharType="end"/>
      </w:r>
      <w:r w:rsidR="00667C2A" w:rsidRPr="006D4D47">
        <w:rPr>
          <w:sz w:val="20"/>
          <w:szCs w:val="20"/>
        </w:rPr>
        <w:t xml:space="preserve">. External expression and DNAm data were normalized so that each gene/CpG had a DNAm/expression range between 0 and 1 across all measured cell types. The 58 genes and 100 CpGs were compared to the 216 genes and 365 CpGs identified in </w:t>
      </w:r>
      <w:r>
        <w:rPr>
          <w:b/>
          <w:bCs/>
          <w:sz w:val="20"/>
          <w:szCs w:val="20"/>
        </w:rPr>
        <w:t>Fig.</w:t>
      </w:r>
      <w:r w:rsidR="00667C2A" w:rsidRPr="009766DB">
        <w:rPr>
          <w:b/>
          <w:bCs/>
          <w:sz w:val="20"/>
          <w:szCs w:val="20"/>
        </w:rPr>
        <w:t xml:space="preserve"> 4</w:t>
      </w:r>
      <w:r w:rsidR="00667C2A" w:rsidRPr="006D4D47">
        <w:rPr>
          <w:sz w:val="20"/>
          <w:szCs w:val="20"/>
        </w:rPr>
        <w:t>, and 58 genes and 83 CpGs were found to be overlapping.</w:t>
      </w:r>
    </w:p>
    <w:p w14:paraId="6FE5A1B2" w14:textId="77777777" w:rsidR="00667C2A" w:rsidRPr="006D4D47" w:rsidRDefault="00667C2A" w:rsidP="00667C2A">
      <w:pPr>
        <w:rPr>
          <w:b/>
          <w:bCs/>
          <w:sz w:val="20"/>
          <w:szCs w:val="20"/>
        </w:rPr>
      </w:pPr>
      <w:r w:rsidRPr="006D4D47">
        <w:rPr>
          <w:b/>
          <w:bCs/>
          <w:noProof/>
          <w:sz w:val="20"/>
          <w:szCs w:val="20"/>
        </w:rPr>
        <w:lastRenderedPageBreak/>
        <w:drawing>
          <wp:inline distT="0" distB="0" distL="0" distR="0" wp14:anchorId="1C6C37A3" wp14:editId="7E9F1BD6">
            <wp:extent cx="5759450" cy="3833495"/>
            <wp:effectExtent l="0" t="0" r="0" b="0"/>
            <wp:docPr id="15" name="Picture 1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chart&#10;&#10;Description automatically generated"/>
                    <pic:cNvPicPr/>
                  </pic:nvPicPr>
                  <pic:blipFill>
                    <a:blip r:embed="rId10">
                      <a:clrChange>
                        <a:clrFrom>
                          <a:srgbClr val="000000">
                            <a:alpha val="3529"/>
                          </a:srgbClr>
                        </a:clrFrom>
                        <a:clrTo>
                          <a:srgbClr val="000000">
                            <a:alpha val="0"/>
                          </a:srgbClr>
                        </a:clrTo>
                      </a:clrChange>
                    </a:blip>
                    <a:stretch>
                      <a:fillRect/>
                    </a:stretch>
                  </pic:blipFill>
                  <pic:spPr>
                    <a:xfrm>
                      <a:off x="0" y="0"/>
                      <a:ext cx="5759450" cy="3833495"/>
                    </a:xfrm>
                    <a:prstGeom prst="rect">
                      <a:avLst/>
                    </a:prstGeom>
                  </pic:spPr>
                </pic:pic>
              </a:graphicData>
            </a:graphic>
          </wp:inline>
        </w:drawing>
      </w:r>
    </w:p>
    <w:p w14:paraId="57792751" w14:textId="1E9CA526" w:rsidR="00667C2A" w:rsidRPr="006D4D47" w:rsidRDefault="000F3BFA" w:rsidP="00667C2A">
      <w:pPr>
        <w:rPr>
          <w:sz w:val="20"/>
          <w:szCs w:val="20"/>
        </w:rPr>
      </w:pPr>
      <w:r>
        <w:rPr>
          <w:b/>
          <w:bCs/>
          <w:sz w:val="20"/>
          <w:szCs w:val="20"/>
        </w:rPr>
        <w:t>Fig.</w:t>
      </w:r>
      <w:r w:rsidR="00667C2A" w:rsidRPr="006D4D47">
        <w:rPr>
          <w:b/>
          <w:bCs/>
          <w:sz w:val="20"/>
          <w:szCs w:val="20"/>
        </w:rPr>
        <w:t xml:space="preserve"> S5.</w:t>
      </w:r>
      <w:r w:rsidR="00667C2A" w:rsidRPr="006D4D47">
        <w:rPr>
          <w:sz w:val="20"/>
          <w:szCs w:val="20"/>
        </w:rPr>
        <w:t xml:space="preserve"> Associations between DNAm of clock CpGs and expression of genes </w:t>
      </w:r>
      <w:r w:rsidR="00667C2A" w:rsidRPr="006D4D47">
        <w:rPr>
          <w:i/>
          <w:iCs/>
          <w:sz w:val="20"/>
          <w:szCs w:val="20"/>
        </w:rPr>
        <w:t>in trans</w:t>
      </w:r>
      <w:r w:rsidR="00667C2A" w:rsidRPr="006D4D47">
        <w:rPr>
          <w:sz w:val="20"/>
          <w:szCs w:val="20"/>
        </w:rPr>
        <w:t xml:space="preserve"> without predicting white blood cell counts with </w:t>
      </w:r>
      <w:proofErr w:type="spellStart"/>
      <w:r w:rsidR="00667C2A" w:rsidRPr="006D4D47">
        <w:rPr>
          <w:i/>
          <w:iCs/>
          <w:sz w:val="20"/>
          <w:szCs w:val="20"/>
        </w:rPr>
        <w:t>wbccpredictor</w:t>
      </w:r>
      <w:proofErr w:type="spellEnd"/>
      <w:r w:rsidR="00667C2A" w:rsidRPr="006D4D47">
        <w:rPr>
          <w:sz w:val="20"/>
          <w:szCs w:val="20"/>
        </w:rPr>
        <w:t>. This sub-analysis was performed on only the 2</w:t>
      </w:r>
      <w:r w:rsidR="00667C2A">
        <w:rPr>
          <w:sz w:val="20"/>
          <w:szCs w:val="20"/>
        </w:rPr>
        <w:t>,</w:t>
      </w:r>
      <w:r w:rsidR="00667C2A" w:rsidRPr="006D4D47">
        <w:rPr>
          <w:sz w:val="20"/>
          <w:szCs w:val="20"/>
        </w:rPr>
        <w:t>120 samples for which blood cell counts were complete. Per gene-CpG pair, the t-statistic of their association is shown in the blue-red heatmap (red = positive association, blue = negative association, white = no significant association). Only CpGs which associated with at least 10 genes and genes which associated with at least 5% of any clock were included. Genes and CpGs were clustered based on Euclidean distance. Two sidebars (</w:t>
      </w:r>
      <w:proofErr w:type="spellStart"/>
      <w:r w:rsidR="00667C2A" w:rsidRPr="006D4D47">
        <w:rPr>
          <w:sz w:val="20"/>
          <w:szCs w:val="20"/>
        </w:rPr>
        <w:t>viridis</w:t>
      </w:r>
      <w:proofErr w:type="spellEnd"/>
      <w:r w:rsidR="00667C2A" w:rsidRPr="006D4D47">
        <w:rPr>
          <w:sz w:val="20"/>
          <w:szCs w:val="20"/>
        </w:rPr>
        <w:t xml:space="preserve"> color scale) were included with external data, with the left sidebar depicting expression of </w:t>
      </w:r>
      <w:r w:rsidR="00667C2A" w:rsidRPr="006D4D47">
        <w:rPr>
          <w:i/>
          <w:iCs/>
          <w:sz w:val="20"/>
          <w:szCs w:val="20"/>
        </w:rPr>
        <w:t>trans</w:t>
      </w:r>
      <w:r w:rsidR="00667C2A" w:rsidRPr="006D4D47">
        <w:rPr>
          <w:sz w:val="20"/>
          <w:szCs w:val="20"/>
        </w:rPr>
        <w:t xml:space="preserve">-genes in 17 sorted blood cell types published by Monaco et al. </w: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 </w:instrText>
      </w:r>
      <w:r w:rsidR="00667C2A" w:rsidRPr="006D4D47">
        <w:rPr>
          <w:sz w:val="20"/>
          <w:szCs w:val="20"/>
        </w:rPr>
        <w:fldChar w:fldCharType="begin">
          <w:fldData xml:space="preserve">PEVuZE5vdGU+PENpdGU+PEF1dGhvcj5Nb25hY288L0F1dGhvcj48WWVhcj4yMDE5PC9ZZWFyPjxS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</w:fldData>
        </w:fldChar>
      </w:r>
      <w:r w:rsidR="00667C2A" w:rsidRPr="006D4D47">
        <w:rPr>
          <w:sz w:val="20"/>
          <w:szCs w:val="20"/>
        </w:rPr>
        <w:instrText xml:space="preserve"> ADDIN EN.CITE.DATA </w:instrText>
      </w:r>
      <w:r w:rsidR="00667C2A" w:rsidRPr="006D4D47">
        <w:rPr>
          <w:sz w:val="20"/>
          <w:szCs w:val="20"/>
        </w:rPr>
      </w:r>
      <w:r w:rsidR="00667C2A" w:rsidRPr="006D4D47">
        <w:rPr>
          <w:sz w:val="20"/>
          <w:szCs w:val="20"/>
        </w:rPr>
        <w:fldChar w:fldCharType="end"/>
      </w:r>
      <w:r w:rsidR="00667C2A" w:rsidRPr="006D4D47">
        <w:rPr>
          <w:sz w:val="20"/>
          <w:szCs w:val="20"/>
        </w:rPr>
      </w:r>
      <w:r w:rsidR="00667C2A" w:rsidRPr="006D4D47">
        <w:rPr>
          <w:sz w:val="20"/>
          <w:szCs w:val="20"/>
        </w:rPr>
        <w:fldChar w:fldCharType="separate"/>
      </w:r>
      <w:r w:rsidR="00667C2A" w:rsidRPr="006D4D47">
        <w:rPr>
          <w:sz w:val="20"/>
          <w:szCs w:val="20"/>
        </w:rPr>
        <w:t>[21]</w:t>
      </w:r>
      <w:r w:rsidR="00667C2A" w:rsidRPr="006D4D47">
        <w:rPr>
          <w:sz w:val="20"/>
          <w:szCs w:val="20"/>
        </w:rPr>
        <w:fldChar w:fldCharType="end"/>
      </w:r>
      <w:r w:rsidR="00667C2A" w:rsidRPr="006D4D47">
        <w:rPr>
          <w:sz w:val="20"/>
          <w:szCs w:val="20"/>
        </w:rPr>
        <w:t xml:space="preserve">, and the top sidebar depicting DNAm of clock CpGs in sorted T-cell and NK-cell subtypes combined from 4 datasets </w:t>
      </w:r>
      <w:r w:rsidR="00667C2A" w:rsidRPr="006D4D47">
        <w:rPr>
          <w:sz w:val="20"/>
          <w:szCs w:val="20"/>
        </w:rPr>
        <w:fldChar w:fldCharType="begin"/>
      </w:r>
      <w:r w:rsidR="00667C2A">
        <w:rPr>
          <w:sz w:val="20"/>
          <w:szCs w:val="20"/>
        </w:rPr>
        <w:instrText xml:space="preserve"> ADDIN ZOTERO_ITEM CSL_CITATION {"citationID":"3ACLQrKO","properties":{"formattedCitation":"[11,24\\uc0\\u8211{}26]","plainCitation":"[11,24–26]","noteIndex":0},"citationItems":[{"id":1058,"uris":["http://zotero.org/users/local/O7bCweFn/items/VRRPHVGV"],"uri":["http://zotero.org/users/local/O7bCweFn/items/VRRPHVGV"],"itemData":{"id":1058,"type":"article-journal","abstract":"The forkhead box P1 (FOXP1) transcription factor has been shown to regulate the generation and maintenance of quiescent naive murine T cells. In humans, FOXP1 expression has been correlated with overall survival in patients with peripheral T-cell lymphoma (PTCL), although its regulatory role in T-cell function is currently unknown. We found that FOXP1 is normally expressed in all human leukocyte subpopulations. Focusing on primary human CD4(+) T cells, we show that nuclear expression of FOXP1 predominates in naive cells with significant downregulation detected in memory cells from blood and tonsils. FOXP1 is repressed following in vitro T-cell activation of naive T cells, and later re-established in memory CD4(+) T cells, albeit at lower levels. DNA methylation analysis revealed that epigenetic mechanisms participate in regulating the human FOXP1 gene. ShRNA-mediated FOXP1 repression induces CD4(+) T cells to enter the cell cycle, acquire memory-like markers and upregulate helper T-cell differentiation genes. In patients with lymphoproliferative disorders, FOXP1 expression is constitutionally repressed in the clonal T cells in parallel with overexpression of helper T-cell differentiation genes. Collectively, these data identify FOXP1 as an essential transcriptional regulator for primary human CD4(+) T cells and suggest its potential important role in the development of PTCL.","archive_location":"27861791","container-title":"Eur J Immunol","DOI":"10.1002/eji.201646373","ISSN":"1521-4141 (Electronic) 0014-2980 (Linking)","issue":"1","note":"edition: 2016/11/20","page":"168-179","title":"FOXP1 is a regulator of quiescence in healthy human CD4(+) T cells and is constitutively repressed in T cells from patients with lymphoproliferative disorders","volume":"47","author":[{"family":"Garaud","given":"S."},{"family":"Roufosse","given":"F."},{"family":"De Silva","given":"P."},{"family":"Gu-Trantien","given":"C."},{"family":"Lodewyckx","given":"J. N."},{"family":"Duvillier","given":"H."},{"family":"Dedeurwaerder","given":"S."},{"family":"Bizet","given":"M."},{"family":"Defrance","given":"M."},{"family":"Fuks","given":"F."},{"family":"Bex","given":"F."},{"family":"Willard-Gallo","given":"K."}],"issued":{"date-parts":[["2017",1]]}}},{"id":1202,"uris":["http://zotero.org/users/local/O7bCweFn/items/KCHRNB4L"],"uri":["http://zotero.org/users/local/O7bCweFn/items/KCHRNB4L"],"itemData":{"id":1202,"type":"article-journal","abstract":"The genetic risk associated with rheumatoid arthritis (RA) includes genes regulating DNA methylation, one of the hallmarks of epigenetic re-programing, as well as many T-cell genes, with a strong MHC association, pointing to immunogenetic mechanisms as disease triggers leading to chronicity. The aim of our study was to explore DNA methylation in early, drug-naïve RA patients, towards a better understanding of early events in pathogenesis.","container-title":"Clinical Epigenetics","DOI":"10.1186/s13148-020-00837-1","ISSN":"1868-7083","issue":"1","journalAbbreviation":"Clinical Epigenetics","page":"54","source":"BioMed Central","title":"Differential CpG DNA methylation in peripheral naïve CD4+ T-cells in early rheumatoid arthritis patients","volume":"12","author":[{"family":"Pitaksalee","given":"R."},{"family":"Burska","given":"A. N."},{"family":"Ajaib","given":"S."},{"family":"Rogers","given":"J."},{"family":"Parmar","given":"R."},{"family":"Mydlova","given":"K."},{"family":"Xie","given":"X."},{"family":"Droop","given":"A."},{"family":"Nijjar","given":"J. S."},{"family":"Chambers","given":"P."},{"family":"Emery","given":"P."},{"family":"Hodgett","given":"R."},{"family":"McInnes","given":"I. B."},{"family":"Ponchel","given":"F."}],"issued":{"date-parts":[["2020",4,7]]}}},{"id":1003,"uris":["http://zotero.org/users/local/O7bCweFn/items/JZFDYLTH"],"uri":["http://zotero.org/users/local/O7bCweFn/items/JZFDYLTH"],"itemData":{"id":1003,"type":"article-journal","abstract":"The mechanisms underlying human natural killer (NK) cell phenotypic and functional heterogeneity are unknown. Here, we describe the emergence of diverse subsets of human NK cells selectively lacking expression of signaling proteins after human cytomegalovirus (HCMV) infection. The absence of B and myeloid cell-related signaling protein expression in these NK cell subsets correlated with promoter DNA hypermethylation. Genome-wide DNA methylation patterns were strikingly similar between HCMV-associated adaptive NK cells and cytotoxic effector T cells but differed from those of canonical NK cells. Functional interrogation demonstrated altered cytokine responsiveness in adaptive NK cells that was linked to reduced expression of the transcription factor PLZF. Furthermore, subsets of adaptive NK cells demonstrated significantly reduced functional responses to activated autologous T cells. The present results uncover a spectrum of epigenetically unique adaptive NK cell subsets that diversify in response to viral infection and have distinct functional capabilities compared to canonical NK cell subsets.","archive_location":"25786176","container-title":"Immunity","DOI":"10.1016/j.immuni.2015.02.008","ISSN":"1097-4180 (Electronic) 1074-7613 (Linking)","issue":"3","note":"edition: 2015/03/19","page":"443-56","title":"Cytomegalovirus infection drives adaptive epigenetic diversification of NK cells with altered signaling and effector function","volume":"42","author":[{"family":"Schlums","given":"H."},{"family":"Cichocki","given":"F."},{"family":"Tesi","given":"B."},{"family":"Theorell","given":"J."},{"family":"Beziat","given":"V."},{"family":"Holmes","given":"T. D."},{"family":"Han","given":"H."},{"family":"Chiang","given":"S. C."},{"family":"Foley","given":"B."},{"family":"Mattsson","given":"K."},{"family":"Larsson","given":"S."},{"family":"Schaffer","given":"M."},{"family":"Malmberg","given":"K. J."},{"family":"Ljunggren","given":"H. G."},{"family":"Miller","given":"J. S."},{"family":"Bryceson","given":"Y. T."}],"issued":{"date-parts":[["2015",3,17]]}}},{"id":1205,"uris":["http://zotero.org/users/local/O7bCweFn/items/ANMHDE2C"],"uri":["http://zotero.org/users/local/O7bCweFn/items/ANMHDE2C"],"itemData":{"id":1205,"type":"article-journal","abstract":"Epigenetic mechanisms play a critical role during differentiation of T cells by contributing to the formation of stable and heritable transcriptional patterns. To better understand the mechanisms of memory maintenance in CD8+ T cells, we performed genome-wide analysis of DNA methylation, histone marking (acetylated lysine 9 in histone H3 and trimethylated lysine 9 in histone), and gene-expression profiles in naive, effector memory (EM), and terminally differentiated EM (TEMRA) cells. Our results indicate that DNA demethylation and histone acetylation are coordinated to generate the transcriptional program associated with memory cells. Conversely, EM and TEMRA cells share a very similar epigenetic landscape. Nonetheless, the TEMRA transcriptional program predicts an innate immunity phenotype associated with genes never reported in these cells, including several mediators of NK cell activation (VAV3 and LYN) and a large array of NK receptors (e.g., KIR2DL3, KIR2DL4, KIR2DL1, KIR3DL1, KIR2DS5). In addition, we identified up to 161 genes that encode transcriptional regulators, some of unknown function in CD8+ T cells, and that were differentially expressed in the course of differentiation. Overall, these results provide new insights into the regulatory networks involved in memory CD8+ T cell maintenance and T cell terminal differentiation.","container-title":"The Journal of Immunology","DOI":"10.4049/jimmunol.1601102","ISSN":"0022-1767, 1550-6606","issue":"2","language":"en","note":"publisher: American Association of Immunologists\nsection: SYSTEMS IMMUNOLOGY\nPMID: 27974453","page":"937-949","source":"www.jimmunol.org","title":"Epigenetic Networks Regulate the Transcriptional Program in Memory and Terminally Differentiated CD8+ T Cells","volume":"198","author":[{"family":"Rodriguez","given":"Ramon M."},{"family":"Suarez-Alvarez","given":"Beatriz"},{"family":"Lavín","given":"José L."},{"family":"Mosén-Ansorena","given":"David"},{"family":"Raneros","given":"Aroa Baragaño"},{"family":"Márquez-Kisinousky","given":"Leonardo"},{"family":"Aransay","given":"Ana M."},{"family":"Lopez-Larrea","given":"Carlos"}],"issued":{"date-parts":[["2017",1,15]]}}}],"schema":"https://github.com/citation-style-language/schema/raw/master/csl-citation.json"} </w:instrText>
      </w:r>
      <w:r w:rsidR="00667C2A" w:rsidRPr="006D4D47">
        <w:rPr>
          <w:sz w:val="20"/>
          <w:szCs w:val="20"/>
        </w:rPr>
        <w:fldChar w:fldCharType="separate"/>
      </w:r>
      <w:r w:rsidR="00667C2A" w:rsidRPr="006D4D47">
        <w:rPr>
          <w:rFonts w:ascii="Calibri" w:hAnsi="Calibri" w:cs="Calibri"/>
          <w:sz w:val="20"/>
          <w:szCs w:val="24"/>
        </w:rPr>
        <w:t>[11,24–26]</w:t>
      </w:r>
      <w:r w:rsidR="00667C2A" w:rsidRPr="006D4D47">
        <w:rPr>
          <w:sz w:val="20"/>
          <w:szCs w:val="20"/>
        </w:rPr>
        <w:fldChar w:fldCharType="end"/>
      </w:r>
      <w:r w:rsidR="00667C2A" w:rsidRPr="006D4D47">
        <w:rPr>
          <w:sz w:val="20"/>
          <w:szCs w:val="20"/>
        </w:rPr>
        <w:t xml:space="preserve">. External expression and DNAm data were normalized so that each gene/CpG had a DNAm/expression range between 0 and 1 across all measured cell types. The 154 genes and 263 CpGs were compared to the 216 genes and 365 CpGs identified in </w:t>
      </w:r>
      <w:r>
        <w:rPr>
          <w:b/>
          <w:bCs/>
          <w:sz w:val="20"/>
          <w:szCs w:val="20"/>
        </w:rPr>
        <w:t>Fig.</w:t>
      </w:r>
      <w:r w:rsidR="00667C2A" w:rsidRPr="000F3BFA">
        <w:rPr>
          <w:b/>
          <w:bCs/>
          <w:sz w:val="20"/>
          <w:szCs w:val="20"/>
        </w:rPr>
        <w:t xml:space="preserve"> 3</w:t>
      </w:r>
      <w:r w:rsidR="00667C2A" w:rsidRPr="006D4D47">
        <w:rPr>
          <w:sz w:val="20"/>
          <w:szCs w:val="20"/>
        </w:rPr>
        <w:t xml:space="preserve">, and 148 genes and 252 CpGs were found to be overlapping. </w:t>
      </w:r>
    </w:p>
    <w:p w14:paraId="5DE63FCA" w14:textId="77777777" w:rsidR="00667C2A" w:rsidRPr="006D4D47" w:rsidRDefault="00667C2A" w:rsidP="00667C2A">
      <w:pPr>
        <w:rPr>
          <w:sz w:val="20"/>
          <w:szCs w:val="20"/>
        </w:rPr>
      </w:pPr>
      <w:r w:rsidRPr="006D4D47">
        <w:rPr>
          <w:noProof/>
          <w:sz w:val="20"/>
          <w:szCs w:val="20"/>
        </w:rPr>
        <w:lastRenderedPageBreak/>
        <w:drawing>
          <wp:inline distT="0" distB="0" distL="0" distR="0" wp14:anchorId="38FBE6B7" wp14:editId="32CECBA1">
            <wp:extent cx="5759450" cy="3879215"/>
            <wp:effectExtent l="0" t="0" r="0" b="6985"/>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11"/>
                    <a:stretch>
                      <a:fillRect/>
                    </a:stretch>
                  </pic:blipFill>
                  <pic:spPr>
                    <a:xfrm>
                      <a:off x="0" y="0"/>
                      <a:ext cx="5759450" cy="3879215"/>
                    </a:xfrm>
                    <a:prstGeom prst="rect">
                      <a:avLst/>
                    </a:prstGeom>
                  </pic:spPr>
                </pic:pic>
              </a:graphicData>
            </a:graphic>
          </wp:inline>
        </w:drawing>
      </w:r>
    </w:p>
    <w:p w14:paraId="652A21C4" w14:textId="7A0DC639" w:rsidR="00667C2A" w:rsidRPr="006D4D47" w:rsidRDefault="000F3BFA" w:rsidP="00667C2A">
      <w:pPr>
        <w:rPr>
          <w:sz w:val="20"/>
          <w:szCs w:val="20"/>
        </w:rPr>
      </w:pPr>
      <w:r>
        <w:rPr>
          <w:b/>
          <w:bCs/>
          <w:sz w:val="20"/>
          <w:szCs w:val="20"/>
        </w:rPr>
        <w:t>Fig.</w:t>
      </w:r>
      <w:r w:rsidR="00667C2A" w:rsidRPr="006D4D47">
        <w:rPr>
          <w:b/>
          <w:bCs/>
          <w:sz w:val="20"/>
          <w:szCs w:val="20"/>
        </w:rPr>
        <w:t xml:space="preserve"> S6.</w:t>
      </w:r>
      <w:r w:rsidR="00667C2A" w:rsidRPr="006D4D47">
        <w:rPr>
          <w:sz w:val="20"/>
          <w:szCs w:val="20"/>
        </w:rPr>
        <w:t xml:space="preserve"> Quality-control (QC) measures for the DNAm data based on control probe information and call rate as determined by the </w:t>
      </w:r>
      <w:r w:rsidR="00667C2A" w:rsidRPr="006D4D47">
        <w:rPr>
          <w:i/>
          <w:iCs/>
          <w:sz w:val="20"/>
          <w:szCs w:val="20"/>
        </w:rPr>
        <w:t>Methylaid</w:t>
      </w:r>
      <w:r w:rsidR="00667C2A" w:rsidRPr="006D4D47">
        <w:rPr>
          <w:sz w:val="20"/>
          <w:szCs w:val="20"/>
        </w:rPr>
        <w:t xml:space="preserve"> software. Samples were excluded if they fell outside of at least 1 of the 5 defined QC thresholds, as shown in subfigure </w:t>
      </w:r>
      <w:r w:rsidR="00667C2A" w:rsidRPr="006D4D47">
        <w:rPr>
          <w:b/>
          <w:bCs/>
          <w:sz w:val="20"/>
          <w:szCs w:val="20"/>
        </w:rPr>
        <w:t>A-E</w:t>
      </w:r>
      <w:r w:rsidR="00667C2A" w:rsidRPr="006D4D47">
        <w:rPr>
          <w:sz w:val="20"/>
          <w:szCs w:val="20"/>
        </w:rPr>
        <w:t>. Samples were colored for biobank. In each panel, the number of samples falling outside of the threshold is noted. In total, 168 samples were excluded. The used cutoffs used to define outliers were as follows: (</w:t>
      </w:r>
      <w:r w:rsidR="00667C2A" w:rsidRPr="006D4D47">
        <w:rPr>
          <w:b/>
          <w:bCs/>
          <w:sz w:val="20"/>
          <w:szCs w:val="20"/>
        </w:rPr>
        <w:t>A</w:t>
      </w:r>
      <w:r w:rsidR="00667C2A" w:rsidRPr="006D4D47">
        <w:rPr>
          <w:sz w:val="20"/>
          <w:szCs w:val="20"/>
        </w:rPr>
        <w:t>) A median Methylated and Unmethylated log2 intensity smaller than 10.5 (rotated MU plot). (</w:t>
      </w:r>
      <w:r w:rsidR="00667C2A" w:rsidRPr="006D4D47">
        <w:rPr>
          <w:b/>
          <w:bCs/>
          <w:sz w:val="20"/>
          <w:szCs w:val="20"/>
        </w:rPr>
        <w:t>B</w:t>
      </w:r>
      <w:r w:rsidR="00667C2A" w:rsidRPr="006D4D47">
        <w:rPr>
          <w:sz w:val="20"/>
          <w:szCs w:val="20"/>
        </w:rPr>
        <w:t>) An average log2 intensity of the expected signals in green and red channel of non-polymorphic controls smaller than 11.75 (overall sample-dependent control plot). (</w:t>
      </w:r>
      <w:r w:rsidR="00667C2A" w:rsidRPr="006D4D47">
        <w:rPr>
          <w:b/>
          <w:bCs/>
          <w:sz w:val="20"/>
          <w:szCs w:val="20"/>
        </w:rPr>
        <w:t>C</w:t>
      </w:r>
      <w:r w:rsidR="00667C2A" w:rsidRPr="006D4D47">
        <w:rPr>
          <w:sz w:val="20"/>
          <w:szCs w:val="20"/>
        </w:rPr>
        <w:t>) An average log2 intensity of converted Bisulfite Type I controls in green and red channel smaller than 12.75 (bisulfite conversion control plot). (</w:t>
      </w:r>
      <w:r w:rsidR="00667C2A" w:rsidRPr="006D4D47">
        <w:rPr>
          <w:b/>
          <w:bCs/>
          <w:sz w:val="20"/>
          <w:szCs w:val="20"/>
        </w:rPr>
        <w:t>D</w:t>
      </w:r>
      <w:r w:rsidR="00667C2A" w:rsidRPr="006D4D47">
        <w:rPr>
          <w:sz w:val="20"/>
          <w:szCs w:val="20"/>
        </w:rPr>
        <w:t>) An average log2 intensity of High and Low hybridization controls (green channel) smaller than 13.25 (overall sample-dependent control plot). (</w:t>
      </w:r>
      <w:r w:rsidR="00667C2A" w:rsidRPr="006D4D47">
        <w:rPr>
          <w:b/>
          <w:bCs/>
          <w:sz w:val="20"/>
          <w:szCs w:val="20"/>
        </w:rPr>
        <w:t>E</w:t>
      </w:r>
      <w:r w:rsidR="00667C2A" w:rsidRPr="006D4D47">
        <w:rPr>
          <w:sz w:val="20"/>
          <w:szCs w:val="20"/>
        </w:rPr>
        <w:t>) Less 95% of their probes above the background signal (detection p-value plot).</w:t>
      </w:r>
    </w:p>
    <w:p w14:paraId="1C5E3FEF" w14:textId="77777777" w:rsidR="00667C2A" w:rsidRDefault="00667C2A" w:rsidP="00667C2A">
      <w:pPr>
        <w:rPr>
          <w:sz w:val="20"/>
          <w:szCs w:val="20"/>
        </w:rPr>
      </w:pPr>
    </w:p>
    <w:p w14:paraId="3A839E0D" w14:textId="77777777" w:rsidR="00EF245C" w:rsidRDefault="00EF245C" w:rsidP="00667C2A">
      <w:pPr>
        <w:rPr>
          <w:sz w:val="20"/>
          <w:szCs w:val="20"/>
        </w:rPr>
      </w:pPr>
    </w:p>
    <w:tbl>
      <w:tblPr>
        <w:tblW w:w="5808" w:type="dxa"/>
        <w:tblLook w:val="04A0" w:firstRow="1" w:lastRow="0" w:firstColumn="1" w:lastColumn="0" w:noHBand="0" w:noVBand="1"/>
      </w:tblPr>
      <w:tblGrid>
        <w:gridCol w:w="1597"/>
        <w:gridCol w:w="1037"/>
        <w:gridCol w:w="1660"/>
        <w:gridCol w:w="1514"/>
      </w:tblGrid>
      <w:tr w:rsidR="00EF245C" w:rsidRPr="00EF245C" w14:paraId="0EF321D8" w14:textId="77777777" w:rsidTr="00EF245C">
        <w:trPr>
          <w:trHeight w:val="576"/>
        </w:trPr>
        <w:tc>
          <w:tcPr>
            <w:tcW w:w="1597" w:type="dxa"/>
            <w:tcBorders>
              <w:top w:val="single" w:sz="4" w:space="0" w:color="auto"/>
              <w:left w:val="nil"/>
              <w:bottom w:val="single" w:sz="4" w:space="0" w:color="auto"/>
              <w:right w:val="nil"/>
            </w:tcBorders>
            <w:shd w:val="clear" w:color="auto" w:fill="auto"/>
            <w:vAlign w:val="bottom"/>
            <w:hideMark/>
          </w:tcPr>
          <w:p w14:paraId="018A251B" w14:textId="77777777" w:rsidR="00EF245C" w:rsidRPr="00EF245C" w:rsidRDefault="00EF245C" w:rsidP="00EF245C">
            <w:pPr>
              <w:spacing w:after="0" w:line="240" w:lineRule="auto"/>
              <w:rPr>
                <w:rFonts w:ascii="Calibri" w:eastAsia="Times New Roman" w:hAnsi="Calibri" w:cs="Calibri"/>
                <w:b/>
                <w:bCs/>
                <w:color w:val="000000"/>
                <w:lang w:val="en-NL" w:eastAsia="en-NL"/>
              </w:rPr>
            </w:pPr>
            <w:r w:rsidRPr="00EF245C">
              <w:rPr>
                <w:rFonts w:ascii="Calibri" w:eastAsia="Times New Roman" w:hAnsi="Calibri" w:cs="Calibri"/>
                <w:b/>
                <w:bCs/>
                <w:color w:val="000000"/>
                <w:lang w:val="en-NL" w:eastAsia="en-NL"/>
              </w:rPr>
              <w:t>Clock</w:t>
            </w:r>
          </w:p>
        </w:tc>
        <w:tc>
          <w:tcPr>
            <w:tcW w:w="1037" w:type="dxa"/>
            <w:tcBorders>
              <w:top w:val="single" w:sz="4" w:space="0" w:color="auto"/>
              <w:left w:val="nil"/>
              <w:bottom w:val="single" w:sz="4" w:space="0" w:color="auto"/>
              <w:right w:val="nil"/>
            </w:tcBorders>
            <w:shd w:val="clear" w:color="auto" w:fill="auto"/>
            <w:vAlign w:val="bottom"/>
            <w:hideMark/>
          </w:tcPr>
          <w:p w14:paraId="2BBE366E" w14:textId="12741227" w:rsidR="00EF245C" w:rsidRPr="00EF245C" w:rsidRDefault="00EF245C" w:rsidP="00EF245C">
            <w:pPr>
              <w:spacing w:after="0" w:line="240" w:lineRule="auto"/>
              <w:rPr>
                <w:rFonts w:ascii="Calibri" w:eastAsia="Times New Roman" w:hAnsi="Calibri" w:cs="Calibri"/>
                <w:b/>
                <w:bCs/>
                <w:color w:val="000000"/>
                <w:lang w:val="en-NL" w:eastAsia="en-NL"/>
              </w:rPr>
            </w:pPr>
            <w:r w:rsidRPr="00EF245C">
              <w:rPr>
                <w:rFonts w:ascii="Calibri" w:eastAsia="Times New Roman" w:hAnsi="Calibri" w:cs="Calibri"/>
                <w:b/>
                <w:bCs/>
                <w:color w:val="000000"/>
                <w:lang w:val="en-NL" w:eastAsia="en-NL"/>
              </w:rPr>
              <w:t>No. Of CpGs</w:t>
            </w:r>
          </w:p>
        </w:tc>
        <w:tc>
          <w:tcPr>
            <w:tcW w:w="1660" w:type="dxa"/>
            <w:tcBorders>
              <w:top w:val="single" w:sz="4" w:space="0" w:color="auto"/>
              <w:left w:val="nil"/>
              <w:bottom w:val="single" w:sz="4" w:space="0" w:color="auto"/>
              <w:right w:val="nil"/>
            </w:tcBorders>
            <w:shd w:val="clear" w:color="auto" w:fill="auto"/>
            <w:vAlign w:val="bottom"/>
            <w:hideMark/>
          </w:tcPr>
          <w:p w14:paraId="3B3AE797" w14:textId="77777777" w:rsidR="00EF245C" w:rsidRPr="00EF245C" w:rsidRDefault="00EF245C" w:rsidP="00EF245C">
            <w:pPr>
              <w:spacing w:after="0" w:line="240" w:lineRule="auto"/>
              <w:rPr>
                <w:rFonts w:ascii="Calibri" w:eastAsia="Times New Roman" w:hAnsi="Calibri" w:cs="Calibri"/>
                <w:b/>
                <w:bCs/>
                <w:color w:val="000000"/>
                <w:lang w:val="en-NL" w:eastAsia="en-NL"/>
              </w:rPr>
            </w:pPr>
            <w:r w:rsidRPr="00EF245C">
              <w:rPr>
                <w:rFonts w:ascii="Calibri" w:eastAsia="Times New Roman" w:hAnsi="Calibri" w:cs="Calibri"/>
                <w:b/>
                <w:bCs/>
                <w:color w:val="000000"/>
                <w:lang w:val="en-NL" w:eastAsia="en-NL"/>
              </w:rPr>
              <w:t>ICC according to Sugden et al.</w:t>
            </w:r>
          </w:p>
        </w:tc>
        <w:tc>
          <w:tcPr>
            <w:tcW w:w="1514" w:type="dxa"/>
            <w:tcBorders>
              <w:top w:val="single" w:sz="4" w:space="0" w:color="auto"/>
              <w:left w:val="nil"/>
              <w:bottom w:val="single" w:sz="4" w:space="0" w:color="auto"/>
              <w:right w:val="nil"/>
            </w:tcBorders>
            <w:shd w:val="clear" w:color="auto" w:fill="auto"/>
            <w:vAlign w:val="bottom"/>
            <w:hideMark/>
          </w:tcPr>
          <w:p w14:paraId="5DD351BA" w14:textId="77777777" w:rsidR="00EF245C" w:rsidRPr="00EF245C" w:rsidRDefault="00EF245C" w:rsidP="00EF245C">
            <w:pPr>
              <w:spacing w:after="0" w:line="240" w:lineRule="auto"/>
              <w:rPr>
                <w:rFonts w:ascii="Calibri" w:eastAsia="Times New Roman" w:hAnsi="Calibri" w:cs="Calibri"/>
                <w:b/>
                <w:bCs/>
                <w:color w:val="000000"/>
                <w:lang w:val="en-NL" w:eastAsia="en-NL"/>
              </w:rPr>
            </w:pPr>
            <w:r w:rsidRPr="00EF245C">
              <w:rPr>
                <w:rFonts w:ascii="Calibri" w:eastAsia="Times New Roman" w:hAnsi="Calibri" w:cs="Calibri"/>
                <w:b/>
                <w:bCs/>
                <w:color w:val="000000"/>
                <w:lang w:val="en-NL" w:eastAsia="en-NL"/>
              </w:rPr>
              <w:t>ICC in our data</w:t>
            </w:r>
          </w:p>
        </w:tc>
      </w:tr>
      <w:tr w:rsidR="00EF245C" w:rsidRPr="00EF245C" w14:paraId="48ABAEEB" w14:textId="77777777" w:rsidTr="00EF245C">
        <w:trPr>
          <w:trHeight w:val="288"/>
        </w:trPr>
        <w:tc>
          <w:tcPr>
            <w:tcW w:w="1597" w:type="dxa"/>
            <w:tcBorders>
              <w:top w:val="nil"/>
              <w:left w:val="nil"/>
              <w:bottom w:val="nil"/>
              <w:right w:val="nil"/>
            </w:tcBorders>
            <w:shd w:val="clear" w:color="auto" w:fill="auto"/>
            <w:noWrap/>
            <w:vAlign w:val="bottom"/>
            <w:hideMark/>
          </w:tcPr>
          <w:p w14:paraId="206603B5" w14:textId="77777777" w:rsidR="00EF245C" w:rsidRPr="00EF245C" w:rsidRDefault="00EF245C" w:rsidP="00EF245C">
            <w:pPr>
              <w:spacing w:after="0" w:line="240" w:lineRule="auto"/>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Hannum Bld</w:t>
            </w:r>
          </w:p>
        </w:tc>
        <w:tc>
          <w:tcPr>
            <w:tcW w:w="1037" w:type="dxa"/>
            <w:tcBorders>
              <w:top w:val="nil"/>
              <w:left w:val="nil"/>
              <w:bottom w:val="nil"/>
              <w:right w:val="nil"/>
            </w:tcBorders>
            <w:shd w:val="clear" w:color="auto" w:fill="auto"/>
            <w:noWrap/>
            <w:vAlign w:val="bottom"/>
            <w:hideMark/>
          </w:tcPr>
          <w:p w14:paraId="04A8FEFD"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71</w:t>
            </w:r>
          </w:p>
        </w:tc>
        <w:tc>
          <w:tcPr>
            <w:tcW w:w="1660" w:type="dxa"/>
            <w:tcBorders>
              <w:top w:val="nil"/>
              <w:left w:val="nil"/>
              <w:bottom w:val="nil"/>
              <w:right w:val="nil"/>
            </w:tcBorders>
            <w:shd w:val="clear" w:color="auto" w:fill="auto"/>
            <w:noWrap/>
            <w:vAlign w:val="bottom"/>
            <w:hideMark/>
          </w:tcPr>
          <w:p w14:paraId="624AE748"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0.29</w:t>
            </w:r>
          </w:p>
        </w:tc>
        <w:tc>
          <w:tcPr>
            <w:tcW w:w="1514" w:type="dxa"/>
            <w:tcBorders>
              <w:top w:val="nil"/>
              <w:left w:val="nil"/>
              <w:bottom w:val="nil"/>
              <w:right w:val="nil"/>
            </w:tcBorders>
            <w:shd w:val="clear" w:color="auto" w:fill="auto"/>
            <w:noWrap/>
            <w:vAlign w:val="bottom"/>
            <w:hideMark/>
          </w:tcPr>
          <w:p w14:paraId="6E9797E9"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0.78</w:t>
            </w:r>
          </w:p>
        </w:tc>
      </w:tr>
      <w:tr w:rsidR="00EF245C" w:rsidRPr="00EF245C" w14:paraId="589058E5" w14:textId="77777777" w:rsidTr="00EF245C">
        <w:trPr>
          <w:trHeight w:val="288"/>
        </w:trPr>
        <w:tc>
          <w:tcPr>
            <w:tcW w:w="1597" w:type="dxa"/>
            <w:tcBorders>
              <w:top w:val="nil"/>
              <w:left w:val="nil"/>
              <w:bottom w:val="nil"/>
              <w:right w:val="nil"/>
            </w:tcBorders>
            <w:shd w:val="clear" w:color="auto" w:fill="auto"/>
            <w:noWrap/>
            <w:vAlign w:val="bottom"/>
            <w:hideMark/>
          </w:tcPr>
          <w:p w14:paraId="7D624F26" w14:textId="77777777" w:rsidR="00EF245C" w:rsidRPr="00EF245C" w:rsidRDefault="00EF245C" w:rsidP="00EF245C">
            <w:pPr>
              <w:spacing w:after="0" w:line="240" w:lineRule="auto"/>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Horvath MT</w:t>
            </w:r>
          </w:p>
        </w:tc>
        <w:tc>
          <w:tcPr>
            <w:tcW w:w="1037" w:type="dxa"/>
            <w:tcBorders>
              <w:top w:val="nil"/>
              <w:left w:val="nil"/>
              <w:bottom w:val="nil"/>
              <w:right w:val="nil"/>
            </w:tcBorders>
            <w:shd w:val="clear" w:color="auto" w:fill="auto"/>
            <w:noWrap/>
            <w:vAlign w:val="bottom"/>
            <w:hideMark/>
          </w:tcPr>
          <w:p w14:paraId="3F836695"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353</w:t>
            </w:r>
          </w:p>
        </w:tc>
        <w:tc>
          <w:tcPr>
            <w:tcW w:w="1660" w:type="dxa"/>
            <w:tcBorders>
              <w:top w:val="nil"/>
              <w:left w:val="nil"/>
              <w:bottom w:val="nil"/>
              <w:right w:val="nil"/>
            </w:tcBorders>
            <w:shd w:val="clear" w:color="auto" w:fill="auto"/>
            <w:noWrap/>
            <w:vAlign w:val="bottom"/>
            <w:hideMark/>
          </w:tcPr>
          <w:p w14:paraId="2F032CAF"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0.18</w:t>
            </w:r>
          </w:p>
        </w:tc>
        <w:tc>
          <w:tcPr>
            <w:tcW w:w="1514" w:type="dxa"/>
            <w:tcBorders>
              <w:top w:val="nil"/>
              <w:left w:val="nil"/>
              <w:bottom w:val="nil"/>
              <w:right w:val="nil"/>
            </w:tcBorders>
            <w:shd w:val="clear" w:color="auto" w:fill="auto"/>
            <w:noWrap/>
            <w:vAlign w:val="bottom"/>
            <w:hideMark/>
          </w:tcPr>
          <w:p w14:paraId="27D60526"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0.58</w:t>
            </w:r>
          </w:p>
        </w:tc>
      </w:tr>
      <w:tr w:rsidR="00EF245C" w:rsidRPr="00EF245C" w14:paraId="1837D470" w14:textId="77777777" w:rsidTr="00EF245C">
        <w:trPr>
          <w:trHeight w:val="288"/>
        </w:trPr>
        <w:tc>
          <w:tcPr>
            <w:tcW w:w="1597" w:type="dxa"/>
            <w:tcBorders>
              <w:top w:val="nil"/>
              <w:left w:val="nil"/>
              <w:bottom w:val="nil"/>
              <w:right w:val="nil"/>
            </w:tcBorders>
            <w:shd w:val="clear" w:color="auto" w:fill="auto"/>
            <w:noWrap/>
            <w:vAlign w:val="bottom"/>
            <w:hideMark/>
          </w:tcPr>
          <w:p w14:paraId="34AF3E15" w14:textId="77777777" w:rsidR="00EF245C" w:rsidRPr="00EF245C" w:rsidRDefault="00EF245C" w:rsidP="00EF245C">
            <w:pPr>
              <w:spacing w:after="0" w:line="240" w:lineRule="auto"/>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Horvath Skn/Bld</w:t>
            </w:r>
          </w:p>
        </w:tc>
        <w:tc>
          <w:tcPr>
            <w:tcW w:w="1037" w:type="dxa"/>
            <w:tcBorders>
              <w:top w:val="nil"/>
              <w:left w:val="nil"/>
              <w:bottom w:val="nil"/>
              <w:right w:val="nil"/>
            </w:tcBorders>
            <w:shd w:val="clear" w:color="auto" w:fill="auto"/>
            <w:noWrap/>
            <w:vAlign w:val="bottom"/>
            <w:hideMark/>
          </w:tcPr>
          <w:p w14:paraId="41ED6CE4"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389</w:t>
            </w:r>
          </w:p>
        </w:tc>
        <w:tc>
          <w:tcPr>
            <w:tcW w:w="1660" w:type="dxa"/>
            <w:tcBorders>
              <w:top w:val="nil"/>
              <w:left w:val="nil"/>
              <w:bottom w:val="nil"/>
              <w:right w:val="nil"/>
            </w:tcBorders>
            <w:shd w:val="clear" w:color="auto" w:fill="auto"/>
            <w:noWrap/>
            <w:vAlign w:val="bottom"/>
            <w:hideMark/>
          </w:tcPr>
          <w:p w14:paraId="4C7748AF"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0.36</w:t>
            </w:r>
          </w:p>
        </w:tc>
        <w:tc>
          <w:tcPr>
            <w:tcW w:w="1514" w:type="dxa"/>
            <w:tcBorders>
              <w:top w:val="nil"/>
              <w:left w:val="nil"/>
              <w:bottom w:val="nil"/>
              <w:right w:val="nil"/>
            </w:tcBorders>
            <w:shd w:val="clear" w:color="auto" w:fill="auto"/>
            <w:noWrap/>
            <w:vAlign w:val="bottom"/>
            <w:hideMark/>
          </w:tcPr>
          <w:p w14:paraId="172C43F5"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0.72</w:t>
            </w:r>
          </w:p>
        </w:tc>
      </w:tr>
      <w:tr w:rsidR="00EF245C" w:rsidRPr="00EF245C" w14:paraId="04BA8736" w14:textId="77777777" w:rsidTr="00EF245C">
        <w:trPr>
          <w:trHeight w:val="288"/>
        </w:trPr>
        <w:tc>
          <w:tcPr>
            <w:tcW w:w="1597" w:type="dxa"/>
            <w:tcBorders>
              <w:top w:val="nil"/>
              <w:left w:val="nil"/>
              <w:bottom w:val="nil"/>
              <w:right w:val="nil"/>
            </w:tcBorders>
            <w:shd w:val="clear" w:color="auto" w:fill="auto"/>
            <w:noWrap/>
            <w:vAlign w:val="bottom"/>
            <w:hideMark/>
          </w:tcPr>
          <w:p w14:paraId="30DD9CA3" w14:textId="77777777" w:rsidR="00EF245C" w:rsidRPr="00EF245C" w:rsidRDefault="00EF245C" w:rsidP="00EF245C">
            <w:pPr>
              <w:spacing w:after="0" w:line="240" w:lineRule="auto"/>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Zhang Bld/Slv</w:t>
            </w:r>
          </w:p>
        </w:tc>
        <w:tc>
          <w:tcPr>
            <w:tcW w:w="1037" w:type="dxa"/>
            <w:tcBorders>
              <w:top w:val="nil"/>
              <w:left w:val="nil"/>
              <w:bottom w:val="nil"/>
              <w:right w:val="nil"/>
            </w:tcBorders>
            <w:shd w:val="clear" w:color="auto" w:fill="auto"/>
            <w:noWrap/>
            <w:vAlign w:val="bottom"/>
            <w:hideMark/>
          </w:tcPr>
          <w:p w14:paraId="40CEEBC9"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514</w:t>
            </w:r>
          </w:p>
        </w:tc>
        <w:tc>
          <w:tcPr>
            <w:tcW w:w="1660" w:type="dxa"/>
            <w:tcBorders>
              <w:top w:val="nil"/>
              <w:left w:val="nil"/>
              <w:bottom w:val="nil"/>
              <w:right w:val="nil"/>
            </w:tcBorders>
            <w:shd w:val="clear" w:color="auto" w:fill="auto"/>
            <w:noWrap/>
            <w:vAlign w:val="bottom"/>
            <w:hideMark/>
          </w:tcPr>
          <w:p w14:paraId="5D385E4D"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0.44</w:t>
            </w:r>
          </w:p>
        </w:tc>
        <w:tc>
          <w:tcPr>
            <w:tcW w:w="1514" w:type="dxa"/>
            <w:tcBorders>
              <w:top w:val="nil"/>
              <w:left w:val="nil"/>
              <w:bottom w:val="nil"/>
              <w:right w:val="nil"/>
            </w:tcBorders>
            <w:shd w:val="clear" w:color="auto" w:fill="auto"/>
            <w:noWrap/>
            <w:vAlign w:val="bottom"/>
            <w:hideMark/>
          </w:tcPr>
          <w:p w14:paraId="56869978"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0.71</w:t>
            </w:r>
          </w:p>
        </w:tc>
      </w:tr>
      <w:tr w:rsidR="00EF245C" w:rsidRPr="00EF245C" w14:paraId="4762D649" w14:textId="77777777" w:rsidTr="00B30621">
        <w:trPr>
          <w:trHeight w:val="288"/>
        </w:trPr>
        <w:tc>
          <w:tcPr>
            <w:tcW w:w="1597" w:type="dxa"/>
            <w:tcBorders>
              <w:top w:val="nil"/>
              <w:left w:val="nil"/>
              <w:bottom w:val="single" w:sz="4" w:space="0" w:color="auto"/>
              <w:right w:val="nil"/>
            </w:tcBorders>
            <w:shd w:val="clear" w:color="auto" w:fill="auto"/>
            <w:noWrap/>
            <w:vAlign w:val="bottom"/>
            <w:hideMark/>
          </w:tcPr>
          <w:p w14:paraId="02E1C457"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p>
        </w:tc>
        <w:tc>
          <w:tcPr>
            <w:tcW w:w="1037" w:type="dxa"/>
            <w:tcBorders>
              <w:top w:val="nil"/>
              <w:left w:val="nil"/>
              <w:bottom w:val="single" w:sz="4" w:space="0" w:color="auto"/>
              <w:right w:val="nil"/>
            </w:tcBorders>
            <w:shd w:val="clear" w:color="auto" w:fill="auto"/>
            <w:noWrap/>
            <w:vAlign w:val="bottom"/>
            <w:hideMark/>
          </w:tcPr>
          <w:p w14:paraId="2A35E70B" w14:textId="77777777" w:rsidR="00EF245C" w:rsidRPr="00EF245C" w:rsidRDefault="00EF245C" w:rsidP="00EF245C">
            <w:pPr>
              <w:spacing w:after="0" w:line="240" w:lineRule="auto"/>
              <w:rPr>
                <w:rFonts w:ascii="Times New Roman" w:eastAsia="Times New Roman" w:hAnsi="Times New Roman" w:cs="Times New Roman"/>
                <w:sz w:val="20"/>
                <w:szCs w:val="20"/>
                <w:lang w:val="en-NL" w:eastAsia="en-NL"/>
              </w:rPr>
            </w:pPr>
          </w:p>
        </w:tc>
        <w:tc>
          <w:tcPr>
            <w:tcW w:w="1660" w:type="dxa"/>
            <w:tcBorders>
              <w:top w:val="nil"/>
              <w:left w:val="nil"/>
              <w:bottom w:val="single" w:sz="4" w:space="0" w:color="auto"/>
              <w:right w:val="nil"/>
            </w:tcBorders>
            <w:shd w:val="clear" w:color="auto" w:fill="auto"/>
            <w:noWrap/>
            <w:vAlign w:val="bottom"/>
            <w:hideMark/>
          </w:tcPr>
          <w:p w14:paraId="70ED55A1" w14:textId="77777777" w:rsidR="00EF245C" w:rsidRPr="00EF245C" w:rsidRDefault="00EF245C" w:rsidP="00EF245C">
            <w:pPr>
              <w:spacing w:after="0" w:line="240" w:lineRule="auto"/>
              <w:rPr>
                <w:rFonts w:ascii="Times New Roman" w:eastAsia="Times New Roman" w:hAnsi="Times New Roman" w:cs="Times New Roman"/>
                <w:sz w:val="20"/>
                <w:szCs w:val="20"/>
                <w:lang w:val="en-NL" w:eastAsia="en-NL"/>
              </w:rPr>
            </w:pPr>
          </w:p>
        </w:tc>
        <w:tc>
          <w:tcPr>
            <w:tcW w:w="1514" w:type="dxa"/>
            <w:tcBorders>
              <w:top w:val="nil"/>
              <w:left w:val="nil"/>
              <w:bottom w:val="single" w:sz="4" w:space="0" w:color="auto"/>
              <w:right w:val="nil"/>
            </w:tcBorders>
            <w:shd w:val="clear" w:color="auto" w:fill="auto"/>
            <w:noWrap/>
            <w:vAlign w:val="bottom"/>
            <w:hideMark/>
          </w:tcPr>
          <w:p w14:paraId="5BFB0104" w14:textId="77777777" w:rsidR="00EF245C" w:rsidRPr="00EF245C" w:rsidRDefault="00EF245C" w:rsidP="00EF245C">
            <w:pPr>
              <w:spacing w:after="0" w:line="240" w:lineRule="auto"/>
              <w:rPr>
                <w:rFonts w:ascii="Times New Roman" w:eastAsia="Times New Roman" w:hAnsi="Times New Roman" w:cs="Times New Roman"/>
                <w:sz w:val="20"/>
                <w:szCs w:val="20"/>
                <w:lang w:val="en-NL" w:eastAsia="en-NL"/>
              </w:rPr>
            </w:pPr>
          </w:p>
        </w:tc>
      </w:tr>
      <w:tr w:rsidR="00EF245C" w:rsidRPr="00EF245C" w14:paraId="42BCC6F4" w14:textId="77777777" w:rsidTr="00B30621">
        <w:trPr>
          <w:trHeight w:val="288"/>
        </w:trPr>
        <w:tc>
          <w:tcPr>
            <w:tcW w:w="1597" w:type="dxa"/>
            <w:tcBorders>
              <w:top w:val="single" w:sz="4" w:space="0" w:color="auto"/>
              <w:left w:val="nil"/>
              <w:right w:val="nil"/>
            </w:tcBorders>
            <w:shd w:val="clear" w:color="auto" w:fill="auto"/>
            <w:noWrap/>
            <w:vAlign w:val="bottom"/>
            <w:hideMark/>
          </w:tcPr>
          <w:p w14:paraId="35C39493" w14:textId="77777777" w:rsidR="00EF245C" w:rsidRPr="00EF245C" w:rsidRDefault="00EF245C" w:rsidP="00EF245C">
            <w:pPr>
              <w:spacing w:after="0" w:line="240" w:lineRule="auto"/>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All clocks</w:t>
            </w:r>
          </w:p>
        </w:tc>
        <w:tc>
          <w:tcPr>
            <w:tcW w:w="1037" w:type="dxa"/>
            <w:tcBorders>
              <w:top w:val="single" w:sz="4" w:space="0" w:color="auto"/>
              <w:left w:val="nil"/>
              <w:right w:val="nil"/>
            </w:tcBorders>
            <w:shd w:val="clear" w:color="auto" w:fill="auto"/>
            <w:noWrap/>
            <w:vAlign w:val="bottom"/>
            <w:hideMark/>
          </w:tcPr>
          <w:p w14:paraId="2B278E04"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1146</w:t>
            </w:r>
          </w:p>
        </w:tc>
        <w:tc>
          <w:tcPr>
            <w:tcW w:w="1660" w:type="dxa"/>
            <w:tcBorders>
              <w:top w:val="single" w:sz="4" w:space="0" w:color="auto"/>
              <w:left w:val="nil"/>
              <w:right w:val="nil"/>
            </w:tcBorders>
            <w:shd w:val="clear" w:color="auto" w:fill="auto"/>
            <w:noWrap/>
            <w:vAlign w:val="bottom"/>
            <w:hideMark/>
          </w:tcPr>
          <w:p w14:paraId="277FF54A"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0.36</w:t>
            </w:r>
          </w:p>
        </w:tc>
        <w:tc>
          <w:tcPr>
            <w:tcW w:w="1514" w:type="dxa"/>
            <w:tcBorders>
              <w:top w:val="single" w:sz="4" w:space="0" w:color="auto"/>
              <w:left w:val="nil"/>
              <w:right w:val="nil"/>
            </w:tcBorders>
            <w:shd w:val="clear" w:color="auto" w:fill="auto"/>
            <w:noWrap/>
            <w:vAlign w:val="bottom"/>
            <w:hideMark/>
          </w:tcPr>
          <w:p w14:paraId="72F1D672" w14:textId="77777777" w:rsidR="00EF245C" w:rsidRPr="00EF245C" w:rsidRDefault="00EF245C" w:rsidP="00EF245C">
            <w:pPr>
              <w:spacing w:after="0" w:line="240" w:lineRule="auto"/>
              <w:jc w:val="right"/>
              <w:rPr>
                <w:rFonts w:ascii="Calibri" w:eastAsia="Times New Roman" w:hAnsi="Calibri" w:cs="Calibri"/>
                <w:color w:val="000000"/>
                <w:lang w:val="en-NL" w:eastAsia="en-NL"/>
              </w:rPr>
            </w:pPr>
            <w:r w:rsidRPr="00EF245C">
              <w:rPr>
                <w:rFonts w:ascii="Calibri" w:eastAsia="Times New Roman" w:hAnsi="Calibri" w:cs="Calibri"/>
                <w:color w:val="000000"/>
                <w:lang w:val="en-NL" w:eastAsia="en-NL"/>
              </w:rPr>
              <w:t>0.68</w:t>
            </w:r>
          </w:p>
        </w:tc>
      </w:tr>
    </w:tbl>
    <w:p w14:paraId="55041EC2" w14:textId="77777777" w:rsidR="00A7776A" w:rsidRDefault="00A7776A" w:rsidP="00667C2A">
      <w:pPr>
        <w:rPr>
          <w:sz w:val="20"/>
          <w:szCs w:val="20"/>
        </w:rPr>
      </w:pPr>
    </w:p>
    <w:p w14:paraId="31136755" w14:textId="53684F3F" w:rsidR="00667C2A" w:rsidRDefault="00935512" w:rsidP="00667C2A">
      <w:pPr>
        <w:rPr>
          <w:sz w:val="20"/>
          <w:szCs w:val="20"/>
        </w:rPr>
      </w:pPr>
      <w:r w:rsidRPr="006D4D47">
        <w:rPr>
          <w:b/>
          <w:bCs/>
          <w:sz w:val="20"/>
          <w:szCs w:val="20"/>
        </w:rPr>
        <w:t xml:space="preserve">Table </w:t>
      </w:r>
      <w:r w:rsidR="0052125A">
        <w:rPr>
          <w:b/>
          <w:bCs/>
          <w:sz w:val="20"/>
          <w:szCs w:val="20"/>
        </w:rPr>
        <w:t>S4</w:t>
      </w:r>
      <w:r w:rsidRPr="006D4D47">
        <w:rPr>
          <w:sz w:val="20"/>
          <w:szCs w:val="20"/>
        </w:rPr>
        <w:t xml:space="preserve">. </w:t>
      </w:r>
      <w:r w:rsidR="0052125A" w:rsidRPr="0052125A">
        <w:rPr>
          <w:sz w:val="20"/>
          <w:szCs w:val="20"/>
        </w:rPr>
        <w:t>Reliability of the CpGs comprising the 4 investigated epigenetic clocks</w:t>
      </w:r>
      <w:r w:rsidR="0052125A">
        <w:rPr>
          <w:sz w:val="20"/>
          <w:szCs w:val="20"/>
        </w:rPr>
        <w:t>. Reliability of each clock w</w:t>
      </w:r>
      <w:r w:rsidR="0052125A" w:rsidRPr="0052125A">
        <w:rPr>
          <w:sz w:val="20"/>
          <w:szCs w:val="20"/>
        </w:rPr>
        <w:t>as quantified using the intraclass correlation (ICC</w:t>
      </w:r>
      <w:r w:rsidR="0052125A">
        <w:rPr>
          <w:sz w:val="20"/>
          <w:szCs w:val="20"/>
        </w:rPr>
        <w:t>)</w:t>
      </w:r>
      <w:r w:rsidR="0052125A" w:rsidRPr="0052125A">
        <w:rPr>
          <w:sz w:val="20"/>
          <w:szCs w:val="20"/>
        </w:rPr>
        <w:t xml:space="preserve"> with a mean-rating (k = 2), absolute-agreement, 2-way random-effects model. </w:t>
      </w:r>
      <w:r w:rsidR="00823715" w:rsidRPr="00823715">
        <w:rPr>
          <w:sz w:val="20"/>
          <w:szCs w:val="20"/>
        </w:rPr>
        <w:t>ICCs below 0.4 are considered ‘poor’, those between 0.4 and 0.6 are considered ‘fair’, between 0.6 and 0.75 ‘good’, and above 0.75 ‘excellent’.</w:t>
      </w:r>
      <w:r w:rsidR="00823715">
        <w:rPr>
          <w:sz w:val="20"/>
          <w:szCs w:val="20"/>
        </w:rPr>
        <w:t xml:space="preserve"> </w:t>
      </w:r>
      <w:r w:rsidR="00823715" w:rsidRPr="00823715">
        <w:rPr>
          <w:sz w:val="20"/>
          <w:szCs w:val="20"/>
        </w:rPr>
        <w:t>This table shows the median ICC as calculated by Sugden et al., as well as the median ICC as calculated in our own data, using 15 samples for which a technical replicate was available (30 samples in total).</w:t>
      </w:r>
    </w:p>
    <w:p w14:paraId="66C78498" w14:textId="77777777" w:rsidR="00667C2A" w:rsidRPr="006D4D47" w:rsidRDefault="00667C2A" w:rsidP="00667C2A">
      <w:pPr>
        <w:rPr>
          <w:b/>
          <w:bCs/>
          <w:sz w:val="20"/>
          <w:szCs w:val="20"/>
        </w:rPr>
      </w:pPr>
      <w:r w:rsidRPr="006D4D47">
        <w:rPr>
          <w:b/>
          <w:bCs/>
          <w:noProof/>
          <w:sz w:val="20"/>
          <w:szCs w:val="20"/>
        </w:rPr>
        <w:lastRenderedPageBreak/>
        <w:drawing>
          <wp:inline distT="0" distB="0" distL="0" distR="0" wp14:anchorId="4266AE76" wp14:editId="783FCFF0">
            <wp:extent cx="2880000" cy="1920106"/>
            <wp:effectExtent l="0" t="0" r="0" b="4445"/>
            <wp:docPr id="19" name="Picture 1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scatter chart&#10;&#10;Description automatically generated"/>
                    <pic:cNvPicPr/>
                  </pic:nvPicPr>
                  <pic:blipFill>
                    <a:blip r:embed="rId12"/>
                    <a:stretch>
                      <a:fillRect/>
                    </a:stretch>
                  </pic:blipFill>
                  <pic:spPr>
                    <a:xfrm>
                      <a:off x="0" y="0"/>
                      <a:ext cx="2880000" cy="1920106"/>
                    </a:xfrm>
                    <a:prstGeom prst="rect">
                      <a:avLst/>
                    </a:prstGeom>
                  </pic:spPr>
                </pic:pic>
              </a:graphicData>
            </a:graphic>
          </wp:inline>
        </w:drawing>
      </w:r>
    </w:p>
    <w:p w14:paraId="0F36B415" w14:textId="5F3B0BDB" w:rsidR="00667C2A" w:rsidRPr="006D4D47" w:rsidRDefault="000F3BFA" w:rsidP="00667C2A">
      <w:pPr>
        <w:rPr>
          <w:sz w:val="20"/>
          <w:szCs w:val="20"/>
        </w:rPr>
      </w:pPr>
      <w:r>
        <w:rPr>
          <w:b/>
          <w:bCs/>
          <w:sz w:val="20"/>
          <w:szCs w:val="20"/>
        </w:rPr>
        <w:t>Fig.</w:t>
      </w:r>
      <w:r w:rsidR="00667C2A" w:rsidRPr="006D4D47">
        <w:rPr>
          <w:b/>
          <w:bCs/>
          <w:sz w:val="20"/>
          <w:szCs w:val="20"/>
        </w:rPr>
        <w:t xml:space="preserve"> S7.</w:t>
      </w:r>
      <w:r w:rsidR="00667C2A" w:rsidRPr="006D4D47">
        <w:rPr>
          <w:sz w:val="20"/>
          <w:szCs w:val="20"/>
        </w:rPr>
        <w:t xml:space="preserve"> Quality-control (QC) measures for the RNA-seq data. Samples were excluded if less than 70% of their reads mapped to exons. In total, 11 samples were excluded.</w:t>
      </w:r>
      <w:r w:rsidR="00667C2A" w:rsidRPr="006D4D47">
        <w:rPr>
          <w:sz w:val="20"/>
          <w:szCs w:val="20"/>
        </w:rPr>
        <w:fldChar w:fldCharType="begin"/>
      </w:r>
      <w:r w:rsidR="00667C2A" w:rsidRPr="006D4D47">
        <w:rPr>
          <w:sz w:val="20"/>
          <w:szCs w:val="20"/>
        </w:rPr>
        <w:instrText xml:space="preserve"> ADDIN </w:instrText>
      </w:r>
      <w:r w:rsidR="00667C2A" w:rsidRPr="006D4D47">
        <w:rPr>
          <w:sz w:val="20"/>
          <w:szCs w:val="20"/>
        </w:rPr>
        <w:fldChar w:fldCharType="end"/>
      </w:r>
    </w:p>
    <w:p w14:paraId="72618AFF" w14:textId="77777777" w:rsidR="00C429F6" w:rsidRDefault="00C429F6"/>
    <w:p w14:paraId="5A9D0062" w14:textId="77777777" w:rsidR="0065319D" w:rsidRDefault="0065319D"/>
    <w:tbl>
      <w:tblPr>
        <w:tblW w:w="8420" w:type="dxa"/>
        <w:tblLook w:val="04A0" w:firstRow="1" w:lastRow="0" w:firstColumn="1" w:lastColumn="0" w:noHBand="0" w:noVBand="1"/>
      </w:tblPr>
      <w:tblGrid>
        <w:gridCol w:w="746"/>
        <w:gridCol w:w="1272"/>
        <w:gridCol w:w="1272"/>
        <w:gridCol w:w="1292"/>
        <w:gridCol w:w="1273"/>
        <w:gridCol w:w="1273"/>
        <w:gridCol w:w="1292"/>
      </w:tblGrid>
      <w:tr w:rsidR="00BF1F76" w:rsidRPr="00BF1F76" w14:paraId="2DCE93B1" w14:textId="77777777" w:rsidTr="0065319D">
        <w:trPr>
          <w:trHeight w:val="864"/>
        </w:trPr>
        <w:tc>
          <w:tcPr>
            <w:tcW w:w="620" w:type="dxa"/>
            <w:tcBorders>
              <w:top w:val="nil"/>
              <w:left w:val="nil"/>
              <w:bottom w:val="single" w:sz="4" w:space="0" w:color="auto"/>
              <w:right w:val="single" w:sz="4" w:space="0" w:color="auto"/>
            </w:tcBorders>
            <w:shd w:val="clear" w:color="auto" w:fill="auto"/>
            <w:noWrap/>
            <w:vAlign w:val="bottom"/>
            <w:hideMark/>
          </w:tcPr>
          <w:p w14:paraId="7AA0F819"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 </w:t>
            </w:r>
          </w:p>
        </w:tc>
        <w:tc>
          <w:tcPr>
            <w:tcW w:w="1300" w:type="dxa"/>
            <w:tcBorders>
              <w:top w:val="nil"/>
              <w:left w:val="nil"/>
              <w:bottom w:val="single" w:sz="4" w:space="0" w:color="auto"/>
              <w:right w:val="nil"/>
            </w:tcBorders>
            <w:shd w:val="clear" w:color="auto" w:fill="auto"/>
            <w:vAlign w:val="bottom"/>
            <w:hideMark/>
          </w:tcPr>
          <w:p w14:paraId="0C5AD0B2"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Total reads</w:t>
            </w:r>
          </w:p>
        </w:tc>
        <w:tc>
          <w:tcPr>
            <w:tcW w:w="1300" w:type="dxa"/>
            <w:tcBorders>
              <w:top w:val="nil"/>
              <w:left w:val="nil"/>
              <w:bottom w:val="single" w:sz="4" w:space="0" w:color="auto"/>
              <w:right w:val="nil"/>
            </w:tcBorders>
            <w:shd w:val="clear" w:color="auto" w:fill="auto"/>
            <w:vAlign w:val="bottom"/>
            <w:hideMark/>
          </w:tcPr>
          <w:p w14:paraId="1304E8A6"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Uniquely mapped reads</w:t>
            </w:r>
          </w:p>
        </w:tc>
        <w:tc>
          <w:tcPr>
            <w:tcW w:w="1300" w:type="dxa"/>
            <w:tcBorders>
              <w:top w:val="nil"/>
              <w:left w:val="nil"/>
              <w:bottom w:val="single" w:sz="4" w:space="0" w:color="auto"/>
              <w:right w:val="nil"/>
            </w:tcBorders>
            <w:shd w:val="clear" w:color="auto" w:fill="auto"/>
            <w:vAlign w:val="bottom"/>
            <w:hideMark/>
          </w:tcPr>
          <w:p w14:paraId="3E5DF3AF"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Uniquely mapped percentage</w:t>
            </w:r>
          </w:p>
        </w:tc>
        <w:tc>
          <w:tcPr>
            <w:tcW w:w="1300" w:type="dxa"/>
            <w:tcBorders>
              <w:top w:val="nil"/>
              <w:left w:val="nil"/>
              <w:bottom w:val="single" w:sz="4" w:space="0" w:color="auto"/>
              <w:right w:val="nil"/>
            </w:tcBorders>
            <w:shd w:val="clear" w:color="auto" w:fill="auto"/>
            <w:vAlign w:val="bottom"/>
            <w:hideMark/>
          </w:tcPr>
          <w:p w14:paraId="355A5013"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Reads mapped to genome</w:t>
            </w:r>
          </w:p>
        </w:tc>
        <w:tc>
          <w:tcPr>
            <w:tcW w:w="1300" w:type="dxa"/>
            <w:tcBorders>
              <w:top w:val="nil"/>
              <w:left w:val="nil"/>
              <w:bottom w:val="single" w:sz="4" w:space="0" w:color="auto"/>
              <w:right w:val="nil"/>
            </w:tcBorders>
            <w:shd w:val="clear" w:color="auto" w:fill="auto"/>
            <w:vAlign w:val="bottom"/>
            <w:hideMark/>
          </w:tcPr>
          <w:p w14:paraId="64BEB806"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Reads mapped to exons</w:t>
            </w:r>
          </w:p>
        </w:tc>
        <w:tc>
          <w:tcPr>
            <w:tcW w:w="1300" w:type="dxa"/>
            <w:tcBorders>
              <w:top w:val="nil"/>
              <w:left w:val="nil"/>
              <w:bottom w:val="single" w:sz="4" w:space="0" w:color="auto"/>
              <w:right w:val="nil"/>
            </w:tcBorders>
            <w:shd w:val="clear" w:color="auto" w:fill="auto"/>
            <w:vAlign w:val="bottom"/>
            <w:hideMark/>
          </w:tcPr>
          <w:p w14:paraId="03A6B731"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Exon mapped percentage</w:t>
            </w:r>
          </w:p>
        </w:tc>
      </w:tr>
      <w:tr w:rsidR="00BF1F76" w:rsidRPr="00BF1F76" w14:paraId="557DA442" w14:textId="77777777" w:rsidTr="0065319D">
        <w:trPr>
          <w:trHeight w:val="288"/>
        </w:trPr>
        <w:tc>
          <w:tcPr>
            <w:tcW w:w="620" w:type="dxa"/>
            <w:tcBorders>
              <w:top w:val="nil"/>
              <w:left w:val="nil"/>
              <w:bottom w:val="nil"/>
              <w:right w:val="single" w:sz="4" w:space="0" w:color="auto"/>
            </w:tcBorders>
            <w:shd w:val="clear" w:color="auto" w:fill="auto"/>
            <w:noWrap/>
            <w:vAlign w:val="bottom"/>
            <w:hideMark/>
          </w:tcPr>
          <w:p w14:paraId="6904AC50"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Mean</w:t>
            </w:r>
          </w:p>
        </w:tc>
        <w:tc>
          <w:tcPr>
            <w:tcW w:w="1300" w:type="dxa"/>
            <w:tcBorders>
              <w:top w:val="nil"/>
              <w:left w:val="nil"/>
              <w:bottom w:val="nil"/>
              <w:right w:val="nil"/>
            </w:tcBorders>
            <w:shd w:val="clear" w:color="auto" w:fill="auto"/>
            <w:vAlign w:val="bottom"/>
            <w:hideMark/>
          </w:tcPr>
          <w:p w14:paraId="7353700C"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18796012</w:t>
            </w:r>
          </w:p>
        </w:tc>
        <w:tc>
          <w:tcPr>
            <w:tcW w:w="1300" w:type="dxa"/>
            <w:tcBorders>
              <w:top w:val="nil"/>
              <w:left w:val="nil"/>
              <w:bottom w:val="nil"/>
              <w:right w:val="nil"/>
            </w:tcBorders>
            <w:shd w:val="clear" w:color="auto" w:fill="auto"/>
            <w:vAlign w:val="bottom"/>
            <w:hideMark/>
          </w:tcPr>
          <w:p w14:paraId="62FE6748"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17147731</w:t>
            </w:r>
          </w:p>
        </w:tc>
        <w:tc>
          <w:tcPr>
            <w:tcW w:w="1300" w:type="dxa"/>
            <w:tcBorders>
              <w:top w:val="nil"/>
              <w:left w:val="nil"/>
              <w:bottom w:val="nil"/>
              <w:right w:val="nil"/>
            </w:tcBorders>
            <w:shd w:val="clear" w:color="auto" w:fill="auto"/>
            <w:vAlign w:val="bottom"/>
            <w:hideMark/>
          </w:tcPr>
          <w:p w14:paraId="54CD16C9"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91.2</w:t>
            </w:r>
          </w:p>
        </w:tc>
        <w:tc>
          <w:tcPr>
            <w:tcW w:w="1300" w:type="dxa"/>
            <w:tcBorders>
              <w:top w:val="nil"/>
              <w:left w:val="nil"/>
              <w:bottom w:val="nil"/>
              <w:right w:val="nil"/>
            </w:tcBorders>
            <w:shd w:val="clear" w:color="auto" w:fill="auto"/>
            <w:vAlign w:val="bottom"/>
            <w:hideMark/>
          </w:tcPr>
          <w:p w14:paraId="5AF010DB"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38558818</w:t>
            </w:r>
          </w:p>
        </w:tc>
        <w:tc>
          <w:tcPr>
            <w:tcW w:w="1300" w:type="dxa"/>
            <w:tcBorders>
              <w:top w:val="nil"/>
              <w:left w:val="nil"/>
              <w:bottom w:val="nil"/>
              <w:right w:val="nil"/>
            </w:tcBorders>
            <w:shd w:val="clear" w:color="auto" w:fill="auto"/>
            <w:vAlign w:val="bottom"/>
            <w:hideMark/>
          </w:tcPr>
          <w:p w14:paraId="46C39AB8"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34724434</w:t>
            </w:r>
          </w:p>
        </w:tc>
        <w:tc>
          <w:tcPr>
            <w:tcW w:w="1300" w:type="dxa"/>
            <w:tcBorders>
              <w:top w:val="nil"/>
              <w:left w:val="nil"/>
              <w:bottom w:val="nil"/>
              <w:right w:val="nil"/>
            </w:tcBorders>
            <w:shd w:val="clear" w:color="auto" w:fill="auto"/>
            <w:vAlign w:val="bottom"/>
            <w:hideMark/>
          </w:tcPr>
          <w:p w14:paraId="591353AB"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90.1</w:t>
            </w:r>
          </w:p>
        </w:tc>
      </w:tr>
      <w:tr w:rsidR="00BF1F76" w:rsidRPr="00BF1F76" w14:paraId="24A65E72" w14:textId="77777777" w:rsidTr="0065319D">
        <w:trPr>
          <w:trHeight w:val="288"/>
        </w:trPr>
        <w:tc>
          <w:tcPr>
            <w:tcW w:w="620" w:type="dxa"/>
            <w:tcBorders>
              <w:top w:val="nil"/>
              <w:left w:val="nil"/>
              <w:bottom w:val="nil"/>
              <w:right w:val="single" w:sz="4" w:space="0" w:color="auto"/>
            </w:tcBorders>
            <w:shd w:val="clear" w:color="auto" w:fill="auto"/>
            <w:noWrap/>
            <w:vAlign w:val="bottom"/>
            <w:hideMark/>
          </w:tcPr>
          <w:p w14:paraId="50134959" w14:textId="77777777" w:rsidR="00BF1F76" w:rsidRPr="00BF1F76" w:rsidRDefault="00BF1F76" w:rsidP="0065319D">
            <w:pPr>
              <w:spacing w:after="0" w:line="240" w:lineRule="auto"/>
              <w:rPr>
                <w:rFonts w:ascii="Calibri" w:eastAsia="Times New Roman" w:hAnsi="Calibri" w:cs="Calibri"/>
                <w:b/>
                <w:bCs/>
                <w:color w:val="000000"/>
                <w:lang w:val="en-NL" w:eastAsia="en-NL"/>
              </w:rPr>
            </w:pPr>
            <w:r w:rsidRPr="00BF1F76">
              <w:rPr>
                <w:rFonts w:ascii="Calibri" w:eastAsia="Times New Roman" w:hAnsi="Calibri" w:cs="Calibri"/>
                <w:b/>
                <w:bCs/>
                <w:color w:val="000000"/>
                <w:lang w:val="en-NL" w:eastAsia="en-NL"/>
              </w:rPr>
              <w:t>SD</w:t>
            </w:r>
          </w:p>
        </w:tc>
        <w:tc>
          <w:tcPr>
            <w:tcW w:w="1300" w:type="dxa"/>
            <w:tcBorders>
              <w:top w:val="nil"/>
              <w:left w:val="nil"/>
              <w:bottom w:val="nil"/>
              <w:right w:val="nil"/>
            </w:tcBorders>
            <w:shd w:val="clear" w:color="auto" w:fill="auto"/>
            <w:vAlign w:val="bottom"/>
            <w:hideMark/>
          </w:tcPr>
          <w:p w14:paraId="0EF1BF37"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4130866</w:t>
            </w:r>
          </w:p>
        </w:tc>
        <w:tc>
          <w:tcPr>
            <w:tcW w:w="1300" w:type="dxa"/>
            <w:tcBorders>
              <w:top w:val="nil"/>
              <w:left w:val="nil"/>
              <w:bottom w:val="nil"/>
              <w:right w:val="nil"/>
            </w:tcBorders>
            <w:shd w:val="clear" w:color="auto" w:fill="auto"/>
            <w:vAlign w:val="bottom"/>
            <w:hideMark/>
          </w:tcPr>
          <w:p w14:paraId="6B415953"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3829523</w:t>
            </w:r>
          </w:p>
        </w:tc>
        <w:tc>
          <w:tcPr>
            <w:tcW w:w="1300" w:type="dxa"/>
            <w:tcBorders>
              <w:top w:val="nil"/>
              <w:left w:val="nil"/>
              <w:bottom w:val="nil"/>
              <w:right w:val="nil"/>
            </w:tcBorders>
            <w:shd w:val="clear" w:color="auto" w:fill="auto"/>
            <w:vAlign w:val="bottom"/>
            <w:hideMark/>
          </w:tcPr>
          <w:p w14:paraId="450CB5C5"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2.3</w:t>
            </w:r>
          </w:p>
        </w:tc>
        <w:tc>
          <w:tcPr>
            <w:tcW w:w="1300" w:type="dxa"/>
            <w:tcBorders>
              <w:top w:val="nil"/>
              <w:left w:val="nil"/>
              <w:bottom w:val="nil"/>
              <w:right w:val="nil"/>
            </w:tcBorders>
            <w:shd w:val="clear" w:color="auto" w:fill="auto"/>
            <w:vAlign w:val="bottom"/>
            <w:hideMark/>
          </w:tcPr>
          <w:p w14:paraId="13A620B5"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8464795</w:t>
            </w:r>
          </w:p>
        </w:tc>
        <w:tc>
          <w:tcPr>
            <w:tcW w:w="1300" w:type="dxa"/>
            <w:tcBorders>
              <w:top w:val="nil"/>
              <w:left w:val="nil"/>
              <w:bottom w:val="nil"/>
              <w:right w:val="nil"/>
            </w:tcBorders>
            <w:shd w:val="clear" w:color="auto" w:fill="auto"/>
            <w:vAlign w:val="bottom"/>
            <w:hideMark/>
          </w:tcPr>
          <w:p w14:paraId="674186EF"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7527572</w:t>
            </w:r>
          </w:p>
        </w:tc>
        <w:tc>
          <w:tcPr>
            <w:tcW w:w="1300" w:type="dxa"/>
            <w:tcBorders>
              <w:top w:val="nil"/>
              <w:left w:val="nil"/>
              <w:bottom w:val="nil"/>
              <w:right w:val="nil"/>
            </w:tcBorders>
            <w:shd w:val="clear" w:color="auto" w:fill="auto"/>
            <w:vAlign w:val="bottom"/>
            <w:hideMark/>
          </w:tcPr>
          <w:p w14:paraId="57E26E17" w14:textId="77777777" w:rsidR="00BF1F76" w:rsidRPr="00BF1F76" w:rsidRDefault="00BF1F76" w:rsidP="0065319D">
            <w:pPr>
              <w:spacing w:after="0" w:line="240" w:lineRule="auto"/>
              <w:rPr>
                <w:rFonts w:ascii="Calibri" w:eastAsia="Times New Roman" w:hAnsi="Calibri" w:cs="Calibri"/>
                <w:color w:val="000000"/>
                <w:lang w:val="en-NL" w:eastAsia="en-NL"/>
              </w:rPr>
            </w:pPr>
            <w:r w:rsidRPr="00BF1F76">
              <w:rPr>
                <w:rFonts w:ascii="Calibri" w:eastAsia="Times New Roman" w:hAnsi="Calibri" w:cs="Calibri"/>
                <w:color w:val="000000"/>
                <w:lang w:val="en-NL" w:eastAsia="en-NL"/>
              </w:rPr>
              <w:t>2.6</w:t>
            </w:r>
          </w:p>
        </w:tc>
      </w:tr>
    </w:tbl>
    <w:p w14:paraId="5317308F" w14:textId="77777777" w:rsidR="00BF1F76" w:rsidRDefault="00BF1F76"/>
    <w:p w14:paraId="1B152A91" w14:textId="5B315AA2" w:rsidR="0065319D" w:rsidRPr="00557A3F" w:rsidRDefault="00557A3F">
      <w:pPr>
        <w:rPr>
          <w:sz w:val="20"/>
          <w:szCs w:val="20"/>
        </w:rPr>
      </w:pPr>
      <w:r>
        <w:rPr>
          <w:b/>
          <w:bCs/>
          <w:sz w:val="20"/>
          <w:szCs w:val="20"/>
        </w:rPr>
        <w:t>Table S5.</w:t>
      </w:r>
      <w:r>
        <w:rPr>
          <w:sz w:val="20"/>
          <w:szCs w:val="20"/>
        </w:rPr>
        <w:t xml:space="preserve"> Summary statistics of several QC measures that were gathered </w:t>
      </w:r>
      <w:r w:rsidR="00CD2483">
        <w:rPr>
          <w:sz w:val="20"/>
          <w:szCs w:val="20"/>
        </w:rPr>
        <w:t xml:space="preserve">during the preprocessing of the RNA-seq data. </w:t>
      </w:r>
      <w:r w:rsidR="00CD2483" w:rsidRPr="00CD2483">
        <w:rPr>
          <w:sz w:val="20"/>
          <w:szCs w:val="20"/>
        </w:rPr>
        <w:t>Total reads is the total number of reads that were gathered for this sample.</w:t>
      </w:r>
      <w:r w:rsidR="00CD2483">
        <w:rPr>
          <w:sz w:val="20"/>
          <w:szCs w:val="20"/>
        </w:rPr>
        <w:t xml:space="preserve"> </w:t>
      </w:r>
      <w:r w:rsidR="00CD2483" w:rsidRPr="00CD2483">
        <w:rPr>
          <w:sz w:val="20"/>
          <w:szCs w:val="20"/>
        </w:rPr>
        <w:t>Uniquely mapped reads is the number of reads which could be mapped to a single spot in the genome (in other words, it excludes ambiguously mapped reads).</w:t>
      </w:r>
      <w:r w:rsidR="00CD2483" w:rsidRPr="00CD2483">
        <w:t xml:space="preserve"> </w:t>
      </w:r>
      <w:r w:rsidR="00CD2483" w:rsidRPr="00CD2483">
        <w:rPr>
          <w:sz w:val="20"/>
          <w:szCs w:val="20"/>
        </w:rPr>
        <w:t>Uniquely mapped percentage is the percentage of total reads which were uniquely mappable.</w:t>
      </w:r>
      <w:r w:rsidR="00CD2483" w:rsidRPr="00CD2483">
        <w:t xml:space="preserve"> </w:t>
      </w:r>
      <w:r w:rsidR="00CD2483" w:rsidRPr="00CD2483">
        <w:rPr>
          <w:sz w:val="20"/>
          <w:szCs w:val="20"/>
        </w:rPr>
        <w:t>Reads mapped to genome is the total number of reads mapped to the genome in any place.</w:t>
      </w:r>
      <w:r w:rsidR="00CD2483" w:rsidRPr="00CD2483">
        <w:t xml:space="preserve"> </w:t>
      </w:r>
      <w:r w:rsidR="00CD2483" w:rsidRPr="00CD2483">
        <w:rPr>
          <w:sz w:val="20"/>
          <w:szCs w:val="20"/>
        </w:rPr>
        <w:t>Reads mapped to exons is the number of reads mapped to exons.</w:t>
      </w:r>
      <w:r w:rsidR="00CD2483" w:rsidRPr="00CD2483">
        <w:t xml:space="preserve"> </w:t>
      </w:r>
      <w:r w:rsidR="00CD2483" w:rsidRPr="00CD2483">
        <w:rPr>
          <w:sz w:val="20"/>
          <w:szCs w:val="20"/>
        </w:rPr>
        <w:t xml:space="preserve">Exon mapped percentage is the percentage of </w:t>
      </w:r>
      <w:r w:rsidR="00CD2483">
        <w:rPr>
          <w:sz w:val="20"/>
          <w:szCs w:val="20"/>
        </w:rPr>
        <w:t xml:space="preserve">all </w:t>
      </w:r>
      <w:r w:rsidR="00CD2483" w:rsidRPr="00CD2483">
        <w:rPr>
          <w:sz w:val="20"/>
          <w:szCs w:val="20"/>
        </w:rPr>
        <w:t xml:space="preserve">reads </w:t>
      </w:r>
      <w:r w:rsidR="00CD2483">
        <w:rPr>
          <w:sz w:val="20"/>
          <w:szCs w:val="20"/>
        </w:rPr>
        <w:t xml:space="preserve">that were </w:t>
      </w:r>
      <w:r w:rsidR="00CD2483" w:rsidRPr="00CD2483">
        <w:rPr>
          <w:sz w:val="20"/>
          <w:szCs w:val="20"/>
        </w:rPr>
        <w:t>mapped to exons.</w:t>
      </w:r>
    </w:p>
    <w:sectPr w:rsidR="0065319D" w:rsidRPr="00557A3F" w:rsidSect="00667C2A">
      <w:footerReference w:type="default" r:id="rId13"/>
      <w:pgSz w:w="11906" w:h="16838" w:code="9"/>
      <w:pgMar w:top="720" w:right="1418" w:bottom="72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6EB6" w14:textId="77777777" w:rsidR="00725350" w:rsidRDefault="00725350">
      <w:pPr>
        <w:spacing w:after="0" w:line="240" w:lineRule="auto"/>
      </w:pPr>
      <w:r>
        <w:separator/>
      </w:r>
    </w:p>
  </w:endnote>
  <w:endnote w:type="continuationSeparator" w:id="0">
    <w:p w14:paraId="6DB3FC18" w14:textId="77777777" w:rsidR="00725350" w:rsidRDefault="00725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6214855"/>
      <w:docPartObj>
        <w:docPartGallery w:val="Page Numbers (Bottom of Page)"/>
        <w:docPartUnique/>
      </w:docPartObj>
    </w:sdtPr>
    <w:sdtEndPr>
      <w:rPr>
        <w:noProof/>
      </w:rPr>
    </w:sdtEndPr>
    <w:sdtContent>
      <w:p w14:paraId="431919AE" w14:textId="77777777" w:rsidR="00F2535E" w:rsidRDefault="00667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B0CD7" w14:textId="77777777" w:rsidR="00F2535E" w:rsidRDefault="00725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2E12B1" w14:textId="77777777" w:rsidR="00725350" w:rsidRDefault="00725350">
      <w:pPr>
        <w:spacing w:after="0" w:line="240" w:lineRule="auto"/>
      </w:pPr>
      <w:r>
        <w:separator/>
      </w:r>
    </w:p>
  </w:footnote>
  <w:footnote w:type="continuationSeparator" w:id="0">
    <w:p w14:paraId="4571B23B" w14:textId="77777777" w:rsidR="00725350" w:rsidRDefault="007253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3A"/>
    <w:rsid w:val="000054E9"/>
    <w:rsid w:val="000F3BFA"/>
    <w:rsid w:val="001D357E"/>
    <w:rsid w:val="001D5B3A"/>
    <w:rsid w:val="00275CCA"/>
    <w:rsid w:val="002D3C2C"/>
    <w:rsid w:val="003772B6"/>
    <w:rsid w:val="00406DE8"/>
    <w:rsid w:val="004D6C95"/>
    <w:rsid w:val="0052125A"/>
    <w:rsid w:val="00557A3F"/>
    <w:rsid w:val="0065319D"/>
    <w:rsid w:val="00667C2A"/>
    <w:rsid w:val="006D6A4A"/>
    <w:rsid w:val="00725350"/>
    <w:rsid w:val="007827E0"/>
    <w:rsid w:val="007C0B93"/>
    <w:rsid w:val="00823715"/>
    <w:rsid w:val="008E12A5"/>
    <w:rsid w:val="0092725C"/>
    <w:rsid w:val="00935512"/>
    <w:rsid w:val="00A7776A"/>
    <w:rsid w:val="00AC5F26"/>
    <w:rsid w:val="00B30621"/>
    <w:rsid w:val="00BB2036"/>
    <w:rsid w:val="00BF1F76"/>
    <w:rsid w:val="00C21207"/>
    <w:rsid w:val="00C429F6"/>
    <w:rsid w:val="00CC650A"/>
    <w:rsid w:val="00CD2483"/>
    <w:rsid w:val="00EF245C"/>
    <w:rsid w:val="00FD7DAF"/>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281E0"/>
  <w15:chartTrackingRefBased/>
  <w15:docId w15:val="{6025E28B-6659-47F9-BEB6-BF4115781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C2A"/>
    <w:rPr>
      <w:rFonts w:eastAsiaTheme="minorHAnsi"/>
      <w:lang w:val="en-US"/>
    </w:rPr>
  </w:style>
  <w:style w:type="paragraph" w:styleId="Heading1">
    <w:name w:val="heading 1"/>
    <w:basedOn w:val="Normal"/>
    <w:next w:val="Normal"/>
    <w:link w:val="Heading1Char"/>
    <w:uiPriority w:val="9"/>
    <w:qFormat/>
    <w:rsid w:val="00AC5F26"/>
    <w:pPr>
      <w:keepNext/>
      <w:keepLines/>
      <w:spacing w:before="240" w:after="0" w:line="240" w:lineRule="auto"/>
      <w:outlineLvl w:val="0"/>
    </w:pPr>
    <w:rPr>
      <w:rFonts w:ascii="Calibri" w:eastAsiaTheme="majorEastAsia" w:hAnsi="Calibri" w:cstheme="majorBidi"/>
      <w:b/>
      <w:sz w:val="28"/>
      <w:szCs w:val="32"/>
      <w:lang w:val="en-AU"/>
    </w:rPr>
  </w:style>
  <w:style w:type="paragraph" w:styleId="Heading2">
    <w:name w:val="heading 2"/>
    <w:basedOn w:val="Normal"/>
    <w:next w:val="Normal"/>
    <w:link w:val="Heading2Char"/>
    <w:uiPriority w:val="9"/>
    <w:unhideWhenUsed/>
    <w:qFormat/>
    <w:rsid w:val="001D357E"/>
    <w:pPr>
      <w:keepNext/>
      <w:keepLines/>
      <w:spacing w:before="40" w:after="0" w:line="240" w:lineRule="auto"/>
      <w:outlineLvl w:val="1"/>
    </w:pPr>
    <w:rPr>
      <w:rFonts w:ascii="Calibri" w:eastAsiaTheme="majorEastAsia" w:hAnsi="Calibri" w:cstheme="majorBidi"/>
      <w:b/>
      <w:sz w:val="24"/>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D357E"/>
    <w:rPr>
      <w:rFonts w:ascii="Calibri" w:eastAsiaTheme="majorEastAsia" w:hAnsi="Calibri" w:cstheme="majorBidi"/>
      <w:b/>
      <w:sz w:val="24"/>
      <w:szCs w:val="26"/>
      <w:lang w:val="en-AU"/>
    </w:rPr>
  </w:style>
  <w:style w:type="paragraph" w:styleId="Title">
    <w:name w:val="Title"/>
    <w:basedOn w:val="Normal"/>
    <w:next w:val="Normal"/>
    <w:link w:val="TitleChar"/>
    <w:uiPriority w:val="10"/>
    <w:qFormat/>
    <w:rsid w:val="00AC5F26"/>
    <w:pPr>
      <w:spacing w:after="0" w:line="240" w:lineRule="auto"/>
      <w:contextualSpacing/>
    </w:pPr>
    <w:rPr>
      <w:rFonts w:ascii="Calibri" w:eastAsiaTheme="majorEastAsia" w:hAnsi="Calibri" w:cstheme="majorBidi"/>
      <w:b/>
      <w:spacing w:val="-10"/>
      <w:kern w:val="28"/>
      <w:sz w:val="40"/>
      <w:szCs w:val="56"/>
      <w:lang w:val="en-AU"/>
    </w:rPr>
  </w:style>
  <w:style w:type="character" w:customStyle="1" w:styleId="TitleChar">
    <w:name w:val="Title Char"/>
    <w:basedOn w:val="DefaultParagraphFont"/>
    <w:link w:val="Title"/>
    <w:uiPriority w:val="10"/>
    <w:rsid w:val="00AC5F26"/>
    <w:rPr>
      <w:rFonts w:ascii="Calibri" w:eastAsiaTheme="majorEastAsia" w:hAnsi="Calibri" w:cstheme="majorBidi"/>
      <w:b/>
      <w:spacing w:val="-10"/>
      <w:kern w:val="28"/>
      <w:sz w:val="40"/>
      <w:szCs w:val="56"/>
      <w:lang w:val="en-US"/>
    </w:rPr>
  </w:style>
  <w:style w:type="character" w:customStyle="1" w:styleId="Heading1Char">
    <w:name w:val="Heading 1 Char"/>
    <w:basedOn w:val="DefaultParagraphFont"/>
    <w:link w:val="Heading1"/>
    <w:uiPriority w:val="9"/>
    <w:rsid w:val="00AC5F26"/>
    <w:rPr>
      <w:rFonts w:ascii="Calibri" w:eastAsiaTheme="majorEastAsia" w:hAnsi="Calibri" w:cstheme="majorBidi"/>
      <w:b/>
      <w:sz w:val="28"/>
      <w:szCs w:val="32"/>
      <w:lang w:val="en-US"/>
    </w:rPr>
  </w:style>
  <w:style w:type="paragraph" w:styleId="Footer">
    <w:name w:val="footer"/>
    <w:basedOn w:val="Normal"/>
    <w:link w:val="FooterChar"/>
    <w:uiPriority w:val="99"/>
    <w:unhideWhenUsed/>
    <w:rsid w:val="00667C2A"/>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7C2A"/>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49787">
      <w:bodyDiv w:val="1"/>
      <w:marLeft w:val="0"/>
      <w:marRight w:val="0"/>
      <w:marTop w:val="0"/>
      <w:marBottom w:val="0"/>
      <w:divBdr>
        <w:top w:val="none" w:sz="0" w:space="0" w:color="auto"/>
        <w:left w:val="none" w:sz="0" w:space="0" w:color="auto"/>
        <w:bottom w:val="none" w:sz="0" w:space="0" w:color="auto"/>
        <w:right w:val="none" w:sz="0" w:space="0" w:color="auto"/>
      </w:divBdr>
    </w:div>
    <w:div w:id="260575736">
      <w:bodyDiv w:val="1"/>
      <w:marLeft w:val="0"/>
      <w:marRight w:val="0"/>
      <w:marTop w:val="0"/>
      <w:marBottom w:val="0"/>
      <w:divBdr>
        <w:top w:val="none" w:sz="0" w:space="0" w:color="auto"/>
        <w:left w:val="none" w:sz="0" w:space="0" w:color="auto"/>
        <w:bottom w:val="none" w:sz="0" w:space="0" w:color="auto"/>
        <w:right w:val="none" w:sz="0" w:space="0" w:color="auto"/>
      </w:divBdr>
    </w:div>
    <w:div w:id="283193282">
      <w:bodyDiv w:val="1"/>
      <w:marLeft w:val="0"/>
      <w:marRight w:val="0"/>
      <w:marTop w:val="0"/>
      <w:marBottom w:val="0"/>
      <w:divBdr>
        <w:top w:val="none" w:sz="0" w:space="0" w:color="auto"/>
        <w:left w:val="none" w:sz="0" w:space="0" w:color="auto"/>
        <w:bottom w:val="none" w:sz="0" w:space="0" w:color="auto"/>
        <w:right w:val="none" w:sz="0" w:space="0" w:color="auto"/>
      </w:divBdr>
    </w:div>
    <w:div w:id="379285348">
      <w:bodyDiv w:val="1"/>
      <w:marLeft w:val="0"/>
      <w:marRight w:val="0"/>
      <w:marTop w:val="0"/>
      <w:marBottom w:val="0"/>
      <w:divBdr>
        <w:top w:val="none" w:sz="0" w:space="0" w:color="auto"/>
        <w:left w:val="none" w:sz="0" w:space="0" w:color="auto"/>
        <w:bottom w:val="none" w:sz="0" w:space="0" w:color="auto"/>
        <w:right w:val="none" w:sz="0" w:space="0" w:color="auto"/>
      </w:divBdr>
    </w:div>
    <w:div w:id="684330671">
      <w:bodyDiv w:val="1"/>
      <w:marLeft w:val="0"/>
      <w:marRight w:val="0"/>
      <w:marTop w:val="0"/>
      <w:marBottom w:val="0"/>
      <w:divBdr>
        <w:top w:val="none" w:sz="0" w:space="0" w:color="auto"/>
        <w:left w:val="none" w:sz="0" w:space="0" w:color="auto"/>
        <w:bottom w:val="none" w:sz="0" w:space="0" w:color="auto"/>
        <w:right w:val="none" w:sz="0" w:space="0" w:color="auto"/>
      </w:divBdr>
    </w:div>
    <w:div w:id="944845886">
      <w:bodyDiv w:val="1"/>
      <w:marLeft w:val="0"/>
      <w:marRight w:val="0"/>
      <w:marTop w:val="0"/>
      <w:marBottom w:val="0"/>
      <w:divBdr>
        <w:top w:val="none" w:sz="0" w:space="0" w:color="auto"/>
        <w:left w:val="none" w:sz="0" w:space="0" w:color="auto"/>
        <w:bottom w:val="none" w:sz="0" w:space="0" w:color="auto"/>
        <w:right w:val="none" w:sz="0" w:space="0" w:color="auto"/>
      </w:divBdr>
    </w:div>
    <w:div w:id="1010523146">
      <w:bodyDiv w:val="1"/>
      <w:marLeft w:val="0"/>
      <w:marRight w:val="0"/>
      <w:marTop w:val="0"/>
      <w:marBottom w:val="0"/>
      <w:divBdr>
        <w:top w:val="none" w:sz="0" w:space="0" w:color="auto"/>
        <w:left w:val="none" w:sz="0" w:space="0" w:color="auto"/>
        <w:bottom w:val="none" w:sz="0" w:space="0" w:color="auto"/>
        <w:right w:val="none" w:sz="0" w:space="0" w:color="auto"/>
      </w:divBdr>
    </w:div>
    <w:div w:id="1051229325">
      <w:bodyDiv w:val="1"/>
      <w:marLeft w:val="0"/>
      <w:marRight w:val="0"/>
      <w:marTop w:val="0"/>
      <w:marBottom w:val="0"/>
      <w:divBdr>
        <w:top w:val="none" w:sz="0" w:space="0" w:color="auto"/>
        <w:left w:val="none" w:sz="0" w:space="0" w:color="auto"/>
        <w:bottom w:val="none" w:sz="0" w:space="0" w:color="auto"/>
        <w:right w:val="none" w:sz="0" w:space="0" w:color="auto"/>
      </w:divBdr>
    </w:div>
    <w:div w:id="1103720551">
      <w:bodyDiv w:val="1"/>
      <w:marLeft w:val="0"/>
      <w:marRight w:val="0"/>
      <w:marTop w:val="0"/>
      <w:marBottom w:val="0"/>
      <w:divBdr>
        <w:top w:val="none" w:sz="0" w:space="0" w:color="auto"/>
        <w:left w:val="none" w:sz="0" w:space="0" w:color="auto"/>
        <w:bottom w:val="none" w:sz="0" w:space="0" w:color="auto"/>
        <w:right w:val="none" w:sz="0" w:space="0" w:color="auto"/>
      </w:divBdr>
    </w:div>
    <w:div w:id="1348411682">
      <w:bodyDiv w:val="1"/>
      <w:marLeft w:val="0"/>
      <w:marRight w:val="0"/>
      <w:marTop w:val="0"/>
      <w:marBottom w:val="0"/>
      <w:divBdr>
        <w:top w:val="none" w:sz="0" w:space="0" w:color="auto"/>
        <w:left w:val="none" w:sz="0" w:space="0" w:color="auto"/>
        <w:bottom w:val="none" w:sz="0" w:space="0" w:color="auto"/>
        <w:right w:val="none" w:sz="0" w:space="0" w:color="auto"/>
      </w:divBdr>
    </w:div>
    <w:div w:id="1845053661">
      <w:bodyDiv w:val="1"/>
      <w:marLeft w:val="0"/>
      <w:marRight w:val="0"/>
      <w:marTop w:val="0"/>
      <w:marBottom w:val="0"/>
      <w:divBdr>
        <w:top w:val="none" w:sz="0" w:space="0" w:color="auto"/>
        <w:left w:val="none" w:sz="0" w:space="0" w:color="auto"/>
        <w:bottom w:val="none" w:sz="0" w:space="0" w:color="auto"/>
        <w:right w:val="none" w:sz="0" w:space="0" w:color="auto"/>
      </w:divBdr>
    </w:div>
    <w:div w:id="1879010435">
      <w:bodyDiv w:val="1"/>
      <w:marLeft w:val="0"/>
      <w:marRight w:val="0"/>
      <w:marTop w:val="0"/>
      <w:marBottom w:val="0"/>
      <w:divBdr>
        <w:top w:val="none" w:sz="0" w:space="0" w:color="auto"/>
        <w:left w:val="none" w:sz="0" w:space="0" w:color="auto"/>
        <w:bottom w:val="none" w:sz="0" w:space="0" w:color="auto"/>
        <w:right w:val="none" w:sz="0" w:space="0" w:color="auto"/>
      </w:divBdr>
    </w:div>
    <w:div w:id="202670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4680</Words>
  <Characters>26680</Characters>
  <Application>Microsoft Office Word</Application>
  <DocSecurity>0</DocSecurity>
  <Lines>222</Lines>
  <Paragraphs>62</Paragraphs>
  <ScaleCrop>false</ScaleCrop>
  <Company/>
  <LinksUpToDate>false</LinksUpToDate>
  <CharactersWithSpaces>31298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Jonkman</dc:creator>
  <cp:keywords/>
  <dc:description/>
  <cp:lastModifiedBy>Thomas Jonkman</cp:lastModifiedBy>
  <cp:revision>27</cp:revision>
  <dcterms:created xsi:type="dcterms:W3CDTF">2021-12-03T13:10:00Z</dcterms:created>
  <dcterms:modified xsi:type="dcterms:W3CDTF">2021-12-03T15:54:00Z</dcterms:modified>
</cp:coreProperties>
</file>