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229A" w14:textId="77777777" w:rsidR="00336836" w:rsidRDefault="0055468A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114300" distB="114300" distL="114300" distR="114300" wp14:anchorId="09E43BAF" wp14:editId="13D257C8">
            <wp:extent cx="5731200" cy="20828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8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D5E526C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8CE955" w14:textId="740DF506" w:rsidR="00336836" w:rsidRDefault="0055468A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Figure </w:t>
      </w:r>
      <w:r w:rsidR="003D0639">
        <w:rPr>
          <w:rFonts w:ascii="Times New Roman" w:eastAsia="Times New Roman" w:hAnsi="Times New Roman" w:cs="Times New Roman"/>
          <w:b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Reference free assembly quality assessment using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Merqury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>. A: The QV estimation distribution of all contigs for the 12 MIKK panel assemblies. B: The k-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mer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completeness for the 12 MIKK panel assemblies.</w:t>
      </w:r>
    </w:p>
    <w:p w14:paraId="66E00B2A" w14:textId="703AA0B2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266D10D" w14:textId="77777777" w:rsidR="003D0639" w:rsidRDefault="003D0639" w:rsidP="003D0639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noProof/>
          <w:sz w:val="20"/>
          <w:szCs w:val="20"/>
        </w:rPr>
        <w:drawing>
          <wp:inline distT="114300" distB="114300" distL="114300" distR="114300" wp14:anchorId="770BF1F2" wp14:editId="204DC368">
            <wp:extent cx="5731200" cy="5727700"/>
            <wp:effectExtent l="0" t="0" r="0" b="0"/>
            <wp:docPr id="3" name="image2.png" descr="Chart, histo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 descr="Chart, histogram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33CDB2" w14:textId="1715B6AF" w:rsidR="003D0639" w:rsidRDefault="003D0639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Figure S2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Histogram </w:t>
      </w:r>
      <w:r w:rsidR="001F38CD">
        <w:rPr>
          <w:rFonts w:ascii="Times New Roman" w:eastAsia="Times New Roman" w:hAnsi="Times New Roman" w:cs="Times New Roman"/>
          <w:sz w:val="20"/>
          <w:szCs w:val="20"/>
        </w:rPr>
        <w:t>showing the</w:t>
      </w:r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proportion of </w:t>
      </w:r>
      <w:proofErr w:type="spellStart"/>
      <w:r w:rsidR="009670D9">
        <w:rPr>
          <w:rFonts w:ascii="Times New Roman" w:eastAsia="Times New Roman" w:hAnsi="Times New Roman" w:cs="Times New Roman"/>
          <w:sz w:val="20"/>
          <w:szCs w:val="20"/>
        </w:rPr>
        <w:t>exonic</w:t>
      </w:r>
      <w:proofErr w:type="spellEnd"/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bases covered by all MIKK panel assembles for </w:t>
      </w:r>
      <w:r w:rsidR="009670D9" w:rsidRPr="009670D9">
        <w:rPr>
          <w:rFonts w:ascii="Times New Roman" w:eastAsia="Times New Roman" w:hAnsi="Times New Roman" w:cs="Times New Roman"/>
          <w:sz w:val="20"/>
          <w:szCs w:val="20"/>
        </w:rPr>
        <w:t>24,328</w:t>
      </w:r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annotated genes </w:t>
      </w:r>
      <w:r w:rsidR="005C38B6">
        <w:rPr>
          <w:rFonts w:ascii="Times New Roman" w:eastAsia="Times New Roman" w:hAnsi="Times New Roman" w:cs="Times New Roman"/>
          <w:sz w:val="20"/>
          <w:szCs w:val="20"/>
        </w:rPr>
        <w:t>from</w:t>
      </w:r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proofErr w:type="spellStart"/>
      <w:r w:rsidR="009670D9">
        <w:rPr>
          <w:rFonts w:ascii="Times New Roman" w:eastAsia="Times New Roman" w:hAnsi="Times New Roman" w:cs="Times New Roman"/>
          <w:sz w:val="20"/>
          <w:szCs w:val="20"/>
        </w:rPr>
        <w:t>HdrR</w:t>
      </w:r>
      <w:proofErr w:type="spellEnd"/>
      <w:r w:rsidR="009670D9">
        <w:rPr>
          <w:rFonts w:ascii="Times New Roman" w:eastAsia="Times New Roman" w:hAnsi="Times New Roman" w:cs="Times New Roman"/>
          <w:sz w:val="20"/>
          <w:szCs w:val="20"/>
        </w:rPr>
        <w:t xml:space="preserve"> reference.  </w:t>
      </w:r>
    </w:p>
    <w:p w14:paraId="3C192752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C063F32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B322CE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14AF0CF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30502F9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4FF921" w14:textId="77777777" w:rsidR="00336836" w:rsidRDefault="0055468A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114300" distB="114300" distL="114300" distR="114300" wp14:anchorId="077E57C5" wp14:editId="14F9D851">
            <wp:extent cx="5731200" cy="35814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152554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345E627" w14:textId="462035B0" w:rsidR="00336836" w:rsidRDefault="0055468A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Figure </w:t>
      </w:r>
      <w:r w:rsidR="00B503BE">
        <w:rPr>
          <w:rFonts w:ascii="Times New Roman" w:eastAsia="Times New Roman" w:hAnsi="Times New Roman" w:cs="Times New Roman"/>
          <w:b/>
          <w:sz w:val="20"/>
          <w:szCs w:val="20"/>
        </w:rPr>
        <w:t>S3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log</w:t>
      </w:r>
      <w:r>
        <w:rPr>
          <w:rFonts w:ascii="Times New Roman" w:eastAsia="Times New Roman" w:hAnsi="Times New Roman" w:cs="Times New Roman"/>
          <w:i/>
          <w:sz w:val="20"/>
          <w:szCs w:val="20"/>
          <w:vertAlign w:val="subscript"/>
        </w:rPr>
        <w:t>10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lengths and counts of deletion (DEL) and insertion (INS) structural variants before and after polishing with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SViper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 </w:t>
      </w:r>
    </w:p>
    <w:p w14:paraId="1B9B4076" w14:textId="77777777" w:rsidR="00336836" w:rsidRDefault="00336836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2E049DA0" w14:textId="77777777" w:rsidR="00336836" w:rsidRDefault="0055468A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page"/>
      </w:r>
    </w:p>
    <w:p w14:paraId="021FC3CB" w14:textId="77777777" w:rsidR="00336836" w:rsidRDefault="0055468A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lastRenderedPageBreak/>
        <w:drawing>
          <wp:inline distT="114300" distB="114300" distL="114300" distR="114300" wp14:anchorId="4FEC544C" wp14:editId="386ABC47">
            <wp:extent cx="5376863" cy="7507142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6863" cy="7507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7A6ECDC" w14:textId="77777777" w:rsidR="00336836" w:rsidRDefault="0033683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9D96A8B" w14:textId="0CA8B7F8" w:rsidR="00336836" w:rsidRDefault="0055468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Figure </w:t>
      </w:r>
      <w:r w:rsidR="00463161">
        <w:rPr>
          <w:rFonts w:ascii="Times New Roman" w:eastAsia="Times New Roman" w:hAnsi="Times New Roman" w:cs="Times New Roman"/>
          <w:b/>
          <w:sz w:val="20"/>
          <w:szCs w:val="20"/>
        </w:rPr>
        <w:t>S4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Repeat content in the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HdrR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genome based on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RepeatMasker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results (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Methods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).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Proportion of repeat content per-chromosome.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B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>. log</w:t>
      </w:r>
      <w:r>
        <w:rPr>
          <w:rFonts w:ascii="Times New Roman" w:eastAsia="Times New Roman" w:hAnsi="Times New Roman" w:cs="Times New Roman"/>
          <w:i/>
          <w:sz w:val="20"/>
          <w:szCs w:val="20"/>
          <w:vertAlign w:val="subscript"/>
        </w:rPr>
        <w:t>10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of repeat lengths and counts per repeat class. “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Misc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” includes all repeats assigned to their own specific class, for example “(GAG)n” or “(GATCCA)n”.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i/>
          <w:sz w:val="20"/>
          <w:szCs w:val="20"/>
        </w:rPr>
        <w:t>Circos</w:t>
      </w:r>
      <w:proofErr w:type="spellEnd"/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plot showing repeat length (radial axes) by locus (angular axis) and repeat class (track). The code and methods used to generate the figure are set out here: </w:t>
      </w:r>
      <w:hyperlink r:id="rId8">
        <w:r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https://birneylab.github.io/MIKK_genome_main_paper/20210409_repeats.html</w:t>
        </w:r>
      </w:hyperlink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4D9574D" w14:textId="77777777" w:rsidR="00336836" w:rsidRDefault="0033683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0F6E1BD" w14:textId="77777777" w:rsidR="00336836" w:rsidRDefault="0055468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lastRenderedPageBreak/>
        <w:drawing>
          <wp:inline distT="114300" distB="114300" distL="114300" distR="114300" wp14:anchorId="71C5D35F" wp14:editId="4D4ACCB6">
            <wp:extent cx="5731200" cy="499110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991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3EF569" w14:textId="77777777" w:rsidR="00336836" w:rsidRDefault="0033683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59B09C" w14:textId="77777777" w:rsidR="00336836" w:rsidRDefault="0033683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D926FD" w14:textId="675EB8E0" w:rsidR="00336836" w:rsidRDefault="0055468A">
      <w:pPr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Figure </w:t>
      </w:r>
      <w:r w:rsidR="00463161">
        <w:rPr>
          <w:rFonts w:ascii="Times New Roman" w:eastAsia="Times New Roman" w:hAnsi="Times New Roman" w:cs="Times New Roman"/>
          <w:b/>
          <w:sz w:val="20"/>
          <w:szCs w:val="20"/>
        </w:rPr>
        <w:t>S5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Median methylation log likelihood against Salmon transcripts per million for liver and heart at 4 of the top differentially methylated regions (DMRs).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A: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Methylation log likelihood against salmon TPM at the </w:t>
      </w:r>
      <w:r>
        <w:rPr>
          <w:rFonts w:ascii="Times New Roman" w:eastAsia="Times New Roman" w:hAnsi="Times New Roman" w:cs="Times New Roman"/>
          <w:i/>
        </w:rPr>
        <w:t xml:space="preserve">onecut3a gene (liver is shown in blue and heart is shown in red),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B: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Methylation log likelihood against salmon TPM at the </w:t>
      </w:r>
      <w:proofErr w:type="spellStart"/>
      <w:r>
        <w:rPr>
          <w:rFonts w:ascii="Times New Roman" w:eastAsia="Times New Roman" w:hAnsi="Times New Roman" w:cs="Times New Roman"/>
          <w:i/>
        </w:rPr>
        <w:t>gart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gene (liver is shown in blue and heart is shown in red),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C: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Methylation log likelihood against salmon TPM at the </w:t>
      </w:r>
      <w:r>
        <w:rPr>
          <w:rFonts w:ascii="Times New Roman" w:eastAsia="Times New Roman" w:hAnsi="Times New Roman" w:cs="Times New Roman"/>
          <w:i/>
        </w:rPr>
        <w:t xml:space="preserve">dnase1 gene (liver is shown in blue and heart is shown in red),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D: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Methylation log likelihood against salmon TPM at the </w:t>
      </w:r>
      <w:proofErr w:type="spellStart"/>
      <w:r>
        <w:rPr>
          <w:rFonts w:ascii="Times New Roman" w:eastAsia="Times New Roman" w:hAnsi="Times New Roman" w:cs="Times New Roman"/>
          <w:i/>
        </w:rPr>
        <w:t>galm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gene (liver is shown in blue and heart is shown in red).</w:t>
      </w:r>
    </w:p>
    <w:p w14:paraId="40B99B57" w14:textId="77777777" w:rsidR="00336836" w:rsidRDefault="00336836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B132E4E" w14:textId="77777777" w:rsidR="00336836" w:rsidRDefault="00336836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sectPr w:rsidR="0033683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836"/>
    <w:rsid w:val="001F38CD"/>
    <w:rsid w:val="00336836"/>
    <w:rsid w:val="003D0639"/>
    <w:rsid w:val="00463161"/>
    <w:rsid w:val="0055468A"/>
    <w:rsid w:val="005C38B6"/>
    <w:rsid w:val="009670D9"/>
    <w:rsid w:val="00B5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9491D1"/>
  <w15:docId w15:val="{17BD2D59-B101-6946-9F52-2EB6630A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rneylab.github.io/MIKK_genome_main_paper/20210409_repeats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Tomas Fitzgerald</cp:lastModifiedBy>
  <cp:revision>5</cp:revision>
  <dcterms:created xsi:type="dcterms:W3CDTF">2021-12-15T11:10:00Z</dcterms:created>
  <dcterms:modified xsi:type="dcterms:W3CDTF">2021-12-16T10:59:00Z</dcterms:modified>
</cp:coreProperties>
</file>