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64AA7" w14:textId="08D68BB6" w:rsidR="008912E5" w:rsidRDefault="008912E5" w:rsidP="008912E5">
      <w:pPr>
        <w:rPr>
          <w:rFonts w:ascii="Times New Roman" w:eastAsia="Times New Roman" w:hAnsi="Times New Roman" w:cs="Times New Roman"/>
        </w:rPr>
      </w:pPr>
      <w:r w:rsidRPr="008912E5">
        <w:rPr>
          <w:rFonts w:ascii="Times New Roman" w:eastAsia="Times New Roman" w:hAnsi="Times New Roman" w:cs="Times New Roman"/>
        </w:rPr>
        <w:t xml:space="preserve">Supplementary Figures for </w:t>
      </w:r>
    </w:p>
    <w:p w14:paraId="29BA7141" w14:textId="70978910" w:rsidR="008912E5" w:rsidRDefault="008912E5" w:rsidP="008912E5">
      <w:pPr>
        <w:rPr>
          <w:rFonts w:ascii="Times New Roman" w:eastAsia="Times New Roman" w:hAnsi="Times New Roman" w:cs="Times New Roman"/>
        </w:rPr>
      </w:pPr>
    </w:p>
    <w:p w14:paraId="0C0DC1E3" w14:textId="77777777" w:rsidR="008912E5" w:rsidRDefault="008912E5" w:rsidP="008912E5">
      <w:pPr>
        <w:spacing w:line="480" w:lineRule="auto"/>
        <w:jc w:val="both"/>
        <w:rPr>
          <w:rFonts w:ascii="Times New Roman" w:eastAsia="Times New Roman" w:hAnsi="Times New Roman" w:cs="Times New Roman"/>
          <w:b/>
          <w:bCs/>
          <w:sz w:val="28"/>
          <w:szCs w:val="28"/>
        </w:rPr>
      </w:pPr>
    </w:p>
    <w:p w14:paraId="2A7466E9" w14:textId="7BF89F8C" w:rsidR="008912E5" w:rsidRPr="008912E5" w:rsidRDefault="008912E5" w:rsidP="008912E5">
      <w:pPr>
        <w:spacing w:line="480" w:lineRule="auto"/>
        <w:jc w:val="both"/>
        <w:rPr>
          <w:rFonts w:ascii="Times New Roman" w:eastAsia="Times New Roman" w:hAnsi="Times New Roman" w:cs="Times New Roman"/>
          <w:b/>
          <w:bCs/>
          <w:sz w:val="28"/>
          <w:szCs w:val="28"/>
        </w:rPr>
      </w:pPr>
      <w:r w:rsidRPr="008912E5">
        <w:rPr>
          <w:rFonts w:ascii="Times New Roman" w:eastAsia="Times New Roman" w:hAnsi="Times New Roman" w:cs="Times New Roman"/>
          <w:b/>
          <w:bCs/>
          <w:sz w:val="28"/>
          <w:szCs w:val="28"/>
        </w:rPr>
        <w:t>Balanced mitochondrial and cytosolic translatomes underlie the biogenesis of human respiratory complexes</w:t>
      </w:r>
    </w:p>
    <w:p w14:paraId="0D10B07A" w14:textId="36522107" w:rsidR="008912E5" w:rsidRDefault="008912E5" w:rsidP="008912E5">
      <w:pPr>
        <w:rPr>
          <w:rFonts w:ascii="Times New Roman" w:eastAsia="Times New Roman" w:hAnsi="Times New Roman" w:cs="Times New Roman"/>
        </w:rPr>
      </w:pPr>
    </w:p>
    <w:p w14:paraId="0C7EEA8B" w14:textId="77777777" w:rsidR="008912E5" w:rsidRDefault="008912E5" w:rsidP="008912E5">
      <w:pPr>
        <w:spacing w:line="480" w:lineRule="auto"/>
        <w:jc w:val="both"/>
        <w:rPr>
          <w:rFonts w:ascii="Times New Roman" w:eastAsia="Times New Roman" w:hAnsi="Times New Roman" w:cs="Times New Roman"/>
        </w:rPr>
      </w:pPr>
    </w:p>
    <w:p w14:paraId="7D7FCCD9" w14:textId="48F224E9" w:rsidR="008912E5" w:rsidRDefault="008912E5" w:rsidP="008912E5">
      <w:pPr>
        <w:spacing w:line="480" w:lineRule="auto"/>
        <w:jc w:val="both"/>
        <w:rPr>
          <w:rFonts w:ascii="Times New Roman" w:eastAsia="Times New Roman" w:hAnsi="Times New Roman" w:cs="Times New Roman"/>
        </w:rPr>
      </w:pPr>
      <w:r>
        <w:rPr>
          <w:rFonts w:ascii="Times New Roman" w:eastAsia="Times New Roman" w:hAnsi="Times New Roman" w:cs="Times New Roman"/>
        </w:rPr>
        <w:t>Iliana Soto</w:t>
      </w:r>
      <w:r>
        <w:rPr>
          <w:rFonts w:ascii="Times New Roman" w:eastAsia="Times New Roman" w:hAnsi="Times New Roman" w:cs="Times New Roman"/>
          <w:vertAlign w:val="superscript"/>
        </w:rPr>
        <w:t>1,#</w:t>
      </w:r>
      <w:r>
        <w:rPr>
          <w:rFonts w:ascii="Times New Roman" w:eastAsia="Times New Roman" w:hAnsi="Times New Roman" w:cs="Times New Roman"/>
        </w:rPr>
        <w:t>, Mary Couvillion</w:t>
      </w:r>
      <w:r>
        <w:rPr>
          <w:rFonts w:ascii="Times New Roman" w:eastAsia="Times New Roman" w:hAnsi="Times New Roman" w:cs="Times New Roman"/>
          <w:vertAlign w:val="superscript"/>
        </w:rPr>
        <w:t>1,#</w:t>
      </w:r>
      <w:r>
        <w:rPr>
          <w:rFonts w:ascii="Times New Roman" w:eastAsia="Times New Roman" w:hAnsi="Times New Roman" w:cs="Times New Roman"/>
        </w:rPr>
        <w:t>, Katja G. Hansen</w:t>
      </w:r>
      <w:r>
        <w:rPr>
          <w:rFonts w:ascii="Times New Roman" w:eastAsia="Times New Roman" w:hAnsi="Times New Roman" w:cs="Times New Roman"/>
          <w:vertAlign w:val="superscript"/>
        </w:rPr>
        <w:t>1</w:t>
      </w:r>
      <w:r>
        <w:rPr>
          <w:rFonts w:ascii="Times New Roman" w:eastAsia="Times New Roman" w:hAnsi="Times New Roman" w:cs="Times New Roman"/>
        </w:rPr>
        <w:t>, Erik McShane</w:t>
      </w:r>
      <w:r>
        <w:rPr>
          <w:rFonts w:ascii="Times New Roman" w:eastAsia="Times New Roman" w:hAnsi="Times New Roman" w:cs="Times New Roman"/>
          <w:vertAlign w:val="superscript"/>
        </w:rPr>
        <w:t>1</w:t>
      </w:r>
      <w:r>
        <w:rPr>
          <w:rFonts w:ascii="Times New Roman" w:eastAsia="Times New Roman" w:hAnsi="Times New Roman" w:cs="Times New Roman"/>
        </w:rPr>
        <w:t>, J. Conor Moran</w:t>
      </w:r>
      <w:r>
        <w:rPr>
          <w:rFonts w:ascii="Times New Roman" w:eastAsia="Times New Roman" w:hAnsi="Times New Roman" w:cs="Times New Roman"/>
          <w:vertAlign w:val="superscript"/>
        </w:rPr>
        <w:t>2</w:t>
      </w:r>
      <w:r>
        <w:rPr>
          <w:rFonts w:ascii="Times New Roman" w:eastAsia="Times New Roman" w:hAnsi="Times New Roman" w:cs="Times New Roman"/>
        </w:rPr>
        <w:t>, Antoni Barrientos</w:t>
      </w:r>
      <w:r>
        <w:rPr>
          <w:rFonts w:ascii="Times New Roman" w:eastAsia="Times New Roman" w:hAnsi="Times New Roman" w:cs="Times New Roman"/>
          <w:vertAlign w:val="superscript"/>
        </w:rPr>
        <w:t>2</w:t>
      </w:r>
      <w:r>
        <w:rPr>
          <w:rFonts w:ascii="Times New Roman" w:eastAsia="Times New Roman" w:hAnsi="Times New Roman" w:cs="Times New Roman"/>
        </w:rPr>
        <w:t>, L. Stirling Churchman</w:t>
      </w:r>
      <w:r>
        <w:rPr>
          <w:rFonts w:ascii="Times New Roman" w:eastAsia="Times New Roman" w:hAnsi="Times New Roman" w:cs="Times New Roman"/>
          <w:vertAlign w:val="superscript"/>
        </w:rPr>
        <w:t>1</w:t>
      </w:r>
      <w:r>
        <w:rPr>
          <w:rFonts w:ascii="Times New Roman" w:eastAsia="Times New Roman" w:hAnsi="Times New Roman" w:cs="Times New Roman"/>
        </w:rPr>
        <w:t>*</w:t>
      </w:r>
    </w:p>
    <w:p w14:paraId="4268C8F5" w14:textId="77777777" w:rsidR="008912E5" w:rsidRDefault="008912E5" w:rsidP="008912E5">
      <w:pPr>
        <w:spacing w:line="480" w:lineRule="auto"/>
        <w:jc w:val="both"/>
        <w:rPr>
          <w:rFonts w:ascii="Times New Roman" w:eastAsia="Times New Roman" w:hAnsi="Times New Roman" w:cs="Times New Roman"/>
        </w:rPr>
      </w:pPr>
    </w:p>
    <w:p w14:paraId="5231D4A3" w14:textId="77777777" w:rsidR="008912E5" w:rsidRDefault="008912E5" w:rsidP="008912E5">
      <w:pPr>
        <w:spacing w:line="480" w:lineRule="auto"/>
        <w:jc w:val="both"/>
        <w:rPr>
          <w:rFonts w:ascii="Times New Roman" w:eastAsia="Times New Roman" w:hAnsi="Times New Roman" w:cs="Times New Roman"/>
        </w:rPr>
      </w:pPr>
      <w:r>
        <w:rPr>
          <w:rFonts w:ascii="Times New Roman" w:eastAsia="Times New Roman" w:hAnsi="Times New Roman" w:cs="Times New Roman"/>
          <w:vertAlign w:val="superscript"/>
        </w:rPr>
        <w:t>1</w:t>
      </w:r>
      <w:r>
        <w:rPr>
          <w:rFonts w:ascii="Times New Roman" w:eastAsia="Times New Roman" w:hAnsi="Times New Roman" w:cs="Times New Roman"/>
        </w:rPr>
        <w:t xml:space="preserve">Blavatnik Institute, Department of Genetics, Harvard Medical School, Boston, Massachusetts, 02115 USA </w:t>
      </w:r>
    </w:p>
    <w:p w14:paraId="5CB74249" w14:textId="77777777" w:rsidR="008912E5" w:rsidRDefault="008912E5" w:rsidP="008912E5">
      <w:pPr>
        <w:spacing w:line="480" w:lineRule="auto"/>
        <w:jc w:val="both"/>
        <w:rPr>
          <w:rFonts w:ascii="Times New Roman" w:eastAsia="Times New Roman" w:hAnsi="Times New Roman" w:cs="Times New Roman"/>
        </w:rPr>
      </w:pPr>
      <w:r>
        <w:rPr>
          <w:rFonts w:ascii="Times New Roman" w:eastAsia="Times New Roman" w:hAnsi="Times New Roman" w:cs="Times New Roman"/>
          <w:vertAlign w:val="superscript"/>
        </w:rPr>
        <w:t>2</w:t>
      </w:r>
      <w:r>
        <w:rPr>
          <w:rFonts w:ascii="Times New Roman" w:eastAsia="Times New Roman" w:hAnsi="Times New Roman" w:cs="Times New Roman"/>
        </w:rPr>
        <w:t>Department of Neurology, University of Miami Miller School of Medicine, Miami, FL 33136 USA</w:t>
      </w:r>
    </w:p>
    <w:p w14:paraId="7D76D8E3" w14:textId="77777777" w:rsidR="008912E5" w:rsidRDefault="008912E5" w:rsidP="008912E5">
      <w:pPr>
        <w:spacing w:line="480" w:lineRule="auto"/>
        <w:jc w:val="both"/>
        <w:rPr>
          <w:rFonts w:ascii="Times New Roman" w:eastAsia="Times New Roman" w:hAnsi="Times New Roman" w:cs="Times New Roman"/>
        </w:rPr>
      </w:pPr>
      <w:r>
        <w:rPr>
          <w:rFonts w:ascii="Times New Roman" w:eastAsia="Times New Roman" w:hAnsi="Times New Roman" w:cs="Times New Roman"/>
        </w:rPr>
        <w:t>*Corresponding author. Email: churchman@genetics.med.harvard.edu</w:t>
      </w:r>
    </w:p>
    <w:p w14:paraId="536B6BA8" w14:textId="55E12A54" w:rsidR="008912E5" w:rsidRDefault="008912E5" w:rsidP="008912E5">
      <w:pPr>
        <w:spacing w:line="480" w:lineRule="auto"/>
        <w:jc w:val="both"/>
        <w:rPr>
          <w:rFonts w:ascii="Times New Roman" w:eastAsia="Times New Roman" w:hAnsi="Times New Roman" w:cs="Times New Roman"/>
        </w:rPr>
      </w:pPr>
      <w:r>
        <w:rPr>
          <w:rFonts w:ascii="Times New Roman" w:eastAsia="Times New Roman" w:hAnsi="Times New Roman" w:cs="Times New Roman"/>
          <w:vertAlign w:val="superscript"/>
        </w:rPr>
        <w:t>#</w:t>
      </w:r>
      <w:r>
        <w:rPr>
          <w:rFonts w:ascii="Times New Roman" w:eastAsia="Times New Roman" w:hAnsi="Times New Roman" w:cs="Times New Roman"/>
        </w:rPr>
        <w:t>these authors contributed equally to this work</w:t>
      </w:r>
    </w:p>
    <w:p w14:paraId="3A21C3AA" w14:textId="1EF9D4CE" w:rsidR="00000F3D" w:rsidRDefault="00000F3D" w:rsidP="008912E5">
      <w:pPr>
        <w:spacing w:line="480" w:lineRule="auto"/>
        <w:jc w:val="both"/>
        <w:rPr>
          <w:rFonts w:ascii="Times New Roman" w:eastAsia="Times New Roman" w:hAnsi="Times New Roman" w:cs="Times New Roman"/>
        </w:rPr>
      </w:pPr>
    </w:p>
    <w:p w14:paraId="71659BDB" w14:textId="6219032A" w:rsidR="00000F3D" w:rsidRDefault="00000F3D" w:rsidP="008912E5">
      <w:pPr>
        <w:spacing w:line="480" w:lineRule="auto"/>
        <w:jc w:val="both"/>
        <w:rPr>
          <w:rFonts w:ascii="Times New Roman" w:eastAsia="Times New Roman" w:hAnsi="Times New Roman" w:cs="Times New Roman"/>
        </w:rPr>
      </w:pPr>
    </w:p>
    <w:p w14:paraId="749B3D98" w14:textId="0296DA2C" w:rsidR="00000F3D" w:rsidRDefault="00000F3D" w:rsidP="008912E5">
      <w:pPr>
        <w:spacing w:line="480" w:lineRule="auto"/>
        <w:jc w:val="both"/>
        <w:rPr>
          <w:rFonts w:ascii="Times New Roman" w:eastAsia="Times New Roman" w:hAnsi="Times New Roman" w:cs="Times New Roman"/>
        </w:rPr>
      </w:pPr>
    </w:p>
    <w:p w14:paraId="703C7777" w14:textId="5ABFF3E3" w:rsidR="00000F3D" w:rsidRDefault="00000F3D" w:rsidP="008912E5">
      <w:pPr>
        <w:spacing w:line="480" w:lineRule="auto"/>
        <w:jc w:val="both"/>
        <w:rPr>
          <w:rFonts w:ascii="Times New Roman" w:eastAsia="Times New Roman" w:hAnsi="Times New Roman" w:cs="Times New Roman"/>
        </w:rPr>
      </w:pPr>
    </w:p>
    <w:p w14:paraId="10FC2C5A" w14:textId="353E26DA" w:rsidR="00000F3D" w:rsidRDefault="00000F3D" w:rsidP="008912E5">
      <w:pPr>
        <w:spacing w:line="480" w:lineRule="auto"/>
        <w:jc w:val="both"/>
        <w:rPr>
          <w:rFonts w:ascii="Times New Roman" w:eastAsia="Times New Roman" w:hAnsi="Times New Roman" w:cs="Times New Roman"/>
        </w:rPr>
      </w:pPr>
    </w:p>
    <w:p w14:paraId="2C654ED7" w14:textId="458E592F" w:rsidR="00000F3D" w:rsidRDefault="00000F3D" w:rsidP="008912E5">
      <w:pPr>
        <w:spacing w:line="480" w:lineRule="auto"/>
        <w:jc w:val="both"/>
        <w:rPr>
          <w:rFonts w:ascii="Times New Roman" w:eastAsia="Times New Roman" w:hAnsi="Times New Roman" w:cs="Times New Roman"/>
        </w:rPr>
      </w:pPr>
    </w:p>
    <w:p w14:paraId="6DE69B61" w14:textId="42E3D913" w:rsidR="00000F3D" w:rsidRDefault="00000F3D" w:rsidP="008912E5">
      <w:pPr>
        <w:spacing w:line="480" w:lineRule="auto"/>
        <w:jc w:val="both"/>
        <w:rPr>
          <w:rFonts w:ascii="Times New Roman" w:eastAsia="Times New Roman" w:hAnsi="Times New Roman" w:cs="Times New Roman"/>
        </w:rPr>
      </w:pPr>
    </w:p>
    <w:p w14:paraId="3A0B90BC" w14:textId="486D41A9" w:rsidR="00000F3D" w:rsidRDefault="00000F3D" w:rsidP="008912E5">
      <w:pPr>
        <w:spacing w:line="480" w:lineRule="auto"/>
        <w:jc w:val="both"/>
        <w:rPr>
          <w:rFonts w:ascii="Times New Roman" w:eastAsia="Times New Roman" w:hAnsi="Times New Roman" w:cs="Times New Roman"/>
        </w:rPr>
      </w:pPr>
      <w:r w:rsidRPr="00000F3D">
        <w:rPr>
          <w:rFonts w:ascii="Times New Roman" w:eastAsia="Times New Roman" w:hAnsi="Times New Roman" w:cs="Times New Roman"/>
          <w:noProof/>
        </w:rPr>
        <w:lastRenderedPageBreak/>
        <w:drawing>
          <wp:inline distT="0" distB="0" distL="0" distR="0" wp14:anchorId="227CBDCC" wp14:editId="36C7E66E">
            <wp:extent cx="5943600" cy="6387465"/>
            <wp:effectExtent l="0" t="0" r="0" b="635"/>
            <wp:docPr id="1" name="Picture 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engineering drawing&#10;&#10;Description automatically generated"/>
                    <pic:cNvPicPr/>
                  </pic:nvPicPr>
                  <pic:blipFill>
                    <a:blip r:embed="rId4"/>
                    <a:stretch>
                      <a:fillRect/>
                    </a:stretch>
                  </pic:blipFill>
                  <pic:spPr>
                    <a:xfrm>
                      <a:off x="0" y="0"/>
                      <a:ext cx="5943600" cy="6387465"/>
                    </a:xfrm>
                    <a:prstGeom prst="rect">
                      <a:avLst/>
                    </a:prstGeom>
                  </pic:spPr>
                </pic:pic>
              </a:graphicData>
            </a:graphic>
          </wp:inline>
        </w:drawing>
      </w:r>
    </w:p>
    <w:p w14:paraId="35655211" w14:textId="0B0A2E38" w:rsidR="00000F3D" w:rsidRDefault="00000F3D" w:rsidP="008912E5">
      <w:pPr>
        <w:spacing w:line="480" w:lineRule="auto"/>
        <w:jc w:val="both"/>
        <w:rPr>
          <w:rFonts w:ascii="Times New Roman" w:eastAsia="Times New Roman" w:hAnsi="Times New Roman" w:cs="Times New Roman"/>
        </w:rPr>
      </w:pPr>
    </w:p>
    <w:p w14:paraId="162E2AB2" w14:textId="594A1257" w:rsidR="00000F3D" w:rsidRDefault="00000F3D" w:rsidP="00000F3D">
      <w:pPr>
        <w:jc w:val="both"/>
        <w:rPr>
          <w:rFonts w:ascii="Times New Roman" w:eastAsia="Times New Roman" w:hAnsi="Times New Roman" w:cs="Times New Roman"/>
        </w:rPr>
      </w:pPr>
      <w:r>
        <w:rPr>
          <w:rFonts w:ascii="Times New Roman" w:eastAsia="Times New Roman" w:hAnsi="Times New Roman" w:cs="Times New Roman"/>
          <w:b/>
        </w:rPr>
        <w:t xml:space="preserve">Figure S1. Optimization and adaptability of mitoribosome profiling. </w:t>
      </w:r>
      <w:r>
        <w:rPr>
          <w:rFonts w:ascii="Times New Roman" w:eastAsia="Times New Roman" w:hAnsi="Times New Roman" w:cs="Times New Roman"/>
        </w:rPr>
        <w:t>(</w:t>
      </w:r>
      <w:r>
        <w:rPr>
          <w:rFonts w:ascii="Times New Roman" w:eastAsia="Times New Roman" w:hAnsi="Times New Roman" w:cs="Times New Roman"/>
          <w:b/>
        </w:rPr>
        <w:t>A</w:t>
      </w:r>
      <w:r>
        <w:rPr>
          <w:rFonts w:ascii="Times New Roman" w:eastAsia="Times New Roman" w:hAnsi="Times New Roman" w:cs="Times New Roman"/>
        </w:rPr>
        <w:t xml:space="preserve">) Mitoribosome extraction efficiency after employing previously established (Rooijers et al., 2013) solubilization conditions (1), and our optimized lysis buffer (2). HeLa S3 cells were lysed with either lysis composition, followed by clarification of the lysates. Equal volumes of total (T) and clarified lysates (CL) were subjected to western blots against a mitoribosome subunit antibody (MRPL12). (L) indicates the protein marker used in kilodaltons (kDa). Quantification from two experiments of the total and post-clarification signals revealed the optimized conditions allow for the recovery </w:t>
      </w:r>
      <w:r>
        <w:rPr>
          <w:rFonts w:ascii="Times New Roman" w:eastAsia="Times New Roman" w:hAnsi="Times New Roman" w:cs="Times New Roman"/>
        </w:rPr>
        <w:lastRenderedPageBreak/>
        <w:t>of &gt;98% of mitoribosomes, compared to only 50% for the existing protocols. Error bars represent the range between two replicates. (</w:t>
      </w:r>
      <w:r>
        <w:rPr>
          <w:rFonts w:ascii="Times New Roman" w:eastAsia="Times New Roman" w:hAnsi="Times New Roman" w:cs="Times New Roman"/>
          <w:b/>
        </w:rPr>
        <w:t>B</w:t>
      </w:r>
      <w:r>
        <w:rPr>
          <w:rFonts w:ascii="Times New Roman" w:eastAsia="Times New Roman" w:hAnsi="Times New Roman" w:cs="Times New Roman"/>
        </w:rPr>
        <w:t>)  Isolation of mitomonosome (55S) footprints from mitochondrial polysomes. Digested (+RNase I) and undigested (-RNase I) HeLa S3 lysates were clarified and loaded onto linear 10-50% sucrose gradients. Detection of mitoribosomes in each fraction (top panel) was achieved by western blots against proteins of the large (MRPL12) and small subunit (MRPS18B). Signals of both subunits from four experiments were quantified, showing a periodic trend (lower panel). (</w:t>
      </w:r>
      <w:r>
        <w:rPr>
          <w:rFonts w:ascii="Times New Roman" w:eastAsia="Times New Roman" w:hAnsi="Times New Roman" w:cs="Times New Roman"/>
          <w:b/>
        </w:rPr>
        <w:t>C</w:t>
      </w:r>
      <w:r>
        <w:rPr>
          <w:rFonts w:ascii="Times New Roman" w:eastAsia="Times New Roman" w:hAnsi="Times New Roman" w:cs="Times New Roman"/>
        </w:rPr>
        <w:t>) Footprints recovered from the mitomonosome fraction (Fraction 6) were subjected to northern blot (</w:t>
      </w:r>
      <w:r>
        <w:rPr>
          <w:rFonts w:ascii="Times New Roman" w:eastAsia="Times New Roman" w:hAnsi="Times New Roman" w:cs="Times New Roman"/>
          <w:i/>
        </w:rPr>
        <w:t>MT-CO2</w:t>
      </w:r>
      <w:r>
        <w:rPr>
          <w:rFonts w:ascii="Times New Roman" w:eastAsia="Times New Roman" w:hAnsi="Times New Roman" w:cs="Times New Roman"/>
        </w:rPr>
        <w:t xml:space="preserve"> probe) for assessment of size distribution. (</w:t>
      </w:r>
      <w:r>
        <w:rPr>
          <w:rFonts w:ascii="Times New Roman" w:eastAsia="Times New Roman" w:hAnsi="Times New Roman" w:cs="Times New Roman"/>
          <w:b/>
        </w:rPr>
        <w:t>D</w:t>
      </w:r>
      <w:r>
        <w:rPr>
          <w:rFonts w:ascii="Times New Roman" w:eastAsia="Times New Roman" w:hAnsi="Times New Roman" w:cs="Times New Roman"/>
        </w:rPr>
        <w:t>) Mitoribosome isolation conditions were readily adaptable to other cell lines. As shown in</w:t>
      </w:r>
      <w:r>
        <w:rPr>
          <w:rFonts w:ascii="Times New Roman" w:eastAsia="Times New Roman" w:hAnsi="Times New Roman" w:cs="Times New Roman"/>
          <w:b/>
        </w:rPr>
        <w:t xml:space="preserve"> (</w:t>
      </w:r>
      <w:r>
        <w:rPr>
          <w:rFonts w:ascii="Times New Roman" w:eastAsia="Times New Roman" w:hAnsi="Times New Roman" w:cs="Times New Roman"/>
        </w:rPr>
        <w:t>B</w:t>
      </w:r>
      <w:r>
        <w:rPr>
          <w:rFonts w:ascii="Times New Roman" w:eastAsia="Times New Roman" w:hAnsi="Times New Roman" w:cs="Times New Roman"/>
          <w:b/>
        </w:rPr>
        <w:t>)</w:t>
      </w:r>
      <w:r>
        <w:rPr>
          <w:rFonts w:ascii="Times New Roman" w:eastAsia="Times New Roman" w:hAnsi="Times New Roman" w:cs="Times New Roman"/>
        </w:rPr>
        <w:t xml:space="preserve"> for HeLa S3 cells, digested lysates from human fibroblasts, human myoblasts and mouse NIH3T3 were used to generate and isolate mitoribosome footprints following the sedimentation of the mitomonosome (Fraction 6 RNA) by western blots of large (MRPL12) and small (MRPS18B) mitoribosome subunits (left panels). Footprint size was assessed by northern blot (right panels). (</w:t>
      </w:r>
      <w:r>
        <w:rPr>
          <w:rFonts w:ascii="Times New Roman" w:eastAsia="Times New Roman" w:hAnsi="Times New Roman" w:cs="Times New Roman"/>
          <w:b/>
        </w:rPr>
        <w:t>E</w:t>
      </w:r>
      <w:r>
        <w:rPr>
          <w:rFonts w:ascii="Times New Roman" w:eastAsia="Times New Roman" w:hAnsi="Times New Roman" w:cs="Times New Roman"/>
        </w:rPr>
        <w:t xml:space="preserve">) Percentage of reads in each mitoribosome profiling sample that maps to mitochondrial mRNAs. Bars are colored by cell type with data from this work in yellow/orange and published data in blue. Gray box highlights published wild type, untreated samples from BJ fibroblasts (Rooijers et al., 2013) (Fibro_Rooijers-1, -2), HEK293T cells (Gopalakrishna et al., 2019; Pearce et al., 2017) (HEK_Pearce-1, HEK_Pearce-2), and HCT116 cells (Li et al., 2021) (HCT116_Li-1, -2) analyzed in parallel. Full sample compositions are shown in </w:t>
      </w:r>
      <w:r w:rsidR="001E799C" w:rsidRPr="001E799C">
        <w:rPr>
          <w:rFonts w:ascii="Times New Roman" w:eastAsia="Times New Roman" w:hAnsi="Times New Roman" w:cs="Times New Roman"/>
          <w:b/>
          <w:bCs/>
        </w:rPr>
        <w:t xml:space="preserve">Additional File 2: </w:t>
      </w:r>
      <w:r w:rsidRPr="001E799C">
        <w:rPr>
          <w:rFonts w:ascii="Times New Roman" w:eastAsia="Times New Roman" w:hAnsi="Times New Roman" w:cs="Times New Roman"/>
          <w:b/>
          <w:bCs/>
        </w:rPr>
        <w:t>Table S1</w:t>
      </w:r>
      <w:r>
        <w:rPr>
          <w:rFonts w:ascii="Times New Roman" w:eastAsia="Times New Roman" w:hAnsi="Times New Roman" w:cs="Times New Roman"/>
        </w:rPr>
        <w:t>. (</w:t>
      </w:r>
      <w:r>
        <w:rPr>
          <w:rFonts w:ascii="Times New Roman" w:eastAsia="Times New Roman" w:hAnsi="Times New Roman" w:cs="Times New Roman"/>
          <w:b/>
        </w:rPr>
        <w:t>F</w:t>
      </w:r>
      <w:r>
        <w:rPr>
          <w:rFonts w:ascii="Times New Roman" w:eastAsia="Times New Roman" w:hAnsi="Times New Roman" w:cs="Times New Roman"/>
        </w:rPr>
        <w:t>) Mitoribosome immunoprecipitation. RNase I-digested HeLa S3 lysates were clarified and loaded onto 10-50 % sucrose gradients (left panel). Fractions 4, 5 and 6 were incubated with either MRPL12-conjugated DynaBeads or naked DynaBeads (NC) as negative control. We analyzed subsequent input (I), supernatant (S), and elution products (E) using western blots (right panel), observing the highest amount of the small subunit immunoprecipitated in fraction 6. (</w:t>
      </w:r>
      <w:r>
        <w:rPr>
          <w:rFonts w:ascii="Times New Roman" w:eastAsia="Times New Roman" w:hAnsi="Times New Roman" w:cs="Times New Roman"/>
          <w:b/>
        </w:rPr>
        <w:t>G</w:t>
      </w:r>
      <w:r>
        <w:rPr>
          <w:rFonts w:ascii="Times New Roman" w:eastAsia="Times New Roman" w:hAnsi="Times New Roman" w:cs="Times New Roman"/>
        </w:rPr>
        <w:t xml:space="preserve">) Mitoribosome occupancy across codons. Asp, Leu (UUR), and termination codons are labeled. AGA and AGG Ter* putative termination codons are each present only once (indicated in parentheses), at the ends of </w:t>
      </w:r>
      <w:r>
        <w:rPr>
          <w:rFonts w:ascii="Times New Roman" w:eastAsia="Times New Roman" w:hAnsi="Times New Roman" w:cs="Times New Roman"/>
          <w:i/>
        </w:rPr>
        <w:t>MT-CO1</w:t>
      </w:r>
      <w:r>
        <w:rPr>
          <w:rFonts w:ascii="Times New Roman" w:eastAsia="Times New Roman" w:hAnsi="Times New Roman" w:cs="Times New Roman"/>
        </w:rPr>
        <w:t xml:space="preserve"> and </w:t>
      </w:r>
      <w:r>
        <w:rPr>
          <w:rFonts w:ascii="Times New Roman" w:eastAsia="Times New Roman" w:hAnsi="Times New Roman" w:cs="Times New Roman"/>
          <w:i/>
        </w:rPr>
        <w:t>MT</w:t>
      </w:r>
      <w:r>
        <w:rPr>
          <w:rFonts w:ascii="Times New Roman" w:eastAsia="Times New Roman" w:hAnsi="Times New Roman" w:cs="Times New Roman"/>
        </w:rPr>
        <w:t>-</w:t>
      </w:r>
      <w:r>
        <w:rPr>
          <w:rFonts w:ascii="Times New Roman" w:eastAsia="Times New Roman" w:hAnsi="Times New Roman" w:cs="Times New Roman"/>
          <w:i/>
        </w:rPr>
        <w:t>ND6</w:t>
      </w:r>
      <w:r>
        <w:rPr>
          <w:rFonts w:ascii="Times New Roman" w:eastAsia="Times New Roman" w:hAnsi="Times New Roman" w:cs="Times New Roman"/>
        </w:rPr>
        <w:t>, respectively. R: purine (A or G). Codons with occupancy of &gt;3x expected are labeled. Error bars show range across replicates. (</w:t>
      </w:r>
      <w:r>
        <w:rPr>
          <w:rFonts w:ascii="Times New Roman" w:eastAsia="Times New Roman" w:hAnsi="Times New Roman" w:cs="Times New Roman"/>
          <w:b/>
        </w:rPr>
        <w:t>H</w:t>
      </w:r>
      <w:r>
        <w:rPr>
          <w:rFonts w:ascii="Times New Roman" w:eastAsia="Times New Roman" w:hAnsi="Times New Roman" w:cs="Times New Roman"/>
        </w:rPr>
        <w:t>) Stacked frame plot highlighting number of A-site transformed reads in each subcodon position on heavy strand. Vertical red line indicates stop codon with number of reads on in-frame non-canonical AGA/AGG shown by green line, and on -1 frameshifted canonical UAG shown by red line. See example analysis in Figure 3C for how raw A site read counts are transformed to line plots.  (</w:t>
      </w:r>
      <w:r>
        <w:rPr>
          <w:rFonts w:ascii="Times New Roman" w:eastAsia="Times New Roman" w:hAnsi="Times New Roman" w:cs="Times New Roman"/>
          <w:b/>
        </w:rPr>
        <w:t>I</w:t>
      </w:r>
      <w:r>
        <w:rPr>
          <w:rFonts w:ascii="Times New Roman" w:eastAsia="Times New Roman" w:hAnsi="Times New Roman" w:cs="Times New Roman"/>
        </w:rPr>
        <w:t>) Distribution of occupancies across individual Asp, Leu (UUR) and Phe codons in fibroblasts. Dotted line highlights expected occupancy in the absence of pausing.  (</w:t>
      </w:r>
      <w:r>
        <w:rPr>
          <w:rFonts w:ascii="Times New Roman" w:eastAsia="Times New Roman" w:hAnsi="Times New Roman" w:cs="Times New Roman"/>
          <w:b/>
        </w:rPr>
        <w:t>J</w:t>
      </w:r>
      <w:r>
        <w:rPr>
          <w:rFonts w:ascii="Times New Roman" w:eastAsia="Times New Roman" w:hAnsi="Times New Roman" w:cs="Times New Roman"/>
        </w:rPr>
        <w:t>) Translation efficiency (TE = relative synthesis values/relative RNA abundance values) of each mitochondrial OXPHOS transcript in fibroblasts. Transcript 5’ end characteristics are listed below plot.</w:t>
      </w:r>
    </w:p>
    <w:p w14:paraId="209BDE3B" w14:textId="16A946A4" w:rsidR="00000F3D" w:rsidRDefault="00000F3D" w:rsidP="008912E5">
      <w:pPr>
        <w:spacing w:line="480" w:lineRule="auto"/>
        <w:jc w:val="both"/>
        <w:rPr>
          <w:rFonts w:ascii="Times New Roman" w:eastAsia="Times New Roman" w:hAnsi="Times New Roman" w:cs="Times New Roman"/>
        </w:rPr>
      </w:pPr>
    </w:p>
    <w:p w14:paraId="7707C6CF" w14:textId="0062ED1D" w:rsidR="00000F3D" w:rsidRDefault="00000F3D" w:rsidP="008912E5">
      <w:pPr>
        <w:spacing w:line="480" w:lineRule="auto"/>
        <w:jc w:val="both"/>
        <w:rPr>
          <w:rFonts w:ascii="Times New Roman" w:eastAsia="Times New Roman" w:hAnsi="Times New Roman" w:cs="Times New Roman"/>
        </w:rPr>
      </w:pPr>
    </w:p>
    <w:p w14:paraId="6E2F1307" w14:textId="77777777" w:rsidR="00000F3D" w:rsidRDefault="00000F3D" w:rsidP="008912E5">
      <w:pPr>
        <w:spacing w:line="480" w:lineRule="auto"/>
        <w:jc w:val="both"/>
        <w:rPr>
          <w:rFonts w:ascii="Times New Roman" w:eastAsia="Times New Roman" w:hAnsi="Times New Roman" w:cs="Times New Roman"/>
        </w:rPr>
      </w:pPr>
    </w:p>
    <w:p w14:paraId="07C9DF91" w14:textId="66926A55" w:rsidR="008912E5" w:rsidRDefault="008912E5" w:rsidP="008912E5">
      <w:pPr>
        <w:rPr>
          <w:rFonts w:ascii="Times New Roman" w:eastAsia="Times New Roman" w:hAnsi="Times New Roman" w:cs="Times New Roman"/>
        </w:rPr>
      </w:pPr>
    </w:p>
    <w:p w14:paraId="1A06229C" w14:textId="77777777" w:rsidR="008912E5" w:rsidRDefault="008912E5" w:rsidP="008912E5">
      <w:pPr>
        <w:rPr>
          <w:rFonts w:ascii="Times New Roman" w:eastAsia="Times New Roman" w:hAnsi="Times New Roman" w:cs="Times New Roman"/>
        </w:rPr>
      </w:pPr>
    </w:p>
    <w:p w14:paraId="037C6138" w14:textId="77777777" w:rsidR="008912E5" w:rsidRDefault="008912E5" w:rsidP="008912E5">
      <w:pPr>
        <w:rPr>
          <w:rFonts w:ascii="Times New Roman" w:eastAsia="Times New Roman" w:hAnsi="Times New Roman" w:cs="Times New Roman"/>
        </w:rPr>
      </w:pPr>
    </w:p>
    <w:p w14:paraId="017F39BC" w14:textId="77777777" w:rsidR="008912E5" w:rsidRDefault="008912E5" w:rsidP="008912E5">
      <w:pPr>
        <w:rPr>
          <w:rFonts w:ascii="Times New Roman" w:eastAsia="Times New Roman" w:hAnsi="Times New Roman" w:cs="Times New Roman"/>
        </w:rPr>
      </w:pPr>
    </w:p>
    <w:p w14:paraId="6D09FC3E" w14:textId="6EF9784C" w:rsidR="008912E5" w:rsidRDefault="004069A3" w:rsidP="008912E5">
      <w:pPr>
        <w:rPr>
          <w:rFonts w:ascii="Times New Roman" w:hAnsi="Times New Roman" w:cs="Times New Roman"/>
        </w:rPr>
      </w:pPr>
      <w:r w:rsidRPr="004069A3">
        <w:rPr>
          <w:rFonts w:ascii="Times New Roman" w:hAnsi="Times New Roman" w:cs="Times New Roman"/>
          <w:noProof/>
        </w:rPr>
        <w:lastRenderedPageBreak/>
        <w:drawing>
          <wp:inline distT="0" distB="0" distL="0" distR="0" wp14:anchorId="71D033BF" wp14:editId="18437558">
            <wp:extent cx="5943600" cy="7223760"/>
            <wp:effectExtent l="0" t="0" r="0" b="2540"/>
            <wp:docPr id="2" name="Picture 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rt&#10;&#10;Description automatically generated"/>
                    <pic:cNvPicPr/>
                  </pic:nvPicPr>
                  <pic:blipFill>
                    <a:blip r:embed="rId5"/>
                    <a:stretch>
                      <a:fillRect/>
                    </a:stretch>
                  </pic:blipFill>
                  <pic:spPr>
                    <a:xfrm>
                      <a:off x="0" y="0"/>
                      <a:ext cx="5943600" cy="7223760"/>
                    </a:xfrm>
                    <a:prstGeom prst="rect">
                      <a:avLst/>
                    </a:prstGeom>
                  </pic:spPr>
                </pic:pic>
              </a:graphicData>
            </a:graphic>
          </wp:inline>
        </w:drawing>
      </w:r>
    </w:p>
    <w:p w14:paraId="53616850" w14:textId="77777777" w:rsidR="004069A3" w:rsidRDefault="004069A3" w:rsidP="004069A3">
      <w:pPr>
        <w:jc w:val="both"/>
        <w:rPr>
          <w:rFonts w:ascii="Times New Roman" w:eastAsia="Times New Roman" w:hAnsi="Times New Roman" w:cs="Times New Roman"/>
        </w:rPr>
      </w:pPr>
      <w:r>
        <w:rPr>
          <w:rFonts w:ascii="Times New Roman" w:eastAsia="Times New Roman" w:hAnsi="Times New Roman" w:cs="Times New Roman"/>
          <w:b/>
        </w:rPr>
        <w:t>Figure S2</w:t>
      </w:r>
      <w:r>
        <w:rPr>
          <w:rFonts w:ascii="Times New Roman" w:eastAsia="Times New Roman" w:hAnsi="Times New Roman" w:cs="Times New Roman"/>
        </w:rPr>
        <w:t xml:space="preserve">. </w:t>
      </w:r>
      <w:r>
        <w:rPr>
          <w:rFonts w:ascii="Times New Roman" w:eastAsia="Times New Roman" w:hAnsi="Times New Roman" w:cs="Times New Roman"/>
          <w:b/>
        </w:rPr>
        <w:t>Translation of a novel mitochondrial open reading frame</w:t>
      </w:r>
      <w:r>
        <w:rPr>
          <w:rFonts w:ascii="Times New Roman" w:eastAsia="Times New Roman" w:hAnsi="Times New Roman" w:cs="Times New Roman"/>
        </w:rPr>
        <w:t>. (</w:t>
      </w:r>
      <w:r>
        <w:rPr>
          <w:rFonts w:ascii="Times New Roman" w:eastAsia="Times New Roman" w:hAnsi="Times New Roman" w:cs="Times New Roman"/>
          <w:b/>
        </w:rPr>
        <w:t>A</w:t>
      </w:r>
      <w:r>
        <w:rPr>
          <w:rFonts w:ascii="Times New Roman" w:eastAsia="Times New Roman" w:hAnsi="Times New Roman" w:cs="Times New Roman"/>
        </w:rPr>
        <w:t xml:space="preserve">) RPF density on stop codons and into the 3’ UTRs of </w:t>
      </w:r>
      <w:r>
        <w:rPr>
          <w:rFonts w:ascii="Times New Roman" w:eastAsia="Times New Roman" w:hAnsi="Times New Roman" w:cs="Times New Roman"/>
          <w:i/>
        </w:rPr>
        <w:t>MT-CO1</w:t>
      </w:r>
      <w:r>
        <w:rPr>
          <w:rFonts w:ascii="Times New Roman" w:eastAsia="Times New Roman" w:hAnsi="Times New Roman" w:cs="Times New Roman"/>
        </w:rPr>
        <w:t xml:space="preserve">, </w:t>
      </w:r>
      <w:r>
        <w:rPr>
          <w:rFonts w:ascii="Times New Roman" w:eastAsia="Times New Roman" w:hAnsi="Times New Roman" w:cs="Times New Roman"/>
          <w:i/>
        </w:rPr>
        <w:t>MT-CO2</w:t>
      </w:r>
      <w:r>
        <w:rPr>
          <w:rFonts w:ascii="Times New Roman" w:eastAsia="Times New Roman" w:hAnsi="Times New Roman" w:cs="Times New Roman"/>
        </w:rPr>
        <w:t xml:space="preserve">, and </w:t>
      </w:r>
      <w:r>
        <w:rPr>
          <w:rFonts w:ascii="Times New Roman" w:eastAsia="Times New Roman" w:hAnsi="Times New Roman" w:cs="Times New Roman"/>
          <w:i/>
        </w:rPr>
        <w:t>MT-ND5</w:t>
      </w:r>
      <w:r>
        <w:rPr>
          <w:rFonts w:ascii="Times New Roman" w:eastAsia="Times New Roman" w:hAnsi="Times New Roman" w:cs="Times New Roman"/>
        </w:rPr>
        <w:t>. Stop codons are marked in red and the trinucleotide sequence following each stop codon is labeled. (</w:t>
      </w:r>
      <w:r>
        <w:rPr>
          <w:rFonts w:ascii="Times New Roman" w:eastAsia="Times New Roman" w:hAnsi="Times New Roman" w:cs="Times New Roman"/>
          <w:b/>
        </w:rPr>
        <w:t>B</w:t>
      </w:r>
      <w:r>
        <w:rPr>
          <w:rFonts w:ascii="Times New Roman" w:eastAsia="Times New Roman" w:hAnsi="Times New Roman" w:cs="Times New Roman"/>
        </w:rPr>
        <w:t xml:space="preserve">) Read length distribution for all reads across a long version of MT-ND5-dORF (19 codons, extending to the next downstream stop codon), a randomly chosen region of the same length in </w:t>
      </w:r>
      <w:r>
        <w:rPr>
          <w:rFonts w:ascii="Times New Roman" w:eastAsia="Times New Roman" w:hAnsi="Times New Roman" w:cs="Times New Roman"/>
          <w:i/>
        </w:rPr>
        <w:t>MT-ND5</w:t>
      </w:r>
      <w:r>
        <w:rPr>
          <w:rFonts w:ascii="Times New Roman" w:eastAsia="Times New Roman" w:hAnsi="Times New Roman" w:cs="Times New Roman"/>
        </w:rPr>
        <w:t xml:space="preserve">, and the tRNA </w:t>
      </w:r>
      <w:r>
        <w:rPr>
          <w:rFonts w:ascii="Times New Roman" w:eastAsia="Times New Roman" w:hAnsi="Times New Roman" w:cs="Times New Roman"/>
          <w:i/>
        </w:rPr>
        <w:lastRenderedPageBreak/>
        <w:t>MT-TL2</w:t>
      </w:r>
      <w:r>
        <w:rPr>
          <w:rFonts w:ascii="Times New Roman" w:eastAsia="Times New Roman" w:hAnsi="Times New Roman" w:cs="Times New Roman"/>
        </w:rPr>
        <w:t>. (</w:t>
      </w:r>
      <w:r>
        <w:rPr>
          <w:rFonts w:ascii="Times New Roman" w:eastAsia="Times New Roman" w:hAnsi="Times New Roman" w:cs="Times New Roman"/>
          <w:b/>
        </w:rPr>
        <w:t>C</w:t>
      </w:r>
      <w:r>
        <w:rPr>
          <w:rFonts w:ascii="Times New Roman" w:eastAsia="Times New Roman" w:hAnsi="Times New Roman" w:cs="Times New Roman"/>
        </w:rPr>
        <w:t>) Ad hoc scoring strategy to identify likelihood of translation initiation at each start codon. Top panel: Details of scoring computation. Windows used in {2} are 16 codons upstream and 20 codons downstream. Window used in {3} is five codons. See methods for more details. Bottom panel: example output including region of raw data shown above. Wide vertical lines show putative start codons with their scores, with the color indicating their frame. Dotted vertical lines show putative stop codons, with the color indicating their frame. The number at top are the ad hoc scores. (</w:t>
      </w:r>
      <w:r>
        <w:rPr>
          <w:rFonts w:ascii="Times New Roman" w:eastAsia="Times New Roman" w:hAnsi="Times New Roman" w:cs="Times New Roman"/>
          <w:b/>
        </w:rPr>
        <w:t>D</w:t>
      </w:r>
      <w:r>
        <w:rPr>
          <w:rFonts w:ascii="Times New Roman" w:eastAsia="Times New Roman" w:hAnsi="Times New Roman" w:cs="Times New Roman"/>
        </w:rPr>
        <w:t>)  Ad hoc score distributions, as in Figure 2C, for additional cell lines. Gene names in black: known genes with no leader; gray: known genes with 1 to 3 nt leader; cyan: known genes with long 5’ UTR.</w:t>
      </w:r>
    </w:p>
    <w:p w14:paraId="7388F8D0" w14:textId="5AEBA6D8" w:rsidR="004069A3" w:rsidRDefault="004069A3" w:rsidP="008912E5">
      <w:pPr>
        <w:rPr>
          <w:rFonts w:ascii="Times New Roman" w:hAnsi="Times New Roman" w:cs="Times New Roman"/>
        </w:rPr>
      </w:pPr>
    </w:p>
    <w:p w14:paraId="1D6C87E2" w14:textId="67A5B3A7" w:rsidR="004069A3" w:rsidRDefault="004069A3" w:rsidP="008912E5">
      <w:pPr>
        <w:rPr>
          <w:rFonts w:ascii="Times New Roman" w:hAnsi="Times New Roman" w:cs="Times New Roman"/>
        </w:rPr>
      </w:pPr>
    </w:p>
    <w:p w14:paraId="5AEA039B" w14:textId="5E992766" w:rsidR="004069A3" w:rsidRDefault="004069A3" w:rsidP="008912E5">
      <w:pPr>
        <w:rPr>
          <w:rFonts w:ascii="Times New Roman" w:hAnsi="Times New Roman" w:cs="Times New Roman"/>
        </w:rPr>
      </w:pPr>
    </w:p>
    <w:p w14:paraId="348968F2" w14:textId="168BCD2E" w:rsidR="004069A3" w:rsidRDefault="004069A3" w:rsidP="008912E5">
      <w:pPr>
        <w:rPr>
          <w:rFonts w:ascii="Times New Roman" w:hAnsi="Times New Roman" w:cs="Times New Roman"/>
        </w:rPr>
      </w:pPr>
    </w:p>
    <w:p w14:paraId="0C4B1935" w14:textId="3812C246" w:rsidR="004069A3" w:rsidRDefault="004069A3" w:rsidP="008912E5">
      <w:pPr>
        <w:rPr>
          <w:rFonts w:ascii="Times New Roman" w:hAnsi="Times New Roman" w:cs="Times New Roman"/>
        </w:rPr>
      </w:pPr>
    </w:p>
    <w:p w14:paraId="42B3BDDD" w14:textId="0487973D" w:rsidR="004069A3" w:rsidRDefault="004069A3" w:rsidP="008912E5">
      <w:pPr>
        <w:rPr>
          <w:rFonts w:ascii="Times New Roman" w:hAnsi="Times New Roman" w:cs="Times New Roman"/>
        </w:rPr>
      </w:pPr>
    </w:p>
    <w:p w14:paraId="60C1AB5E" w14:textId="00D8156F" w:rsidR="004069A3" w:rsidRDefault="004069A3" w:rsidP="008912E5">
      <w:pPr>
        <w:rPr>
          <w:rFonts w:ascii="Times New Roman" w:hAnsi="Times New Roman" w:cs="Times New Roman"/>
        </w:rPr>
      </w:pPr>
    </w:p>
    <w:p w14:paraId="7CBB0675" w14:textId="2DF3AD1E" w:rsidR="004069A3" w:rsidRDefault="004069A3" w:rsidP="008912E5">
      <w:pPr>
        <w:rPr>
          <w:rFonts w:ascii="Times New Roman" w:hAnsi="Times New Roman" w:cs="Times New Roman"/>
        </w:rPr>
      </w:pPr>
    </w:p>
    <w:p w14:paraId="78452B97" w14:textId="10A63BF1" w:rsidR="004069A3" w:rsidRDefault="004069A3" w:rsidP="008912E5">
      <w:pPr>
        <w:rPr>
          <w:rFonts w:ascii="Times New Roman" w:hAnsi="Times New Roman" w:cs="Times New Roman"/>
        </w:rPr>
      </w:pPr>
    </w:p>
    <w:p w14:paraId="5456383C" w14:textId="0AB82BAB" w:rsidR="004069A3" w:rsidRDefault="004069A3" w:rsidP="008912E5">
      <w:pPr>
        <w:rPr>
          <w:rFonts w:ascii="Times New Roman" w:hAnsi="Times New Roman" w:cs="Times New Roman"/>
        </w:rPr>
      </w:pPr>
    </w:p>
    <w:p w14:paraId="566FF8BD" w14:textId="20A65EA7" w:rsidR="004069A3" w:rsidRDefault="004069A3" w:rsidP="008912E5">
      <w:pPr>
        <w:rPr>
          <w:rFonts w:ascii="Times New Roman" w:hAnsi="Times New Roman" w:cs="Times New Roman"/>
        </w:rPr>
      </w:pPr>
    </w:p>
    <w:p w14:paraId="2989E70A" w14:textId="2A713138" w:rsidR="004069A3" w:rsidRDefault="004069A3" w:rsidP="008912E5">
      <w:pPr>
        <w:rPr>
          <w:rFonts w:ascii="Times New Roman" w:hAnsi="Times New Roman" w:cs="Times New Roman"/>
        </w:rPr>
      </w:pPr>
    </w:p>
    <w:p w14:paraId="5379E8DD" w14:textId="06E756FB" w:rsidR="004069A3" w:rsidRDefault="004069A3" w:rsidP="008912E5">
      <w:pPr>
        <w:rPr>
          <w:rFonts w:ascii="Times New Roman" w:hAnsi="Times New Roman" w:cs="Times New Roman"/>
        </w:rPr>
      </w:pPr>
    </w:p>
    <w:p w14:paraId="740095D9" w14:textId="5581AEA6" w:rsidR="004069A3" w:rsidRDefault="004069A3" w:rsidP="008912E5">
      <w:pPr>
        <w:rPr>
          <w:rFonts w:ascii="Times New Roman" w:hAnsi="Times New Roman" w:cs="Times New Roman"/>
        </w:rPr>
      </w:pPr>
    </w:p>
    <w:p w14:paraId="6B160A37" w14:textId="4792E01C" w:rsidR="004069A3" w:rsidRDefault="004069A3" w:rsidP="008912E5">
      <w:pPr>
        <w:rPr>
          <w:rFonts w:ascii="Times New Roman" w:hAnsi="Times New Roman" w:cs="Times New Roman"/>
        </w:rPr>
      </w:pPr>
    </w:p>
    <w:p w14:paraId="68AC5D06" w14:textId="37799AA1" w:rsidR="004069A3" w:rsidRDefault="004069A3" w:rsidP="008912E5">
      <w:pPr>
        <w:rPr>
          <w:rFonts w:ascii="Times New Roman" w:hAnsi="Times New Roman" w:cs="Times New Roman"/>
        </w:rPr>
      </w:pPr>
    </w:p>
    <w:p w14:paraId="4F2DD819" w14:textId="2CC8071B" w:rsidR="004069A3" w:rsidRDefault="004069A3" w:rsidP="008912E5">
      <w:pPr>
        <w:rPr>
          <w:rFonts w:ascii="Times New Roman" w:hAnsi="Times New Roman" w:cs="Times New Roman"/>
        </w:rPr>
      </w:pPr>
    </w:p>
    <w:p w14:paraId="10C5705A" w14:textId="0173E27F" w:rsidR="004069A3" w:rsidRDefault="004069A3" w:rsidP="008912E5">
      <w:pPr>
        <w:rPr>
          <w:rFonts w:ascii="Times New Roman" w:hAnsi="Times New Roman" w:cs="Times New Roman"/>
        </w:rPr>
      </w:pPr>
    </w:p>
    <w:p w14:paraId="55C4E5A5" w14:textId="7DAADE07" w:rsidR="004069A3" w:rsidRDefault="004069A3" w:rsidP="008912E5">
      <w:pPr>
        <w:rPr>
          <w:rFonts w:ascii="Times New Roman" w:hAnsi="Times New Roman" w:cs="Times New Roman"/>
        </w:rPr>
      </w:pPr>
    </w:p>
    <w:p w14:paraId="1F14BE36" w14:textId="79D1E745" w:rsidR="004069A3" w:rsidRDefault="004069A3" w:rsidP="008912E5">
      <w:pPr>
        <w:rPr>
          <w:rFonts w:ascii="Times New Roman" w:hAnsi="Times New Roman" w:cs="Times New Roman"/>
        </w:rPr>
      </w:pPr>
    </w:p>
    <w:p w14:paraId="04A2311D" w14:textId="5D42E081" w:rsidR="004069A3" w:rsidRDefault="004069A3" w:rsidP="008912E5">
      <w:pPr>
        <w:rPr>
          <w:rFonts w:ascii="Times New Roman" w:hAnsi="Times New Roman" w:cs="Times New Roman"/>
        </w:rPr>
      </w:pPr>
    </w:p>
    <w:p w14:paraId="69AB8CD4" w14:textId="7546844B" w:rsidR="004069A3" w:rsidRDefault="004069A3" w:rsidP="008912E5">
      <w:pPr>
        <w:rPr>
          <w:rFonts w:ascii="Times New Roman" w:hAnsi="Times New Roman" w:cs="Times New Roman"/>
        </w:rPr>
      </w:pPr>
    </w:p>
    <w:p w14:paraId="2D4E24F0" w14:textId="29EBD00C" w:rsidR="004069A3" w:rsidRDefault="004069A3" w:rsidP="008912E5">
      <w:pPr>
        <w:rPr>
          <w:rFonts w:ascii="Times New Roman" w:hAnsi="Times New Roman" w:cs="Times New Roman"/>
        </w:rPr>
      </w:pPr>
    </w:p>
    <w:p w14:paraId="5699336D" w14:textId="4E56B8FC" w:rsidR="004069A3" w:rsidRDefault="004069A3" w:rsidP="008912E5">
      <w:pPr>
        <w:rPr>
          <w:rFonts w:ascii="Times New Roman" w:hAnsi="Times New Roman" w:cs="Times New Roman"/>
        </w:rPr>
      </w:pPr>
    </w:p>
    <w:p w14:paraId="700373F6" w14:textId="4F848B18" w:rsidR="004069A3" w:rsidRDefault="004069A3" w:rsidP="008912E5">
      <w:pPr>
        <w:rPr>
          <w:rFonts w:ascii="Times New Roman" w:hAnsi="Times New Roman" w:cs="Times New Roman"/>
        </w:rPr>
      </w:pPr>
    </w:p>
    <w:p w14:paraId="2AD8F2C2" w14:textId="5FE5CA8D" w:rsidR="004069A3" w:rsidRDefault="004069A3" w:rsidP="008912E5">
      <w:pPr>
        <w:rPr>
          <w:rFonts w:ascii="Times New Roman" w:hAnsi="Times New Roman" w:cs="Times New Roman"/>
        </w:rPr>
      </w:pPr>
    </w:p>
    <w:p w14:paraId="0D986768" w14:textId="2AC3AEA4" w:rsidR="004069A3" w:rsidRDefault="004069A3" w:rsidP="008912E5">
      <w:pPr>
        <w:rPr>
          <w:rFonts w:ascii="Times New Roman" w:hAnsi="Times New Roman" w:cs="Times New Roman"/>
        </w:rPr>
      </w:pPr>
    </w:p>
    <w:p w14:paraId="300F8359" w14:textId="5E2EC8E5" w:rsidR="004069A3" w:rsidRDefault="004069A3" w:rsidP="008912E5">
      <w:pPr>
        <w:rPr>
          <w:rFonts w:ascii="Times New Roman" w:hAnsi="Times New Roman" w:cs="Times New Roman"/>
        </w:rPr>
      </w:pPr>
    </w:p>
    <w:p w14:paraId="43DDD1AF" w14:textId="2FC1EDE8" w:rsidR="004069A3" w:rsidRDefault="004069A3" w:rsidP="008912E5">
      <w:pPr>
        <w:rPr>
          <w:rFonts w:ascii="Times New Roman" w:hAnsi="Times New Roman" w:cs="Times New Roman"/>
        </w:rPr>
      </w:pPr>
    </w:p>
    <w:p w14:paraId="3DD0B420" w14:textId="0A9AF71C" w:rsidR="004069A3" w:rsidRDefault="004069A3" w:rsidP="008912E5">
      <w:pPr>
        <w:rPr>
          <w:rFonts w:ascii="Times New Roman" w:hAnsi="Times New Roman" w:cs="Times New Roman"/>
        </w:rPr>
      </w:pPr>
    </w:p>
    <w:p w14:paraId="7606AB96" w14:textId="78F17F18" w:rsidR="004069A3" w:rsidRDefault="004069A3" w:rsidP="008912E5">
      <w:pPr>
        <w:rPr>
          <w:rFonts w:ascii="Times New Roman" w:hAnsi="Times New Roman" w:cs="Times New Roman"/>
        </w:rPr>
      </w:pPr>
    </w:p>
    <w:p w14:paraId="63A5A13F" w14:textId="6427CC85" w:rsidR="004069A3" w:rsidRDefault="004069A3" w:rsidP="008912E5">
      <w:pPr>
        <w:rPr>
          <w:rFonts w:ascii="Times New Roman" w:hAnsi="Times New Roman" w:cs="Times New Roman"/>
        </w:rPr>
      </w:pPr>
    </w:p>
    <w:p w14:paraId="65DDF3F7" w14:textId="0EE528EB" w:rsidR="004069A3" w:rsidRDefault="004069A3" w:rsidP="008912E5">
      <w:pPr>
        <w:rPr>
          <w:rFonts w:ascii="Times New Roman" w:hAnsi="Times New Roman" w:cs="Times New Roman"/>
        </w:rPr>
      </w:pPr>
    </w:p>
    <w:p w14:paraId="085F7F37" w14:textId="52A00B2A" w:rsidR="004069A3" w:rsidRDefault="004069A3" w:rsidP="008912E5">
      <w:pPr>
        <w:rPr>
          <w:rFonts w:ascii="Times New Roman" w:hAnsi="Times New Roman" w:cs="Times New Roman"/>
        </w:rPr>
      </w:pPr>
    </w:p>
    <w:p w14:paraId="60D92E36" w14:textId="06CEB34C" w:rsidR="004069A3" w:rsidRDefault="004069A3" w:rsidP="008912E5">
      <w:pPr>
        <w:rPr>
          <w:rFonts w:ascii="Times New Roman" w:hAnsi="Times New Roman" w:cs="Times New Roman"/>
        </w:rPr>
      </w:pPr>
    </w:p>
    <w:p w14:paraId="42C130BE" w14:textId="0877C377" w:rsidR="004069A3" w:rsidRDefault="004069A3" w:rsidP="008912E5">
      <w:pPr>
        <w:rPr>
          <w:rFonts w:ascii="Times New Roman" w:hAnsi="Times New Roman" w:cs="Times New Roman"/>
        </w:rPr>
      </w:pPr>
    </w:p>
    <w:p w14:paraId="759268EB" w14:textId="0CD00486" w:rsidR="004069A3" w:rsidRDefault="004069A3" w:rsidP="008912E5">
      <w:pPr>
        <w:rPr>
          <w:rFonts w:ascii="Times New Roman" w:hAnsi="Times New Roman" w:cs="Times New Roman"/>
        </w:rPr>
      </w:pPr>
    </w:p>
    <w:p w14:paraId="234A339E" w14:textId="456D10E2" w:rsidR="004069A3" w:rsidRDefault="004069A3" w:rsidP="008912E5">
      <w:pPr>
        <w:rPr>
          <w:rFonts w:ascii="Times New Roman" w:hAnsi="Times New Roman" w:cs="Times New Roman"/>
        </w:rPr>
      </w:pPr>
      <w:r w:rsidRPr="004069A3">
        <w:rPr>
          <w:rFonts w:ascii="Times New Roman" w:hAnsi="Times New Roman" w:cs="Times New Roman"/>
          <w:noProof/>
        </w:rPr>
        <w:lastRenderedPageBreak/>
        <w:drawing>
          <wp:inline distT="0" distB="0" distL="0" distR="0" wp14:anchorId="7A49EB67" wp14:editId="6C99054B">
            <wp:extent cx="5943600" cy="6148705"/>
            <wp:effectExtent l="0" t="0" r="0" b="0"/>
            <wp:docPr id="3" name="Picture 3"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imeline&#10;&#10;Description automatically generated"/>
                    <pic:cNvPicPr/>
                  </pic:nvPicPr>
                  <pic:blipFill>
                    <a:blip r:embed="rId6"/>
                    <a:stretch>
                      <a:fillRect/>
                    </a:stretch>
                  </pic:blipFill>
                  <pic:spPr>
                    <a:xfrm>
                      <a:off x="0" y="0"/>
                      <a:ext cx="5943600" cy="6148705"/>
                    </a:xfrm>
                    <a:prstGeom prst="rect">
                      <a:avLst/>
                    </a:prstGeom>
                  </pic:spPr>
                </pic:pic>
              </a:graphicData>
            </a:graphic>
          </wp:inline>
        </w:drawing>
      </w:r>
    </w:p>
    <w:p w14:paraId="042D8F4A" w14:textId="23EBD50E" w:rsidR="004069A3" w:rsidRDefault="004069A3" w:rsidP="004069A3">
      <w:pPr>
        <w:jc w:val="both"/>
        <w:rPr>
          <w:rFonts w:ascii="Times New Roman" w:hAnsi="Times New Roman" w:cs="Times New Roman"/>
        </w:rPr>
      </w:pPr>
      <w:r>
        <w:rPr>
          <w:rFonts w:ascii="Times New Roman" w:eastAsia="Times New Roman" w:hAnsi="Times New Roman" w:cs="Times New Roman"/>
          <w:b/>
        </w:rPr>
        <w:t>Figure S3</w:t>
      </w:r>
      <w:r>
        <w:rPr>
          <w:rFonts w:ascii="Times New Roman" w:eastAsia="Times New Roman" w:hAnsi="Times New Roman" w:cs="Times New Roman"/>
        </w:rPr>
        <w:t xml:space="preserve">. </w:t>
      </w:r>
      <w:r>
        <w:rPr>
          <w:rFonts w:ascii="Times New Roman" w:eastAsia="Times New Roman" w:hAnsi="Times New Roman" w:cs="Times New Roman"/>
          <w:b/>
        </w:rPr>
        <w:t>Correlated synthesis of mtDNA- and nDNA-encoded OXPHOS subunits.</w:t>
      </w:r>
      <w:r>
        <w:rPr>
          <w:rFonts w:ascii="Times New Roman" w:eastAsia="Times New Roman" w:hAnsi="Times New Roman" w:cs="Times New Roman"/>
        </w:rPr>
        <w:t xml:space="preserve"> (</w:t>
      </w:r>
      <w:r>
        <w:rPr>
          <w:rFonts w:ascii="Times New Roman" w:eastAsia="Times New Roman" w:hAnsi="Times New Roman" w:cs="Times New Roman"/>
          <w:b/>
        </w:rPr>
        <w:t>A</w:t>
      </w:r>
      <w:r>
        <w:rPr>
          <w:rFonts w:ascii="Times New Roman" w:eastAsia="Times New Roman" w:hAnsi="Times New Roman" w:cs="Times New Roman"/>
        </w:rPr>
        <w:t xml:space="preserve">) All data included in Figure 3C, D. Each replicate is shown as an individual bar, values given in </w:t>
      </w:r>
      <w:r w:rsidR="001E799C" w:rsidRPr="001E799C">
        <w:rPr>
          <w:rFonts w:ascii="Times New Roman" w:eastAsia="Times New Roman" w:hAnsi="Times New Roman" w:cs="Times New Roman"/>
          <w:b/>
          <w:bCs/>
        </w:rPr>
        <w:t xml:space="preserve">Additional File 3: </w:t>
      </w:r>
      <w:r w:rsidRPr="001E799C">
        <w:rPr>
          <w:rFonts w:ascii="Times New Roman" w:eastAsia="Times New Roman" w:hAnsi="Times New Roman" w:cs="Times New Roman"/>
          <w:b/>
          <w:bCs/>
        </w:rPr>
        <w:t>Table S2</w:t>
      </w:r>
      <w:r>
        <w:rPr>
          <w:rFonts w:ascii="Times New Roman" w:eastAsia="Times New Roman" w:hAnsi="Times New Roman" w:cs="Times New Roman"/>
        </w:rPr>
        <w:t>. Cytosolic synthesis values for fibroblasts were calculated from cytosolic ribosome profiling data from (Tirosh et al, 2015). Relative synthesis is measured in tpm/100 for mitochondrial synthesis and tpm for cytosolic synthesis (see Methods for details and note that mitochondrial and cytosolic synthesis absolute values cannot be compared across compartments). (</w:t>
      </w:r>
      <w:r>
        <w:rPr>
          <w:rFonts w:ascii="Times New Roman" w:eastAsia="Times New Roman" w:hAnsi="Times New Roman" w:cs="Times New Roman"/>
          <w:b/>
        </w:rPr>
        <w:t>B</w:t>
      </w:r>
      <w:r>
        <w:rPr>
          <w:rFonts w:ascii="Times New Roman" w:eastAsia="Times New Roman" w:hAnsi="Times New Roman" w:cs="Times New Roman"/>
        </w:rPr>
        <w:t xml:space="preserve">) Synthesis of </w:t>
      </w:r>
      <w:r>
        <w:rPr>
          <w:rFonts w:ascii="Times New Roman" w:eastAsia="Times New Roman" w:hAnsi="Times New Roman" w:cs="Times New Roman"/>
          <w:i/>
        </w:rPr>
        <w:t>S. cerevisiae</w:t>
      </w:r>
      <w:r>
        <w:rPr>
          <w:rFonts w:ascii="Times New Roman" w:eastAsia="Times New Roman" w:hAnsi="Times New Roman" w:cs="Times New Roman"/>
        </w:rPr>
        <w:t xml:space="preserve"> mtDNA-encoded OXPHOS subunits (RPKM) compared to synthesis of nDNA-encoded subunits (RPKM) for each complex. Values taken from </w:t>
      </w:r>
      <w:hyperlink r:id="rId7">
        <w:r>
          <w:rPr>
            <w:rFonts w:ascii="Times New Roman" w:eastAsia="Times New Roman" w:hAnsi="Times New Roman" w:cs="Times New Roman"/>
            <w:color w:val="000000"/>
          </w:rPr>
          <w:t>[12]</w:t>
        </w:r>
      </w:hyperlink>
      <w:r>
        <w:rPr>
          <w:rFonts w:ascii="Times New Roman" w:eastAsia="Times New Roman" w:hAnsi="Times New Roman" w:cs="Times New Roman"/>
        </w:rPr>
        <w:t>. Small dots show individual subunits, large dots show average synthesis of subunits within each corresponding complex, following the color code displayed.</w:t>
      </w:r>
    </w:p>
    <w:p w14:paraId="680428BE" w14:textId="029BF158" w:rsidR="004069A3" w:rsidRDefault="004069A3" w:rsidP="008912E5">
      <w:pPr>
        <w:rPr>
          <w:rFonts w:ascii="Times New Roman" w:hAnsi="Times New Roman" w:cs="Times New Roman"/>
        </w:rPr>
      </w:pPr>
    </w:p>
    <w:p w14:paraId="33867B29" w14:textId="721F3173" w:rsidR="004069A3" w:rsidRDefault="00DE0C1F" w:rsidP="008912E5">
      <w:pPr>
        <w:rPr>
          <w:rFonts w:ascii="Times New Roman" w:hAnsi="Times New Roman" w:cs="Times New Roman"/>
        </w:rPr>
      </w:pPr>
      <w:r w:rsidRPr="00DE0C1F">
        <w:rPr>
          <w:rFonts w:ascii="Times New Roman" w:hAnsi="Times New Roman" w:cs="Times New Roman"/>
          <w:noProof/>
        </w:rPr>
        <w:lastRenderedPageBreak/>
        <w:drawing>
          <wp:inline distT="0" distB="0" distL="0" distR="0" wp14:anchorId="52583E69" wp14:editId="312EF950">
            <wp:extent cx="5943600" cy="8167370"/>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8"/>
                    <a:stretch>
                      <a:fillRect/>
                    </a:stretch>
                  </pic:blipFill>
                  <pic:spPr>
                    <a:xfrm>
                      <a:off x="0" y="0"/>
                      <a:ext cx="5943600" cy="8167370"/>
                    </a:xfrm>
                    <a:prstGeom prst="rect">
                      <a:avLst/>
                    </a:prstGeom>
                  </pic:spPr>
                </pic:pic>
              </a:graphicData>
            </a:graphic>
          </wp:inline>
        </w:drawing>
      </w:r>
    </w:p>
    <w:p w14:paraId="4648A7EC" w14:textId="15862B83" w:rsidR="00DE0C1F" w:rsidRDefault="00DE0C1F" w:rsidP="00DE0C1F">
      <w:pPr>
        <w:jc w:val="both"/>
        <w:rPr>
          <w:rFonts w:ascii="Times New Roman" w:eastAsia="Times New Roman" w:hAnsi="Times New Roman" w:cs="Times New Roman"/>
        </w:rPr>
      </w:pPr>
      <w:r>
        <w:rPr>
          <w:rFonts w:ascii="Times New Roman" w:eastAsia="Times New Roman" w:hAnsi="Times New Roman" w:cs="Times New Roman"/>
          <w:b/>
        </w:rPr>
        <w:lastRenderedPageBreak/>
        <w:t>Figure S4</w:t>
      </w:r>
      <w:r w:rsidR="00DD0181">
        <w:rPr>
          <w:rFonts w:ascii="Times New Roman" w:eastAsia="Times New Roman" w:hAnsi="Times New Roman" w:cs="Times New Roman"/>
          <w:b/>
        </w:rPr>
        <w:t>.</w:t>
      </w:r>
      <w:r w:rsidR="00DD0181">
        <w:rPr>
          <w:rFonts w:ascii="Times New Roman" w:eastAsia="Times New Roman" w:hAnsi="Times New Roman" w:cs="Times New Roman"/>
        </w:rPr>
        <w:t xml:space="preserve"> </w:t>
      </w:r>
      <w:r>
        <w:rPr>
          <w:rFonts w:ascii="Times New Roman" w:eastAsia="Times New Roman" w:hAnsi="Times New Roman" w:cs="Times New Roman"/>
          <w:b/>
        </w:rPr>
        <w:t xml:space="preserve">Translation perturbations. </w:t>
      </w:r>
      <w:r>
        <w:rPr>
          <w:rFonts w:ascii="Times New Roman" w:eastAsia="Times New Roman" w:hAnsi="Times New Roman" w:cs="Times New Roman"/>
        </w:rPr>
        <w:t>(</w:t>
      </w:r>
      <w:r>
        <w:rPr>
          <w:rFonts w:ascii="Times New Roman" w:eastAsia="Times New Roman" w:hAnsi="Times New Roman" w:cs="Times New Roman"/>
          <w:b/>
        </w:rPr>
        <w:t>A</w:t>
      </w:r>
      <w:r>
        <w:rPr>
          <w:rFonts w:ascii="Times New Roman" w:eastAsia="Times New Roman" w:hAnsi="Times New Roman" w:cs="Times New Roman"/>
        </w:rPr>
        <w:t xml:space="preserve">) </w:t>
      </w:r>
      <w:r>
        <w:rPr>
          <w:rFonts w:ascii="Times New Roman" w:eastAsia="Times New Roman" w:hAnsi="Times New Roman" w:cs="Times New Roman"/>
          <w:color w:val="201F1E"/>
        </w:rPr>
        <w:t xml:space="preserve"> </w:t>
      </w:r>
      <w:r>
        <w:rPr>
          <w:rFonts w:ascii="Times New Roman" w:eastAsia="Times New Roman" w:hAnsi="Times New Roman" w:cs="Times New Roman"/>
          <w:i/>
          <w:color w:val="201F1E"/>
        </w:rPr>
        <w:t>In vivo</w:t>
      </w:r>
      <w:r>
        <w:rPr>
          <w:rFonts w:ascii="Times New Roman" w:eastAsia="Times New Roman" w:hAnsi="Times New Roman" w:cs="Times New Roman"/>
          <w:color w:val="201F1E"/>
        </w:rPr>
        <w:t xml:space="preserve"> labeling of translation products. Human fibroblasts newly synthesized products were metabolically labeled with </w:t>
      </w:r>
      <w:r>
        <w:rPr>
          <w:rFonts w:ascii="Times New Roman" w:eastAsia="Times New Roman" w:hAnsi="Times New Roman" w:cs="Times New Roman"/>
          <w:color w:val="201F1E"/>
          <w:vertAlign w:val="superscript"/>
        </w:rPr>
        <w:t>35</w:t>
      </w:r>
      <w:r>
        <w:rPr>
          <w:rFonts w:ascii="Times New Roman" w:eastAsia="Times New Roman" w:hAnsi="Times New Roman" w:cs="Times New Roman"/>
          <w:color w:val="201F1E"/>
        </w:rPr>
        <w:t>S methionine/cysteine (top panels), after treatment with either cycloheximide (CHX), anisomycin (ANX) or DMSO control, for the indicated times. Signals were exposed to a screen for 16 or 72 hrs, as explained in Methods. Sample loading was followed by Ponceau stain (bottom panels). (</w:t>
      </w:r>
      <w:r>
        <w:rPr>
          <w:rFonts w:ascii="Times New Roman" w:eastAsia="Times New Roman" w:hAnsi="Times New Roman" w:cs="Times New Roman"/>
          <w:b/>
          <w:color w:val="201F1E"/>
        </w:rPr>
        <w:t>B</w:t>
      </w:r>
      <w:r>
        <w:rPr>
          <w:rFonts w:ascii="Times New Roman" w:eastAsia="Times New Roman" w:hAnsi="Times New Roman" w:cs="Times New Roman"/>
          <w:color w:val="201F1E"/>
        </w:rPr>
        <w:t xml:space="preserve">) Comparison of relative synthesis values (tpm/100) for mtDNA-encoded OXPHOS subunits with and without 30 minutes of cycloheximide (CHX) (100 µg/mL) or 2 hours of anisomycin (ANX) treatment (100 µg/mL) to inhibit cytosolic translation. </w:t>
      </w:r>
      <w:r>
        <w:rPr>
          <w:rFonts w:ascii="Times New Roman" w:eastAsia="Times New Roman" w:hAnsi="Times New Roman" w:cs="Times New Roman"/>
        </w:rPr>
        <w:t>(</w:t>
      </w:r>
      <w:r>
        <w:rPr>
          <w:rFonts w:ascii="Times New Roman" w:eastAsia="Times New Roman" w:hAnsi="Times New Roman" w:cs="Times New Roman"/>
          <w:b/>
        </w:rPr>
        <w:t>C</w:t>
      </w:r>
      <w:r>
        <w:rPr>
          <w:rFonts w:ascii="Times New Roman" w:eastAsia="Times New Roman" w:hAnsi="Times New Roman" w:cs="Times New Roman"/>
        </w:rPr>
        <w:t>) Comparison of RPKS (mouse spike-in normalized reads per kb) values for mtDNA-encoded OXPHOS subunits with and without 30 minutes of cycloheximide (CHX) (100 µg/mL) or 2 hours of anisomycin (ANX) treatment (100 µg/mL) to inhibit cytosolic translation. (</w:t>
      </w:r>
      <w:r>
        <w:rPr>
          <w:rFonts w:ascii="Times New Roman" w:eastAsia="Times New Roman" w:hAnsi="Times New Roman" w:cs="Times New Roman"/>
          <w:b/>
        </w:rPr>
        <w:t>D</w:t>
      </w:r>
      <w:r>
        <w:rPr>
          <w:rFonts w:ascii="Times New Roman" w:eastAsia="Times New Roman" w:hAnsi="Times New Roman" w:cs="Times New Roman"/>
        </w:rPr>
        <w:t xml:space="preserve">) </w:t>
      </w:r>
      <w:r>
        <w:rPr>
          <w:rFonts w:ascii="Times New Roman" w:eastAsia="Times New Roman" w:hAnsi="Times New Roman" w:cs="Times New Roman"/>
          <w:i/>
          <w:color w:val="201F1E"/>
        </w:rPr>
        <w:t>In vivo</w:t>
      </w:r>
      <w:r>
        <w:rPr>
          <w:rFonts w:ascii="Times New Roman" w:eastAsia="Times New Roman" w:hAnsi="Times New Roman" w:cs="Times New Roman"/>
          <w:color w:val="201F1E"/>
        </w:rPr>
        <w:t xml:space="preserve"> labeling of translation products. Human fibroblasts newly synthesized products were metabolically labeled with </w:t>
      </w:r>
      <w:r>
        <w:rPr>
          <w:rFonts w:ascii="Times New Roman" w:eastAsia="Times New Roman" w:hAnsi="Times New Roman" w:cs="Times New Roman"/>
          <w:color w:val="201F1E"/>
          <w:vertAlign w:val="superscript"/>
        </w:rPr>
        <w:t>35</w:t>
      </w:r>
      <w:r>
        <w:rPr>
          <w:rFonts w:ascii="Times New Roman" w:eastAsia="Times New Roman" w:hAnsi="Times New Roman" w:cs="Times New Roman"/>
          <w:color w:val="201F1E"/>
        </w:rPr>
        <w:t>S-methionine/cysteine (top panels), after treatment with chloramphenicol (CAP) for the indicated times, while in the presence of cytosolic translation inhibitor anisomycin (ANX). Signals were exposed to a screen for 1 or 72 hrs, as explained in Methods. Sample loading was followed by Ponceau stain (bottom panels). (</w:t>
      </w:r>
      <w:r>
        <w:rPr>
          <w:rFonts w:ascii="Times New Roman" w:eastAsia="Times New Roman" w:hAnsi="Times New Roman" w:cs="Times New Roman"/>
          <w:b/>
          <w:color w:val="201F1E"/>
        </w:rPr>
        <w:t>E</w:t>
      </w:r>
      <w:r>
        <w:rPr>
          <w:rFonts w:ascii="Times New Roman" w:eastAsia="Times New Roman" w:hAnsi="Times New Roman" w:cs="Times New Roman"/>
          <w:color w:val="201F1E"/>
        </w:rPr>
        <w:t>) Western blot analysis of HEK293T cells treated with chloramphenicol (CAP) for the indicated times (top panel). Protein marker molecular weights are indicated in kDa. Quantification shows the signal percentage of untreated cells normalized by Ponceau stain (lower panel). (</w:t>
      </w:r>
      <w:r>
        <w:rPr>
          <w:rFonts w:ascii="Times New Roman" w:eastAsia="Times New Roman" w:hAnsi="Times New Roman" w:cs="Times New Roman"/>
          <w:b/>
          <w:color w:val="201F1E"/>
        </w:rPr>
        <w:t>F</w:t>
      </w:r>
      <w:r>
        <w:rPr>
          <w:rFonts w:ascii="Times New Roman" w:eastAsia="Times New Roman" w:hAnsi="Times New Roman" w:cs="Times New Roman"/>
          <w:color w:val="201F1E"/>
        </w:rPr>
        <w:t xml:space="preserve">) </w:t>
      </w:r>
      <w:r>
        <w:rPr>
          <w:rFonts w:ascii="Times New Roman" w:eastAsia="Times New Roman" w:hAnsi="Times New Roman" w:cs="Times New Roman"/>
        </w:rPr>
        <w:t>Sedimentation of cytosolic polysomes in 10-50% linear sucrose gradients. HEK293T cells were treated with mitochondrial ribosome inhibitor chloramphenicol (CAP) for the indicated times in hours (hr). Cells were subsequently lysed and loaded onto gradients as explained in the methods section for cytoribosome profiling. Cytoribosomes were detected by their UV absorbance at 254 nm. (</w:t>
      </w:r>
      <w:r>
        <w:rPr>
          <w:rFonts w:ascii="Times New Roman" w:eastAsia="Times New Roman" w:hAnsi="Times New Roman" w:cs="Times New Roman"/>
          <w:b/>
        </w:rPr>
        <w:t>G</w:t>
      </w:r>
      <w:r>
        <w:rPr>
          <w:rFonts w:ascii="Times New Roman" w:eastAsia="Times New Roman" w:hAnsi="Times New Roman" w:cs="Times New Roman"/>
        </w:rPr>
        <w:t xml:space="preserve">) Schematic showing the location of the target sites in the </w:t>
      </w:r>
      <w:r>
        <w:rPr>
          <w:rFonts w:ascii="Times New Roman" w:eastAsia="Times New Roman" w:hAnsi="Times New Roman" w:cs="Times New Roman"/>
          <w:i/>
        </w:rPr>
        <w:t>LRPPRC</w:t>
      </w:r>
      <w:r>
        <w:rPr>
          <w:rFonts w:ascii="Times New Roman" w:eastAsia="Times New Roman" w:hAnsi="Times New Roman" w:cs="Times New Roman"/>
        </w:rPr>
        <w:t xml:space="preserve"> locus for the CRISPR guide RNA used to knock out the gene. (</w:t>
      </w:r>
      <w:r>
        <w:rPr>
          <w:rFonts w:ascii="Times New Roman" w:eastAsia="Times New Roman" w:hAnsi="Times New Roman" w:cs="Times New Roman"/>
          <w:b/>
        </w:rPr>
        <w:t>H</w:t>
      </w:r>
      <w:r>
        <w:rPr>
          <w:rFonts w:ascii="Times New Roman" w:eastAsia="Times New Roman" w:hAnsi="Times New Roman" w:cs="Times New Roman"/>
        </w:rPr>
        <w:t xml:space="preserve">) Table detailing the genotype of the generated HEK293T cell line carrying edited </w:t>
      </w:r>
      <w:r>
        <w:rPr>
          <w:rFonts w:ascii="Times New Roman" w:eastAsia="Times New Roman" w:hAnsi="Times New Roman" w:cs="Times New Roman"/>
          <w:i/>
        </w:rPr>
        <w:t xml:space="preserve">LRPPRC </w:t>
      </w:r>
      <w:r>
        <w:rPr>
          <w:rFonts w:ascii="Times New Roman" w:eastAsia="Times New Roman" w:hAnsi="Times New Roman" w:cs="Times New Roman"/>
        </w:rPr>
        <w:t>alleles. (</w:t>
      </w:r>
      <w:r>
        <w:rPr>
          <w:rFonts w:ascii="Times New Roman" w:eastAsia="Times New Roman" w:hAnsi="Times New Roman" w:cs="Times New Roman"/>
          <w:b/>
        </w:rPr>
        <w:t>I</w:t>
      </w:r>
      <w:r>
        <w:rPr>
          <w:rFonts w:ascii="Times New Roman" w:eastAsia="Times New Roman" w:hAnsi="Times New Roman" w:cs="Times New Roman"/>
        </w:rPr>
        <w:t xml:space="preserve">) Immunoblot analysis of LRPPRC steady-state levels in WT and </w:t>
      </w:r>
      <w:r>
        <w:rPr>
          <w:rFonts w:ascii="Times New Roman" w:eastAsia="Times New Roman" w:hAnsi="Times New Roman" w:cs="Times New Roman"/>
          <w:i/>
        </w:rPr>
        <w:t>LRPPRC</w:t>
      </w:r>
      <w:r>
        <w:rPr>
          <w:rFonts w:ascii="Times New Roman" w:eastAsia="Times New Roman" w:hAnsi="Times New Roman" w:cs="Times New Roman"/>
          <w:vertAlign w:val="superscript"/>
        </w:rPr>
        <w:t>KO</w:t>
      </w:r>
      <w:r>
        <w:rPr>
          <w:rFonts w:ascii="Times New Roman" w:eastAsia="Times New Roman" w:hAnsi="Times New Roman" w:cs="Times New Roman"/>
        </w:rPr>
        <w:t xml:space="preserve"> cells and </w:t>
      </w:r>
      <w:r>
        <w:rPr>
          <w:rFonts w:ascii="Times New Roman" w:eastAsia="Times New Roman" w:hAnsi="Times New Roman" w:cs="Times New Roman"/>
          <w:i/>
        </w:rPr>
        <w:t>LRPPRC</w:t>
      </w:r>
      <w:r>
        <w:rPr>
          <w:rFonts w:ascii="Times New Roman" w:eastAsia="Times New Roman" w:hAnsi="Times New Roman" w:cs="Times New Roman"/>
          <w:vertAlign w:val="superscript"/>
        </w:rPr>
        <w:t>KO</w:t>
      </w:r>
      <w:r>
        <w:rPr>
          <w:rFonts w:ascii="Times New Roman" w:eastAsia="Times New Roman" w:hAnsi="Times New Roman" w:cs="Times New Roman"/>
        </w:rPr>
        <w:t xml:space="preserve"> cells reconstituted with recombinant </w:t>
      </w:r>
      <w:r>
        <w:rPr>
          <w:rFonts w:ascii="Times New Roman" w:eastAsia="Times New Roman" w:hAnsi="Times New Roman" w:cs="Times New Roman"/>
          <w:i/>
        </w:rPr>
        <w:t>LRPPRC</w:t>
      </w:r>
      <w:r>
        <w:rPr>
          <w:rFonts w:ascii="Times New Roman" w:eastAsia="Times New Roman" w:hAnsi="Times New Roman" w:cs="Times New Roman"/>
        </w:rPr>
        <w:t>. An antibody against b-actin was used as the loading control. Protein marker molecular weights are indicated in kDa. (</w:t>
      </w:r>
      <w:r>
        <w:rPr>
          <w:rFonts w:ascii="Times New Roman" w:eastAsia="Times New Roman" w:hAnsi="Times New Roman" w:cs="Times New Roman"/>
          <w:b/>
        </w:rPr>
        <w:t>J</w:t>
      </w:r>
      <w:r>
        <w:rPr>
          <w:rFonts w:ascii="Times New Roman" w:eastAsia="Times New Roman" w:hAnsi="Times New Roman" w:cs="Times New Roman"/>
        </w:rPr>
        <w:t xml:space="preserve">) Endogenous cell respiration in WT, </w:t>
      </w:r>
      <w:r>
        <w:rPr>
          <w:rFonts w:ascii="Times New Roman" w:eastAsia="Times New Roman" w:hAnsi="Times New Roman" w:cs="Times New Roman"/>
          <w:i/>
        </w:rPr>
        <w:t>LRPPRC</w:t>
      </w:r>
      <w:r>
        <w:rPr>
          <w:rFonts w:ascii="Times New Roman" w:eastAsia="Times New Roman" w:hAnsi="Times New Roman" w:cs="Times New Roman"/>
          <w:vertAlign w:val="superscript"/>
        </w:rPr>
        <w:t>KO</w:t>
      </w:r>
      <w:r>
        <w:rPr>
          <w:rFonts w:ascii="Times New Roman" w:eastAsia="Times New Roman" w:hAnsi="Times New Roman" w:cs="Times New Roman"/>
        </w:rPr>
        <w:t>, and WT rescue cell lines measured polarographically. (</w:t>
      </w:r>
      <w:r>
        <w:rPr>
          <w:rFonts w:ascii="Times New Roman" w:eastAsia="Times New Roman" w:hAnsi="Times New Roman" w:cs="Times New Roman"/>
          <w:b/>
        </w:rPr>
        <w:t>K</w:t>
      </w:r>
      <w:r>
        <w:rPr>
          <w:rFonts w:ascii="Times New Roman" w:eastAsia="Times New Roman" w:hAnsi="Times New Roman" w:cs="Times New Roman"/>
        </w:rPr>
        <w:t xml:space="preserve">) GO-term enrichment analysis of significantly (adjusted p-value &lt; 0.05) differentially expressed genes that are at least two-fold decreased or increased in the </w:t>
      </w:r>
      <w:r>
        <w:rPr>
          <w:rFonts w:ascii="Times New Roman" w:eastAsia="Times New Roman" w:hAnsi="Times New Roman" w:cs="Times New Roman"/>
          <w:i/>
        </w:rPr>
        <w:t>LRPPRC</w:t>
      </w:r>
      <w:r>
        <w:rPr>
          <w:rFonts w:ascii="Times New Roman" w:eastAsia="Times New Roman" w:hAnsi="Times New Roman" w:cs="Times New Roman"/>
          <w:vertAlign w:val="superscript"/>
        </w:rPr>
        <w:t>KO</w:t>
      </w:r>
      <w:r>
        <w:rPr>
          <w:rFonts w:ascii="Times New Roman" w:eastAsia="Times New Roman" w:hAnsi="Times New Roman" w:cs="Times New Roman"/>
        </w:rPr>
        <w:t xml:space="preserve"> cells compared to the WT rescue cell line</w:t>
      </w:r>
      <w:r>
        <w:rPr>
          <w:rFonts w:ascii="Times New Roman" w:eastAsia="Times New Roman" w:hAnsi="Times New Roman" w:cs="Times New Roman"/>
          <w:i/>
        </w:rPr>
        <w:t>.</w:t>
      </w:r>
      <w:r>
        <w:rPr>
          <w:rFonts w:ascii="Times New Roman" w:eastAsia="Times New Roman" w:hAnsi="Times New Roman" w:cs="Times New Roman"/>
        </w:rPr>
        <w:t xml:space="preserve"> Count =  number of genes sharing a GO-term, p adjust = adjusted p-value, TF = transcription factor. (</w:t>
      </w:r>
      <w:r>
        <w:rPr>
          <w:rFonts w:ascii="Times New Roman" w:eastAsia="Times New Roman" w:hAnsi="Times New Roman" w:cs="Times New Roman"/>
          <w:b/>
        </w:rPr>
        <w:t>L</w:t>
      </w:r>
      <w:r>
        <w:rPr>
          <w:rFonts w:ascii="Times New Roman" w:eastAsia="Times New Roman" w:hAnsi="Times New Roman" w:cs="Times New Roman"/>
        </w:rPr>
        <w:t xml:space="preserve">) Volcano plot showing differential synthesis of proteasome subunits (HGNC gene group Proteasome (PSM), </w:t>
      </w:r>
      <w:hyperlink r:id="rId9" w:anchor="!/group/690">
        <w:r>
          <w:rPr>
            <w:rFonts w:ascii="Times New Roman" w:eastAsia="Times New Roman" w:hAnsi="Times New Roman" w:cs="Times New Roman"/>
            <w:color w:val="1155CC"/>
            <w:u w:val="single"/>
          </w:rPr>
          <w:t>https://www.genenames.org/data/genegroup/#!/group/690</w:t>
        </w:r>
      </w:hyperlink>
      <w:r>
        <w:rPr>
          <w:rFonts w:ascii="Times New Roman" w:eastAsia="Times New Roman" w:hAnsi="Times New Roman" w:cs="Times New Roman"/>
        </w:rPr>
        <w:t xml:space="preserve">). Values were calculated using DESeq2, comparing cytoribosome profiling data from </w:t>
      </w:r>
      <w:r>
        <w:rPr>
          <w:rFonts w:ascii="Times New Roman" w:eastAsia="Times New Roman" w:hAnsi="Times New Roman" w:cs="Times New Roman"/>
          <w:i/>
        </w:rPr>
        <w:t>LRPPRC</w:t>
      </w:r>
      <w:r>
        <w:rPr>
          <w:rFonts w:ascii="Times New Roman" w:eastAsia="Times New Roman" w:hAnsi="Times New Roman" w:cs="Times New Roman"/>
          <w:i/>
          <w:vertAlign w:val="superscript"/>
        </w:rPr>
        <w:t>KO</w:t>
      </w:r>
      <w:r>
        <w:rPr>
          <w:rFonts w:ascii="Times New Roman" w:eastAsia="Times New Roman" w:hAnsi="Times New Roman" w:cs="Times New Roman"/>
        </w:rPr>
        <w:t xml:space="preserve"> to </w:t>
      </w:r>
      <w:r>
        <w:rPr>
          <w:rFonts w:ascii="Times New Roman" w:eastAsia="Times New Roman" w:hAnsi="Times New Roman" w:cs="Times New Roman"/>
          <w:i/>
        </w:rPr>
        <w:t>LRPPRC</w:t>
      </w:r>
      <w:r>
        <w:rPr>
          <w:rFonts w:ascii="Times New Roman" w:eastAsia="Times New Roman" w:hAnsi="Times New Roman" w:cs="Times New Roman"/>
        </w:rPr>
        <w:t xml:space="preserve"> rescue cell lines. Significantly differentially expressed genes (adjusted p-value &lt; 0.01) are shown in red. (</w:t>
      </w:r>
      <w:r>
        <w:rPr>
          <w:rFonts w:ascii="Times New Roman" w:eastAsia="Times New Roman" w:hAnsi="Times New Roman" w:cs="Times New Roman"/>
          <w:b/>
        </w:rPr>
        <w:t>M</w:t>
      </w:r>
      <w:r>
        <w:rPr>
          <w:rFonts w:ascii="Times New Roman" w:eastAsia="Times New Roman" w:hAnsi="Times New Roman" w:cs="Times New Roman"/>
        </w:rPr>
        <w:t xml:space="preserve">) The graphs represent two biological replicates of the cell toxicity assay. Replicate 1 is presented in Figure 4G. Cells were treated for 72 hours with increasing amounts of bortezomib or the solvent ethanol. Cell toxicity was measured with a fluorescent dye and normalized to the number of living cells measured by luminescence. Each measurement contained 3 technical replicates and the range bars show the standard deviation. The Welch two sample one sided (less) t test was used to test for significant changes.  * signifies p-value &lt; 0.05, ** signifies p-value &lt; 0.01 and *** signifies p-value &lt; 0.001.  </w:t>
      </w:r>
    </w:p>
    <w:p w14:paraId="31B8FC3E" w14:textId="77777777" w:rsidR="00DE0C1F" w:rsidRDefault="00DE0C1F" w:rsidP="008912E5">
      <w:pPr>
        <w:rPr>
          <w:rFonts w:ascii="Times New Roman" w:hAnsi="Times New Roman" w:cs="Times New Roman"/>
        </w:rPr>
      </w:pPr>
    </w:p>
    <w:p w14:paraId="43CA3DC0" w14:textId="77777777" w:rsidR="004069A3" w:rsidRPr="008912E5" w:rsidRDefault="004069A3" w:rsidP="008912E5">
      <w:pPr>
        <w:rPr>
          <w:rFonts w:ascii="Times New Roman" w:hAnsi="Times New Roman" w:cs="Times New Roman"/>
        </w:rPr>
      </w:pPr>
    </w:p>
    <w:sectPr w:rsidR="004069A3" w:rsidRPr="008912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2E5"/>
    <w:rsid w:val="00000F3D"/>
    <w:rsid w:val="001E799C"/>
    <w:rsid w:val="004069A3"/>
    <w:rsid w:val="008912E5"/>
    <w:rsid w:val="00965502"/>
    <w:rsid w:val="00DD0181"/>
    <w:rsid w:val="00DE0C1F"/>
    <w:rsid w:val="00DE21A8"/>
    <w:rsid w:val="00E54FE1"/>
    <w:rsid w:val="00FB3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FDD04B"/>
  <w15:chartTrackingRefBased/>
  <w15:docId w15:val="{2C15EF2C-BB8F-1348-93DC-663DD4D5A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26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hyperlink" Target="https://paperpile.com/c/WVkvpP/Iig8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genenames.org/data/genegro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1615</Words>
  <Characters>9210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Soto, Iliana C</dc:creator>
  <cp:keywords/>
  <dc:description/>
  <cp:lastModifiedBy>Soto, Iliana C</cp:lastModifiedBy>
  <cp:revision>5</cp:revision>
  <dcterms:created xsi:type="dcterms:W3CDTF">2022-07-10T16:38:00Z</dcterms:created>
  <dcterms:modified xsi:type="dcterms:W3CDTF">2022-07-10T17:41:00Z</dcterms:modified>
</cp:coreProperties>
</file>