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3572CC" w14:textId="1F8BF647" w:rsidR="3F52535B" w:rsidRDefault="3F52535B" w:rsidP="6A5CBBD7">
      <w:pPr>
        <w:pStyle w:val="Standard1"/>
        <w:spacing w:line="256" w:lineRule="auto"/>
        <w:jc w:val="center"/>
        <w:rPr>
          <w:rFonts w:ascii="Arial" w:eastAsia="Arial" w:hAnsi="Arial" w:cs="Arial"/>
          <w:b/>
          <w:bCs/>
          <w:lang w:val="en-GB"/>
        </w:rPr>
      </w:pPr>
      <w:r w:rsidRPr="6A5CBBD7">
        <w:rPr>
          <w:rFonts w:ascii="Arial" w:eastAsia="Arial" w:hAnsi="Arial" w:cs="Arial"/>
          <w:b/>
          <w:bCs/>
        </w:rPr>
        <w:t>Supplementary Figures for “s</w:t>
      </w:r>
      <w:r w:rsidR="475413E0" w:rsidRPr="6A5CBBD7">
        <w:rPr>
          <w:rFonts w:ascii="Arial" w:eastAsia="Arial" w:hAnsi="Arial" w:cs="Arial"/>
          <w:b/>
          <w:bCs/>
          <w:lang w:val="en-GB"/>
        </w:rPr>
        <w:t>cTAM-seq enables targeted high-confidence analysis of DNA methylation in single cells”</w:t>
      </w:r>
    </w:p>
    <w:p w14:paraId="5773B305" w14:textId="77777777" w:rsidR="00830419" w:rsidRDefault="00830419" w:rsidP="6A5CBBD7">
      <w:pPr>
        <w:pStyle w:val="Standard1"/>
        <w:spacing w:line="256" w:lineRule="auto"/>
        <w:jc w:val="center"/>
        <w:rPr>
          <w:rFonts w:ascii="Arial" w:eastAsia="Arial" w:hAnsi="Arial" w:cs="Arial"/>
          <w:b/>
          <w:bCs/>
          <w:lang w:val="en-GB"/>
        </w:rPr>
      </w:pPr>
    </w:p>
    <w:p w14:paraId="52BA7589" w14:textId="77777777" w:rsidR="00E80B72" w:rsidRDefault="00E80B72" w:rsidP="610928EC">
      <w:pPr>
        <w:pStyle w:val="Standard1"/>
        <w:spacing w:line="256" w:lineRule="auto"/>
        <w:jc w:val="center"/>
        <w:rPr>
          <w:rFonts w:ascii="Arial" w:eastAsia="Arial" w:hAnsi="Arial" w:cs="Arial"/>
          <w:b/>
          <w:bCs/>
          <w:sz w:val="24"/>
          <w:szCs w:val="24"/>
          <w:lang w:val="en-GB"/>
        </w:rPr>
      </w:pPr>
    </w:p>
    <w:p w14:paraId="0D5126E8" w14:textId="58C1D248" w:rsidR="00A12A3A" w:rsidRDefault="622041D2" w:rsidP="234150BB">
      <w:pPr>
        <w:jc w:val="center"/>
      </w:pPr>
      <w:r>
        <w:rPr>
          <w:noProof/>
        </w:rPr>
        <w:drawing>
          <wp:inline distT="0" distB="0" distL="0" distR="0" wp14:anchorId="3E44FD1A" wp14:editId="6A5CBBD7">
            <wp:extent cx="5467644" cy="7017299"/>
            <wp:effectExtent l="0" t="0" r="0" b="0"/>
            <wp:docPr id="380931546" name="Grafik 380931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80931546"/>
                    <pic:cNvPicPr/>
                  </pic:nvPicPr>
                  <pic:blipFill>
                    <a:blip r:embed="rId7" cstate="print">
                      <a:extLst>
                        <a:ext uri="{28A0092B-C50C-407E-A947-70E740481C1C}">
                          <a14:useLocalDpi xmlns:a14="http://schemas.microsoft.com/office/drawing/2010/main" val="0"/>
                        </a:ext>
                      </a:extLst>
                    </a:blip>
                    <a:stretch>
                      <a:fillRect/>
                    </a:stretch>
                  </pic:blipFill>
                  <pic:spPr>
                    <a:xfrm>
                      <a:off x="0" y="0"/>
                      <a:ext cx="5467644" cy="7017299"/>
                    </a:xfrm>
                    <a:prstGeom prst="rect">
                      <a:avLst/>
                    </a:prstGeom>
                  </pic:spPr>
                </pic:pic>
              </a:graphicData>
            </a:graphic>
          </wp:inline>
        </w:drawing>
      </w:r>
    </w:p>
    <w:p w14:paraId="67C62320" w14:textId="2E484B59" w:rsidR="68E3F8B2" w:rsidRDefault="7036E744" w:rsidP="68E3F8B2">
      <w:pPr>
        <w:jc w:val="both"/>
        <w:rPr>
          <w:rFonts w:ascii="Arial" w:eastAsia="Arial" w:hAnsi="Arial" w:cs="Arial"/>
        </w:rPr>
      </w:pPr>
      <w:r w:rsidRPr="6A5CBBD7">
        <w:rPr>
          <w:rFonts w:ascii="Arial" w:eastAsia="Arial" w:hAnsi="Arial" w:cs="Arial"/>
          <w:b/>
          <w:bCs/>
        </w:rPr>
        <w:lastRenderedPageBreak/>
        <w:t>Fi</w:t>
      </w:r>
      <w:r w:rsidR="314DC702" w:rsidRPr="6A5CBBD7">
        <w:rPr>
          <w:rFonts w:ascii="Arial" w:eastAsia="Arial" w:hAnsi="Arial" w:cs="Arial"/>
          <w:b/>
          <w:bCs/>
        </w:rPr>
        <w:t>g</w:t>
      </w:r>
      <w:r w:rsidRPr="6A5CBBD7">
        <w:rPr>
          <w:rFonts w:ascii="Arial" w:eastAsia="Arial" w:hAnsi="Arial" w:cs="Arial"/>
          <w:b/>
          <w:bCs/>
        </w:rPr>
        <w:t xml:space="preserve"> </w:t>
      </w:r>
      <w:r w:rsidR="5902F1CA" w:rsidRPr="00F92295">
        <w:rPr>
          <w:rFonts w:ascii="Arial" w:eastAsia="Arial" w:hAnsi="Arial" w:cs="Arial"/>
          <w:b/>
          <w:bCs/>
        </w:rPr>
        <w:t>S</w:t>
      </w:r>
      <w:r w:rsidRPr="00F92295">
        <w:rPr>
          <w:rFonts w:ascii="Arial" w:eastAsia="Arial" w:hAnsi="Arial" w:cs="Arial"/>
          <w:b/>
          <w:bCs/>
        </w:rPr>
        <w:t>1</w:t>
      </w:r>
      <w:r w:rsidR="6253BD0C" w:rsidRPr="00F92295">
        <w:rPr>
          <w:rFonts w:ascii="Arial" w:eastAsia="Arial" w:hAnsi="Arial" w:cs="Arial"/>
          <w:b/>
          <w:bCs/>
        </w:rPr>
        <w:t>:</w:t>
      </w:r>
      <w:r w:rsidRPr="00F92295">
        <w:rPr>
          <w:rFonts w:ascii="Arial" w:eastAsia="Arial" w:hAnsi="Arial" w:cs="Arial"/>
          <w:b/>
        </w:rPr>
        <w:t xml:space="preserve"> CpGs dynamically methylated across B- and T-cell development.</w:t>
      </w:r>
      <w:r w:rsidRPr="6A5CBBD7">
        <w:rPr>
          <w:rFonts w:ascii="Arial" w:eastAsia="Arial" w:hAnsi="Arial" w:cs="Arial"/>
        </w:rPr>
        <w:t xml:space="preserve"> </w:t>
      </w:r>
      <w:r w:rsidRPr="6A5CBBD7">
        <w:rPr>
          <w:rFonts w:ascii="Arial" w:eastAsia="Arial" w:hAnsi="Arial" w:cs="Arial"/>
          <w:b/>
          <w:bCs/>
        </w:rPr>
        <w:t>a:</w:t>
      </w:r>
      <w:r w:rsidRPr="6A5CBBD7">
        <w:rPr>
          <w:rFonts w:ascii="Arial" w:eastAsia="Arial" w:hAnsi="Arial" w:cs="Arial"/>
        </w:rPr>
        <w:t xml:space="preserve"> Pie chart estimating the number of </w:t>
      </w:r>
      <w:r w:rsidR="00D350D3">
        <w:rPr>
          <w:rFonts w:ascii="Arial" w:eastAsia="Arial" w:hAnsi="Arial" w:cs="Arial"/>
        </w:rPr>
        <w:t>dynamic</w:t>
      </w:r>
      <w:r w:rsidRPr="6A5CBBD7">
        <w:rPr>
          <w:rFonts w:ascii="Arial" w:eastAsia="Arial" w:hAnsi="Arial" w:cs="Arial"/>
        </w:rPr>
        <w:t xml:space="preserve"> CpGs in human B cells (450k data, Kulis </w:t>
      </w:r>
      <w:r w:rsidRPr="6A5CBBD7">
        <w:rPr>
          <w:rFonts w:ascii="Arial" w:eastAsia="Arial" w:hAnsi="Arial" w:cs="Arial"/>
          <w:i/>
          <w:iCs/>
        </w:rPr>
        <w:t xml:space="preserve">et al., </w:t>
      </w:r>
      <w:r w:rsidRPr="6A5CBBD7">
        <w:rPr>
          <w:rFonts w:ascii="Arial" w:eastAsia="Arial" w:hAnsi="Arial" w:cs="Arial"/>
        </w:rPr>
        <w:t>2015). We used all the replicates of the different cell types (HSCs, preB, immature, naive</w:t>
      </w:r>
      <w:r w:rsidR="7E14BED0" w:rsidRPr="6A5CBBD7">
        <w:rPr>
          <w:rFonts w:ascii="Arial" w:eastAsia="Arial" w:hAnsi="Arial" w:cs="Arial"/>
        </w:rPr>
        <w:t>,</w:t>
      </w:r>
      <w:r w:rsidRPr="6A5CBBD7">
        <w:rPr>
          <w:rFonts w:ascii="Arial" w:eastAsia="Arial" w:hAnsi="Arial" w:cs="Arial"/>
        </w:rPr>
        <w:t xml:space="preserve"> and memory B cells). Fully methylated CpGs are defined as CpGs with methylation value</w:t>
      </w:r>
      <w:r w:rsidR="5E0BDFB2" w:rsidRPr="6A5CBBD7">
        <w:rPr>
          <w:rFonts w:ascii="Arial" w:eastAsia="Arial" w:hAnsi="Arial" w:cs="Arial"/>
        </w:rPr>
        <w:t>s</w:t>
      </w:r>
      <w:r w:rsidRPr="6A5CBBD7">
        <w:rPr>
          <w:rFonts w:ascii="Arial" w:eastAsia="Arial" w:hAnsi="Arial" w:cs="Arial"/>
        </w:rPr>
        <w:t xml:space="preserve"> higher than 0.75 in all samples and fully unmethylated are those with less than 0.25. We defined as dynamic sites CpGs showing a DNA methylation difference of at least 0.5 in at least one of the pairwise comparisons between the cell types. All remaining CpGs are classified as ‘Others’. PCA for all</w:t>
      </w:r>
      <w:r w:rsidRPr="6A5CBBD7">
        <w:rPr>
          <w:rFonts w:ascii="Arial" w:eastAsia="Arial" w:hAnsi="Arial" w:cs="Arial"/>
          <w:b/>
          <w:bCs/>
        </w:rPr>
        <w:t xml:space="preserve"> </w:t>
      </w:r>
      <w:r w:rsidRPr="6A5CBBD7">
        <w:rPr>
          <w:rFonts w:ascii="Arial" w:eastAsia="Arial" w:hAnsi="Arial" w:cs="Arial"/>
        </w:rPr>
        <w:t>(</w:t>
      </w:r>
      <w:r w:rsidR="731757CB" w:rsidRPr="6A5CBBD7">
        <w:rPr>
          <w:rFonts w:ascii="Arial" w:eastAsia="Arial" w:hAnsi="Arial" w:cs="Arial"/>
        </w:rPr>
        <w:t>478,207) CpGs (</w:t>
      </w:r>
      <w:r w:rsidR="731757CB" w:rsidRPr="6A5CBBD7">
        <w:rPr>
          <w:rFonts w:ascii="Arial" w:eastAsia="Arial" w:hAnsi="Arial" w:cs="Arial"/>
          <w:b/>
          <w:bCs/>
        </w:rPr>
        <w:t>b</w:t>
      </w:r>
      <w:r w:rsidR="731757CB" w:rsidRPr="6A5CBBD7">
        <w:rPr>
          <w:rFonts w:ascii="Arial" w:eastAsia="Arial" w:hAnsi="Arial" w:cs="Arial"/>
        </w:rPr>
        <w:t>), only for the dynamic CpGs (</w:t>
      </w:r>
      <w:r w:rsidR="731757CB" w:rsidRPr="6A5CBBD7">
        <w:rPr>
          <w:rFonts w:ascii="Arial" w:eastAsia="Arial" w:hAnsi="Arial" w:cs="Arial"/>
          <w:b/>
          <w:bCs/>
        </w:rPr>
        <w:t>c</w:t>
      </w:r>
      <w:r w:rsidR="731757CB" w:rsidRPr="6A5CBBD7">
        <w:rPr>
          <w:rFonts w:ascii="Arial" w:eastAsia="Arial" w:hAnsi="Arial" w:cs="Arial"/>
        </w:rPr>
        <w:t>), and for 500 CpGs randomly selected from the set of dynamic CpGs (</w:t>
      </w:r>
      <w:r w:rsidR="731757CB" w:rsidRPr="6A5CBBD7">
        <w:rPr>
          <w:rFonts w:ascii="Arial" w:eastAsia="Arial" w:hAnsi="Arial" w:cs="Arial"/>
          <w:b/>
          <w:bCs/>
        </w:rPr>
        <w:t>d</w:t>
      </w:r>
      <w:r w:rsidR="731757CB" w:rsidRPr="6A5CBBD7">
        <w:rPr>
          <w:rFonts w:ascii="Arial" w:eastAsia="Arial" w:hAnsi="Arial" w:cs="Arial"/>
        </w:rPr>
        <w:t xml:space="preserve">). </w:t>
      </w:r>
      <w:r w:rsidR="731757CB" w:rsidRPr="6A5CBBD7">
        <w:rPr>
          <w:rFonts w:ascii="Arial" w:eastAsia="Arial" w:hAnsi="Arial" w:cs="Arial"/>
          <w:b/>
          <w:bCs/>
        </w:rPr>
        <w:t>e:</w:t>
      </w:r>
      <w:r w:rsidR="731757CB" w:rsidRPr="6A5CBBD7">
        <w:rPr>
          <w:rFonts w:ascii="Arial" w:eastAsia="Arial" w:hAnsi="Arial" w:cs="Arial"/>
        </w:rPr>
        <w:t xml:space="preserve"> Proportion of variance explained for the PCs shown in </w:t>
      </w:r>
      <w:r w:rsidR="731757CB" w:rsidRPr="6A5CBBD7">
        <w:rPr>
          <w:rFonts w:ascii="Arial" w:eastAsia="Arial" w:hAnsi="Arial" w:cs="Arial"/>
          <w:b/>
          <w:bCs/>
        </w:rPr>
        <w:t xml:space="preserve">b, c </w:t>
      </w:r>
      <w:r w:rsidR="731757CB" w:rsidRPr="6A5CBBD7">
        <w:rPr>
          <w:rFonts w:ascii="Arial" w:eastAsia="Arial" w:hAnsi="Arial" w:cs="Arial"/>
        </w:rPr>
        <w:t xml:space="preserve">and </w:t>
      </w:r>
      <w:r w:rsidR="731757CB" w:rsidRPr="6A5CBBD7">
        <w:rPr>
          <w:rFonts w:ascii="Arial" w:eastAsia="Arial" w:hAnsi="Arial" w:cs="Arial"/>
          <w:b/>
          <w:bCs/>
        </w:rPr>
        <w:t>d</w:t>
      </w:r>
      <w:r w:rsidR="731757CB" w:rsidRPr="6A5CBBD7">
        <w:rPr>
          <w:rFonts w:ascii="Arial" w:eastAsia="Arial" w:hAnsi="Arial" w:cs="Arial"/>
        </w:rPr>
        <w:t xml:space="preserve">. </w:t>
      </w:r>
      <w:r w:rsidR="731757CB" w:rsidRPr="6A5CBBD7">
        <w:rPr>
          <w:rFonts w:ascii="Arial" w:eastAsia="Arial" w:hAnsi="Arial" w:cs="Arial"/>
          <w:b/>
          <w:bCs/>
        </w:rPr>
        <w:t>f:</w:t>
      </w:r>
      <w:r w:rsidR="731757CB" w:rsidRPr="6A5CBBD7">
        <w:rPr>
          <w:rFonts w:ascii="Arial" w:eastAsia="Arial" w:hAnsi="Arial" w:cs="Arial"/>
        </w:rPr>
        <w:t xml:space="preserve"> Analysis similar to </w:t>
      </w:r>
      <w:r w:rsidR="731757CB" w:rsidRPr="6A5CBBD7">
        <w:rPr>
          <w:rFonts w:ascii="Arial" w:eastAsia="Arial" w:hAnsi="Arial" w:cs="Arial"/>
          <w:b/>
          <w:bCs/>
        </w:rPr>
        <w:t>a</w:t>
      </w:r>
      <w:r w:rsidR="731757CB" w:rsidRPr="6A5CBBD7">
        <w:rPr>
          <w:rFonts w:ascii="Arial" w:eastAsia="Arial" w:hAnsi="Arial" w:cs="Arial"/>
        </w:rPr>
        <w:t xml:space="preserve"> for human T cells (naive, central-memory and effector-memory T cells, Durek </w:t>
      </w:r>
      <w:r w:rsidR="731757CB" w:rsidRPr="6A5CBBD7">
        <w:rPr>
          <w:rFonts w:ascii="Arial" w:eastAsia="Arial" w:hAnsi="Arial" w:cs="Arial"/>
          <w:i/>
          <w:iCs/>
        </w:rPr>
        <w:t xml:space="preserve">et al., </w:t>
      </w:r>
      <w:r w:rsidR="731757CB" w:rsidRPr="6A5CBBD7">
        <w:rPr>
          <w:rFonts w:ascii="Arial" w:eastAsia="Arial" w:hAnsi="Arial" w:cs="Arial"/>
        </w:rPr>
        <w:t xml:space="preserve">2016). DNAm data was generated </w:t>
      </w:r>
      <w:r w:rsidR="5BCBF257" w:rsidRPr="6A5CBBD7">
        <w:rPr>
          <w:rFonts w:ascii="Arial" w:eastAsia="Arial" w:hAnsi="Arial" w:cs="Arial"/>
        </w:rPr>
        <w:t xml:space="preserve">using </w:t>
      </w:r>
      <w:r w:rsidR="731757CB" w:rsidRPr="6A5CBBD7">
        <w:rPr>
          <w:rFonts w:ascii="Arial" w:eastAsia="Arial" w:hAnsi="Arial" w:cs="Arial"/>
        </w:rPr>
        <w:t>WGBS and we focused only on those CpGs covered by at least 10 sequencing reads in all the samples.</w:t>
      </w:r>
    </w:p>
    <w:p w14:paraId="49B84B84" w14:textId="1EADEB6C" w:rsidR="4A708109" w:rsidRDefault="4A708109" w:rsidP="4A708109">
      <w:pPr>
        <w:jc w:val="both"/>
        <w:rPr>
          <w:rFonts w:ascii="Arial" w:eastAsia="Arial" w:hAnsi="Arial" w:cs="Arial"/>
        </w:rPr>
      </w:pPr>
    </w:p>
    <w:p w14:paraId="7C3952BC" w14:textId="52A8CC11" w:rsidR="6D5552A1" w:rsidRDefault="04BB0AF9" w:rsidP="2EC8FCD9">
      <w:pPr>
        <w:jc w:val="both"/>
        <w:rPr>
          <w:rFonts w:ascii="Arial" w:eastAsia="Arial" w:hAnsi="Arial" w:cs="Arial"/>
        </w:rPr>
      </w:pPr>
      <w:r>
        <w:rPr>
          <w:noProof/>
        </w:rPr>
        <w:drawing>
          <wp:inline distT="0" distB="0" distL="0" distR="0" wp14:anchorId="61BE8503" wp14:editId="71FE56B6">
            <wp:extent cx="6008916" cy="3943350"/>
            <wp:effectExtent l="0" t="0" r="0" b="0"/>
            <wp:docPr id="938665481" name="Grafik 938665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08916" cy="3943350"/>
                    </a:xfrm>
                    <a:prstGeom prst="rect">
                      <a:avLst/>
                    </a:prstGeom>
                  </pic:spPr>
                </pic:pic>
              </a:graphicData>
            </a:graphic>
          </wp:inline>
        </w:drawing>
      </w:r>
      <w:r w:rsidR="46FBCD86" w:rsidRPr="00F92295">
        <w:rPr>
          <w:rFonts w:ascii="Arial" w:eastAsia="Arial" w:hAnsi="Arial" w:cs="Arial"/>
          <w:b/>
          <w:bCs/>
        </w:rPr>
        <w:t>Fig S2</w:t>
      </w:r>
      <w:r w:rsidR="349481E7" w:rsidRPr="00F92295">
        <w:rPr>
          <w:rFonts w:ascii="Arial" w:eastAsia="Arial" w:hAnsi="Arial" w:cs="Arial"/>
          <w:b/>
          <w:bCs/>
        </w:rPr>
        <w:t>:</w:t>
      </w:r>
      <w:r w:rsidR="116D05CF" w:rsidRPr="00F92295">
        <w:rPr>
          <w:rFonts w:ascii="Arial" w:eastAsia="Arial" w:hAnsi="Arial" w:cs="Arial"/>
          <w:b/>
        </w:rPr>
        <w:t xml:space="preserve"> Estimation of F</w:t>
      </w:r>
      <w:r w:rsidR="59A42D26" w:rsidRPr="00F92295">
        <w:rPr>
          <w:rFonts w:ascii="Arial" w:eastAsia="Arial" w:hAnsi="Arial" w:cs="Arial"/>
          <w:b/>
        </w:rPr>
        <w:t>N</w:t>
      </w:r>
      <w:r w:rsidR="116D05CF" w:rsidRPr="00F92295">
        <w:rPr>
          <w:rFonts w:ascii="Arial" w:eastAsia="Arial" w:hAnsi="Arial" w:cs="Arial"/>
          <w:b/>
        </w:rPr>
        <w:t>R and F</w:t>
      </w:r>
      <w:r w:rsidR="46692907" w:rsidRPr="00F92295">
        <w:rPr>
          <w:rFonts w:ascii="Arial" w:eastAsia="Arial" w:hAnsi="Arial" w:cs="Arial"/>
          <w:b/>
        </w:rPr>
        <w:t>P</w:t>
      </w:r>
      <w:r w:rsidR="116D05CF" w:rsidRPr="00F92295">
        <w:rPr>
          <w:rFonts w:ascii="Arial" w:eastAsia="Arial" w:hAnsi="Arial" w:cs="Arial"/>
          <w:b/>
        </w:rPr>
        <w:t>R in the peripheral blood sample.</w:t>
      </w:r>
      <w:r w:rsidR="116D05CF" w:rsidRPr="6A5CBBD7">
        <w:rPr>
          <w:rFonts w:ascii="Arial" w:eastAsia="Arial" w:hAnsi="Arial" w:cs="Arial"/>
        </w:rPr>
        <w:t xml:space="preserve"> </w:t>
      </w:r>
      <w:r w:rsidR="116D05CF" w:rsidRPr="6A5CBBD7">
        <w:rPr>
          <w:rFonts w:ascii="Arial" w:eastAsia="Arial" w:hAnsi="Arial" w:cs="Arial"/>
          <w:b/>
          <w:bCs/>
        </w:rPr>
        <w:t>a</w:t>
      </w:r>
      <w:r w:rsidR="116D05CF" w:rsidRPr="6A5CBBD7">
        <w:rPr>
          <w:rFonts w:ascii="Arial" w:eastAsia="Arial" w:hAnsi="Arial" w:cs="Arial"/>
        </w:rPr>
        <w:t>: Per amplicon comparison of the fraction of cells with at least one sequencing read in the undigested and digested peripheral blood sample</w:t>
      </w:r>
      <w:r w:rsidR="60EC56F5" w:rsidRPr="6A5CBBD7">
        <w:rPr>
          <w:rFonts w:ascii="Arial" w:eastAsia="Arial" w:hAnsi="Arial" w:cs="Arial"/>
        </w:rPr>
        <w:t xml:space="preserve"> for </w:t>
      </w:r>
      <w:r w:rsidR="41702390" w:rsidRPr="6A5CBBD7">
        <w:rPr>
          <w:rFonts w:ascii="Arial" w:eastAsia="Arial" w:hAnsi="Arial" w:cs="Arial"/>
        </w:rPr>
        <w:t>each</w:t>
      </w:r>
      <w:r w:rsidR="60EC56F5" w:rsidRPr="6A5CBBD7">
        <w:rPr>
          <w:rFonts w:ascii="Arial" w:eastAsia="Arial" w:hAnsi="Arial" w:cs="Arial"/>
        </w:rPr>
        <w:t xml:space="preserve"> class of amplicons</w:t>
      </w:r>
      <w:r w:rsidR="62B6BADD" w:rsidRPr="6A5CBBD7">
        <w:rPr>
          <w:rFonts w:ascii="Arial" w:eastAsia="Arial" w:hAnsi="Arial" w:cs="Arial"/>
        </w:rPr>
        <w:t>.</w:t>
      </w:r>
      <w:r w:rsidR="116D05CF" w:rsidRPr="6A5CBBD7">
        <w:rPr>
          <w:rFonts w:ascii="Arial" w:eastAsia="Arial" w:hAnsi="Arial" w:cs="Arial"/>
        </w:rPr>
        <w:t xml:space="preserve"> </w:t>
      </w:r>
      <w:r w:rsidR="116D05CF" w:rsidRPr="6A5CBBD7">
        <w:rPr>
          <w:rFonts w:ascii="Arial" w:eastAsia="Arial" w:hAnsi="Arial" w:cs="Arial"/>
          <w:b/>
          <w:bCs/>
        </w:rPr>
        <w:t>b</w:t>
      </w:r>
      <w:r w:rsidR="116D05CF" w:rsidRPr="6A5CBBD7">
        <w:rPr>
          <w:rFonts w:ascii="Arial" w:eastAsia="Arial" w:hAnsi="Arial" w:cs="Arial"/>
        </w:rPr>
        <w:t xml:space="preserve">: Boxplots and median values for FNR and FPR. The FNR is estimated in the undigested control sample as the fraction of cells that do not receive a sequencing read across the B-cell-differentiation amplicons (n=424). The FPR is defined in the digested sample as the fraction of cells that receive a sequencing read in the always unmethylated amplicons (n=32). </w:t>
      </w:r>
    </w:p>
    <w:p w14:paraId="7911E556" w14:textId="3361504E" w:rsidR="6A5CBBD7" w:rsidRDefault="6A5CBBD7" w:rsidP="6A5CBBD7">
      <w:pPr>
        <w:jc w:val="both"/>
        <w:rPr>
          <w:rFonts w:ascii="Arial" w:eastAsia="Arial" w:hAnsi="Arial" w:cs="Arial"/>
        </w:rPr>
      </w:pPr>
    </w:p>
    <w:p w14:paraId="5B2D851A" w14:textId="5BC67542" w:rsidR="6A5CBBD7" w:rsidRDefault="6A5CBBD7" w:rsidP="6A5CBBD7">
      <w:pPr>
        <w:jc w:val="both"/>
        <w:rPr>
          <w:rFonts w:ascii="Arial" w:eastAsia="Arial" w:hAnsi="Arial" w:cs="Arial"/>
        </w:rPr>
      </w:pPr>
    </w:p>
    <w:p w14:paraId="2D1A669A" w14:textId="634861FD" w:rsidR="3018E4F6" w:rsidRDefault="3018E4F6" w:rsidP="6A5CBBD7">
      <w:pPr>
        <w:jc w:val="both"/>
        <w:rPr>
          <w:rFonts w:ascii="Calibri" w:eastAsia="Calibri" w:hAnsi="Calibri" w:cs="Calibri"/>
          <w:color w:val="2F5496" w:themeColor="accent1" w:themeShade="BF"/>
        </w:rPr>
      </w:pPr>
      <w:r>
        <w:rPr>
          <w:noProof/>
        </w:rPr>
        <w:lastRenderedPageBreak/>
        <w:drawing>
          <wp:inline distT="0" distB="0" distL="0" distR="0" wp14:anchorId="2473E656" wp14:editId="58F403FF">
            <wp:extent cx="4362450" cy="4057650"/>
            <wp:effectExtent l="0" t="0" r="0" b="0"/>
            <wp:docPr id="1741116353" name="Grafik 1741116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4362450" cy="4057650"/>
                    </a:xfrm>
                    <a:prstGeom prst="rect">
                      <a:avLst/>
                    </a:prstGeom>
                  </pic:spPr>
                </pic:pic>
              </a:graphicData>
            </a:graphic>
          </wp:inline>
        </w:drawing>
      </w:r>
      <w:r>
        <w:br/>
      </w:r>
      <w:r w:rsidRPr="00F92295">
        <w:rPr>
          <w:rFonts w:ascii="Arial" w:eastAsia="Arial" w:hAnsi="Arial" w:cs="Arial"/>
          <w:b/>
          <w:bCs/>
        </w:rPr>
        <w:t>Fig S3:</w:t>
      </w:r>
      <w:r w:rsidRPr="00F92295">
        <w:rPr>
          <w:rFonts w:ascii="Arial" w:eastAsia="Arial" w:hAnsi="Arial" w:cs="Arial"/>
          <w:b/>
        </w:rPr>
        <w:t xml:space="preserve"> </w:t>
      </w:r>
      <w:r w:rsidR="00F92295" w:rsidRPr="00F92295">
        <w:rPr>
          <w:rFonts w:ascii="Arial" w:eastAsia="Arial" w:hAnsi="Arial" w:cs="Arial"/>
          <w:b/>
        </w:rPr>
        <w:t>Comp</w:t>
      </w:r>
      <w:r w:rsidR="00F92295">
        <w:rPr>
          <w:rFonts w:ascii="Arial" w:eastAsia="Arial" w:hAnsi="Arial" w:cs="Arial"/>
          <w:b/>
        </w:rPr>
        <w:t>arison of</w:t>
      </w:r>
      <w:r w:rsidR="00F92295" w:rsidRPr="00F92295">
        <w:rPr>
          <w:rFonts w:ascii="Arial" w:eastAsia="Arial" w:hAnsi="Arial" w:cs="Arial"/>
          <w:b/>
        </w:rPr>
        <w:t xml:space="preserve"> the performance </w:t>
      </w:r>
      <w:r w:rsidR="00F92295">
        <w:rPr>
          <w:rFonts w:ascii="Arial" w:eastAsia="Arial" w:hAnsi="Arial" w:cs="Arial"/>
          <w:b/>
        </w:rPr>
        <w:t xml:space="preserve">of the </w:t>
      </w:r>
      <w:r w:rsidR="00F92295" w:rsidRPr="00F92295">
        <w:rPr>
          <w:rFonts w:ascii="Arial" w:eastAsia="Arial" w:hAnsi="Arial" w:cs="Arial"/>
          <w:b/>
        </w:rPr>
        <w:t>undigested samples.</w:t>
      </w:r>
      <w:r w:rsidR="0E52D775" w:rsidRPr="6A5CBBD7">
        <w:rPr>
          <w:rFonts w:ascii="Arial" w:eastAsia="Arial" w:hAnsi="Arial" w:cs="Arial"/>
          <w:b/>
          <w:bCs/>
        </w:rPr>
        <w:t xml:space="preserve"> </w:t>
      </w:r>
      <w:r w:rsidR="00815449" w:rsidRPr="00815449">
        <w:rPr>
          <w:rFonts w:ascii="Arial" w:eastAsia="Arial" w:hAnsi="Arial" w:cs="Arial"/>
        </w:rPr>
        <w:t>The y-axis shows the f</w:t>
      </w:r>
      <w:r w:rsidRPr="00815449">
        <w:rPr>
          <w:rFonts w:ascii="Arial" w:eastAsia="Arial" w:hAnsi="Arial" w:cs="Arial"/>
        </w:rPr>
        <w:t xml:space="preserve">raction of reads per amplicon in </w:t>
      </w:r>
      <w:r w:rsidR="00815449" w:rsidRPr="00815449">
        <w:rPr>
          <w:rFonts w:ascii="Arial" w:eastAsia="Arial" w:hAnsi="Arial" w:cs="Arial"/>
        </w:rPr>
        <w:t>the</w:t>
      </w:r>
      <w:r w:rsidRPr="00815449">
        <w:rPr>
          <w:rFonts w:ascii="Arial" w:eastAsia="Arial" w:hAnsi="Arial" w:cs="Arial"/>
        </w:rPr>
        <w:t xml:space="preserve"> undigested samples</w:t>
      </w:r>
      <w:r w:rsidR="00815449" w:rsidRPr="00815449">
        <w:rPr>
          <w:rFonts w:ascii="Arial" w:eastAsia="Arial" w:hAnsi="Arial" w:cs="Arial"/>
        </w:rPr>
        <w:t xml:space="preserve"> (blood/bone marrow)</w:t>
      </w:r>
      <w:r w:rsidRPr="00815449">
        <w:rPr>
          <w:rFonts w:ascii="Arial" w:eastAsia="Arial" w:hAnsi="Arial" w:cs="Arial"/>
        </w:rPr>
        <w:t>. For each sample, amplicons are ranked by the fraction of total reads per amplicon. BM: Bone marrow undigested sample. Blood: Peripheral blood undigested sample.</w:t>
      </w:r>
    </w:p>
    <w:p w14:paraId="694D95FB" w14:textId="1DD7D22D" w:rsidR="6A5CBBD7" w:rsidRDefault="6A5CBBD7" w:rsidP="6A5CBBD7">
      <w:pPr>
        <w:jc w:val="both"/>
        <w:rPr>
          <w:rFonts w:ascii="Arial" w:eastAsia="Arial" w:hAnsi="Arial" w:cs="Arial"/>
        </w:rPr>
      </w:pPr>
    </w:p>
    <w:p w14:paraId="1F2B93E2" w14:textId="5A01B4D4" w:rsidR="7A6AAC4E" w:rsidRDefault="7A6AAC4E" w:rsidP="7A6AAC4E">
      <w:pPr>
        <w:jc w:val="both"/>
        <w:rPr>
          <w:rFonts w:ascii="Arial" w:eastAsia="Arial" w:hAnsi="Arial" w:cs="Arial"/>
        </w:rPr>
      </w:pPr>
    </w:p>
    <w:p w14:paraId="7F60C37A" w14:textId="7A3B16D5" w:rsidR="6D5552A1" w:rsidRDefault="7036E744" w:rsidP="4A708109">
      <w:pPr>
        <w:jc w:val="both"/>
        <w:rPr>
          <w:rFonts w:ascii="Arial" w:eastAsia="Arial" w:hAnsi="Arial" w:cs="Arial"/>
        </w:rPr>
      </w:pPr>
      <w:r>
        <w:rPr>
          <w:noProof/>
        </w:rPr>
        <w:lastRenderedPageBreak/>
        <w:drawing>
          <wp:inline distT="0" distB="0" distL="0" distR="0" wp14:anchorId="2E42F807" wp14:editId="56B2E799">
            <wp:extent cx="5888361" cy="4772025"/>
            <wp:effectExtent l="0" t="0" r="0" b="0"/>
            <wp:docPr id="1025152815" name="Grafik 1025152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888361" cy="4772025"/>
                    </a:xfrm>
                    <a:prstGeom prst="rect">
                      <a:avLst/>
                    </a:prstGeom>
                  </pic:spPr>
                </pic:pic>
              </a:graphicData>
            </a:graphic>
          </wp:inline>
        </w:drawing>
      </w:r>
      <w:r w:rsidR="1D14D346" w:rsidRPr="00F92295">
        <w:rPr>
          <w:rFonts w:ascii="Arial" w:eastAsia="Arial" w:hAnsi="Arial" w:cs="Arial"/>
          <w:b/>
          <w:bCs/>
        </w:rPr>
        <w:t>Fig S</w:t>
      </w:r>
      <w:r w:rsidR="5821E6CA" w:rsidRPr="00F92295">
        <w:rPr>
          <w:rFonts w:ascii="Arial" w:eastAsia="Arial" w:hAnsi="Arial" w:cs="Arial"/>
          <w:b/>
          <w:bCs/>
        </w:rPr>
        <w:t>4</w:t>
      </w:r>
      <w:r w:rsidR="2A553BA0" w:rsidRPr="00F92295">
        <w:rPr>
          <w:rFonts w:ascii="Arial" w:eastAsia="Arial" w:hAnsi="Arial" w:cs="Arial"/>
          <w:b/>
          <w:bCs/>
        </w:rPr>
        <w:t>:</w:t>
      </w:r>
      <w:r w:rsidRPr="00F92295">
        <w:rPr>
          <w:rFonts w:ascii="Arial" w:eastAsia="Arial" w:hAnsi="Arial" w:cs="Arial"/>
          <w:b/>
        </w:rPr>
        <w:t xml:space="preserve"> </w:t>
      </w:r>
      <w:r w:rsidR="00F92295" w:rsidRPr="00F92295">
        <w:rPr>
          <w:rFonts w:ascii="Arial" w:eastAsia="Arial" w:hAnsi="Arial" w:cs="Arial"/>
          <w:b/>
        </w:rPr>
        <w:t>Comp</w:t>
      </w:r>
      <w:r w:rsidR="00F92295">
        <w:rPr>
          <w:rFonts w:ascii="Arial" w:eastAsia="Arial" w:hAnsi="Arial" w:cs="Arial"/>
          <w:b/>
        </w:rPr>
        <w:t>arison of</w:t>
      </w:r>
      <w:r w:rsidR="00F92295" w:rsidRPr="00F92295">
        <w:rPr>
          <w:rFonts w:ascii="Arial" w:eastAsia="Arial" w:hAnsi="Arial" w:cs="Arial"/>
          <w:b/>
        </w:rPr>
        <w:t xml:space="preserve"> the performance of the digested and undigested samples.</w:t>
      </w:r>
      <w:r w:rsidR="00F92295">
        <w:rPr>
          <w:rFonts w:ascii="Arial" w:eastAsia="Arial" w:hAnsi="Arial" w:cs="Arial"/>
        </w:rPr>
        <w:t xml:space="preserve"> </w:t>
      </w:r>
      <w:r w:rsidRPr="6A5CBBD7">
        <w:rPr>
          <w:rFonts w:ascii="Arial" w:eastAsia="Arial" w:hAnsi="Arial" w:cs="Arial"/>
        </w:rPr>
        <w:t>Comparison of the fraction of cells with at least one sequencing read for all digested and undigested samples exclusively for the non-HhaI (n=87) and constitutively methylated (n=21) amplicons. r: Pearson’s correlation coefficient.</w:t>
      </w:r>
    </w:p>
    <w:p w14:paraId="435BCFAA" w14:textId="3959638F" w:rsidR="40C3F2FA" w:rsidRDefault="40C3F2FA" w:rsidP="40C3F2FA">
      <w:pPr>
        <w:jc w:val="both"/>
        <w:rPr>
          <w:rFonts w:ascii="Arial" w:eastAsia="Arial" w:hAnsi="Arial" w:cs="Arial"/>
        </w:rPr>
      </w:pPr>
    </w:p>
    <w:p w14:paraId="0ADA107B" w14:textId="4076A1D4" w:rsidR="6D5552A1" w:rsidRDefault="08E99743" w:rsidP="00F92295">
      <w:r w:rsidRPr="23527CAB">
        <w:rPr>
          <w:rFonts w:ascii="Arial" w:eastAsia="Arial" w:hAnsi="Arial" w:cs="Arial"/>
        </w:rPr>
        <w:lastRenderedPageBreak/>
        <w:t xml:space="preserve"> </w:t>
      </w:r>
      <w:r w:rsidR="6D5552A1">
        <w:rPr>
          <w:noProof/>
        </w:rPr>
        <w:drawing>
          <wp:inline distT="0" distB="0" distL="0" distR="0" wp14:anchorId="0CC90E43" wp14:editId="7D638A19">
            <wp:extent cx="5528320" cy="4019550"/>
            <wp:effectExtent l="0" t="0" r="0" b="0"/>
            <wp:docPr id="1557927159" name="Picture 349129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12934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530579" cy="4021192"/>
                    </a:xfrm>
                    <a:prstGeom prst="rect">
                      <a:avLst/>
                    </a:prstGeom>
                  </pic:spPr>
                </pic:pic>
              </a:graphicData>
            </a:graphic>
          </wp:inline>
        </w:drawing>
      </w:r>
    </w:p>
    <w:p w14:paraId="7DED4F78" w14:textId="62268ABA" w:rsidR="650F2333" w:rsidRDefault="15B99738" w:rsidP="5DCA8543">
      <w:pPr>
        <w:jc w:val="both"/>
        <w:rPr>
          <w:rFonts w:ascii="Arial" w:eastAsia="Arial" w:hAnsi="Arial" w:cs="Arial"/>
        </w:rPr>
      </w:pPr>
      <w:r w:rsidRPr="00F92295">
        <w:rPr>
          <w:rFonts w:ascii="Arial" w:eastAsia="Arial" w:hAnsi="Arial" w:cs="Arial"/>
          <w:b/>
          <w:bCs/>
        </w:rPr>
        <w:t>Fig S</w:t>
      </w:r>
      <w:r w:rsidR="2CC27553" w:rsidRPr="00F92295">
        <w:rPr>
          <w:rFonts w:ascii="Arial" w:eastAsia="Arial" w:hAnsi="Arial" w:cs="Arial"/>
          <w:b/>
          <w:bCs/>
        </w:rPr>
        <w:t>5</w:t>
      </w:r>
      <w:r w:rsidR="1CD85623" w:rsidRPr="00F92295">
        <w:rPr>
          <w:rFonts w:ascii="Arial" w:eastAsia="Arial" w:hAnsi="Arial" w:cs="Arial"/>
          <w:b/>
          <w:bCs/>
        </w:rPr>
        <w:t>:</w:t>
      </w:r>
      <w:r w:rsidR="05D1E34B" w:rsidRPr="00F92295">
        <w:rPr>
          <w:rFonts w:ascii="Arial" w:eastAsia="Arial" w:hAnsi="Arial" w:cs="Arial"/>
          <w:b/>
        </w:rPr>
        <w:t xml:space="preserve"> </w:t>
      </w:r>
      <w:r w:rsidR="00F92295" w:rsidRPr="00F92295">
        <w:rPr>
          <w:rFonts w:ascii="Arial" w:eastAsia="Arial" w:hAnsi="Arial" w:cs="Arial"/>
          <w:b/>
        </w:rPr>
        <w:t>Analysis of the effect of GC content on amplicon performance.</w:t>
      </w:r>
      <w:r w:rsidR="00F92295">
        <w:rPr>
          <w:rFonts w:ascii="Arial" w:eastAsia="Arial" w:hAnsi="Arial" w:cs="Arial"/>
        </w:rPr>
        <w:t xml:space="preserve"> </w:t>
      </w:r>
      <w:r w:rsidR="05D1E34B" w:rsidRPr="6A5CBBD7">
        <w:rPr>
          <w:rFonts w:ascii="Arial" w:eastAsia="Arial" w:hAnsi="Arial" w:cs="Arial"/>
        </w:rPr>
        <w:t>(</w:t>
      </w:r>
      <w:r w:rsidR="05D1E34B" w:rsidRPr="6A5CBBD7">
        <w:rPr>
          <w:rFonts w:ascii="Arial" w:eastAsia="Arial" w:hAnsi="Arial" w:cs="Arial"/>
          <w:b/>
          <w:bCs/>
        </w:rPr>
        <w:t>a</w:t>
      </w:r>
      <w:r w:rsidR="05D1E34B" w:rsidRPr="6A5CBBD7">
        <w:rPr>
          <w:rFonts w:ascii="Arial" w:eastAsia="Arial" w:hAnsi="Arial" w:cs="Arial"/>
        </w:rPr>
        <w:t xml:space="preserve">) </w:t>
      </w:r>
      <w:r w:rsidR="2FC841B7" w:rsidRPr="6A5CBBD7">
        <w:rPr>
          <w:rFonts w:ascii="Arial" w:eastAsia="Arial" w:hAnsi="Arial" w:cs="Arial"/>
        </w:rPr>
        <w:t xml:space="preserve">CpG count </w:t>
      </w:r>
      <w:r w:rsidR="05D1E34B" w:rsidRPr="6A5CBBD7">
        <w:rPr>
          <w:rFonts w:ascii="Arial" w:eastAsia="Arial" w:hAnsi="Arial" w:cs="Arial"/>
        </w:rPr>
        <w:t>and (</w:t>
      </w:r>
      <w:r w:rsidR="05D1E34B" w:rsidRPr="6A5CBBD7">
        <w:rPr>
          <w:rFonts w:ascii="Arial" w:eastAsia="Arial" w:hAnsi="Arial" w:cs="Arial"/>
          <w:b/>
          <w:bCs/>
        </w:rPr>
        <w:t>b</w:t>
      </w:r>
      <w:r w:rsidR="05D1E34B" w:rsidRPr="6A5CBBD7">
        <w:rPr>
          <w:rFonts w:ascii="Arial" w:eastAsia="Arial" w:hAnsi="Arial" w:cs="Arial"/>
        </w:rPr>
        <w:t xml:space="preserve">) </w:t>
      </w:r>
      <w:r w:rsidR="2FC841B7" w:rsidRPr="6A5CBBD7">
        <w:rPr>
          <w:rFonts w:ascii="Arial" w:eastAsia="Arial" w:hAnsi="Arial" w:cs="Arial"/>
        </w:rPr>
        <w:t xml:space="preserve">GC content </w:t>
      </w:r>
      <w:r w:rsidR="05D1E34B" w:rsidRPr="6A5CBBD7">
        <w:rPr>
          <w:rFonts w:ascii="Arial" w:eastAsia="Arial" w:hAnsi="Arial" w:cs="Arial"/>
        </w:rPr>
        <w:t xml:space="preserve">stratified according to the different amplicon classes. </w:t>
      </w:r>
      <w:r w:rsidR="05D1E34B" w:rsidRPr="6A5CBBD7">
        <w:rPr>
          <w:rFonts w:ascii="Arial" w:eastAsia="Arial" w:hAnsi="Arial" w:cs="Arial"/>
          <w:b/>
          <w:bCs/>
        </w:rPr>
        <w:t>c</w:t>
      </w:r>
      <w:r w:rsidR="05D1E34B" w:rsidRPr="6A5CBBD7">
        <w:rPr>
          <w:rFonts w:ascii="Arial" w:eastAsia="Arial" w:hAnsi="Arial" w:cs="Arial"/>
        </w:rPr>
        <w:t>. Relationship between CpG count and dropout rate in the bone marrow sample for the amplicons of class ‘constitutively methylated’. The solid line represents the least-squares linear regression line.</w:t>
      </w:r>
    </w:p>
    <w:p w14:paraId="20858FC0" w14:textId="106BBEAB" w:rsidR="254992F3" w:rsidRDefault="254992F3" w:rsidP="254992F3">
      <w:pPr>
        <w:jc w:val="both"/>
        <w:rPr>
          <w:rFonts w:ascii="Arial" w:eastAsia="Arial" w:hAnsi="Arial" w:cs="Arial"/>
        </w:rPr>
      </w:pPr>
    </w:p>
    <w:p w14:paraId="309EDC6F" w14:textId="134381BA" w:rsidR="770AFED8" w:rsidRDefault="254992F3" w:rsidP="1BB0859E">
      <w:pPr>
        <w:jc w:val="both"/>
        <w:rPr>
          <w:rFonts w:ascii="Arial" w:eastAsia="Arial" w:hAnsi="Arial" w:cs="Arial"/>
        </w:rPr>
      </w:pPr>
      <w:r>
        <w:rPr>
          <w:noProof/>
        </w:rPr>
        <w:drawing>
          <wp:inline distT="0" distB="0" distL="0" distR="0" wp14:anchorId="1A34E60B" wp14:editId="1A369770">
            <wp:extent cx="5762625" cy="1500684"/>
            <wp:effectExtent l="0" t="0" r="0" b="0"/>
            <wp:docPr id="1464493688" name="Grafik 1464493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2625" cy="1500684"/>
                    </a:xfrm>
                    <a:prstGeom prst="rect">
                      <a:avLst/>
                    </a:prstGeom>
                  </pic:spPr>
                </pic:pic>
              </a:graphicData>
            </a:graphic>
          </wp:inline>
        </w:drawing>
      </w:r>
    </w:p>
    <w:p w14:paraId="45F89DFD" w14:textId="16F57C27" w:rsidR="770AFED8" w:rsidRDefault="7DA3BAB9" w:rsidP="6A5CBBD7">
      <w:pPr>
        <w:jc w:val="both"/>
        <w:rPr>
          <w:rFonts w:ascii="Arial" w:eastAsia="Arial" w:hAnsi="Arial" w:cs="Arial"/>
          <w:color w:val="00000A"/>
        </w:rPr>
      </w:pPr>
      <w:r w:rsidRPr="00F92295">
        <w:rPr>
          <w:rFonts w:ascii="Arial" w:eastAsia="Arial" w:hAnsi="Arial" w:cs="Arial"/>
          <w:b/>
          <w:bCs/>
        </w:rPr>
        <w:t xml:space="preserve">Fig </w:t>
      </w:r>
      <w:r w:rsidR="32200AC6" w:rsidRPr="00F92295">
        <w:rPr>
          <w:rFonts w:ascii="Arial" w:eastAsia="Arial" w:hAnsi="Arial" w:cs="Arial"/>
          <w:b/>
          <w:bCs/>
        </w:rPr>
        <w:t>S</w:t>
      </w:r>
      <w:r w:rsidR="716FA956" w:rsidRPr="00F92295">
        <w:rPr>
          <w:rFonts w:ascii="Arial" w:eastAsia="Arial" w:hAnsi="Arial" w:cs="Arial"/>
          <w:b/>
          <w:bCs/>
        </w:rPr>
        <w:t>6</w:t>
      </w:r>
      <w:r w:rsidRPr="00F92295">
        <w:rPr>
          <w:rFonts w:ascii="Arial" w:eastAsia="Arial" w:hAnsi="Arial" w:cs="Arial"/>
          <w:b/>
          <w:bCs/>
        </w:rPr>
        <w:t>:</w:t>
      </w:r>
      <w:r w:rsidRPr="00F92295">
        <w:rPr>
          <w:rFonts w:ascii="Arial" w:eastAsia="Arial" w:hAnsi="Arial" w:cs="Arial"/>
          <w:b/>
        </w:rPr>
        <w:t xml:space="preserve"> </w:t>
      </w:r>
      <w:r w:rsidR="00F92295">
        <w:rPr>
          <w:rFonts w:ascii="Arial" w:eastAsia="Arial" w:hAnsi="Arial" w:cs="Arial"/>
          <w:b/>
        </w:rPr>
        <w:t>S</w:t>
      </w:r>
      <w:r w:rsidRPr="00F92295">
        <w:rPr>
          <w:rFonts w:ascii="Arial" w:eastAsia="Arial" w:hAnsi="Arial" w:cs="Arial"/>
          <w:b/>
        </w:rPr>
        <w:t>urface</w:t>
      </w:r>
      <w:r w:rsidR="534C9C65" w:rsidRPr="00F92295">
        <w:rPr>
          <w:rFonts w:ascii="Arial" w:eastAsia="Arial" w:hAnsi="Arial" w:cs="Arial"/>
          <w:b/>
        </w:rPr>
        <w:t>-</w:t>
      </w:r>
      <w:r w:rsidRPr="00F92295">
        <w:rPr>
          <w:rFonts w:ascii="Arial" w:eastAsia="Arial" w:hAnsi="Arial" w:cs="Arial"/>
          <w:b/>
        </w:rPr>
        <w:t xml:space="preserve">protein expression </w:t>
      </w:r>
      <w:r w:rsidR="00F92295">
        <w:rPr>
          <w:rFonts w:ascii="Arial" w:eastAsia="Arial" w:hAnsi="Arial" w:cs="Arial"/>
          <w:b/>
        </w:rPr>
        <w:t xml:space="preserve">of selected markers </w:t>
      </w:r>
      <w:r w:rsidRPr="00F92295">
        <w:rPr>
          <w:rFonts w:ascii="Arial" w:eastAsia="Arial" w:hAnsi="Arial" w:cs="Arial"/>
          <w:b/>
        </w:rPr>
        <w:t>in the peripheral blood sample.</w:t>
      </w:r>
      <w:r w:rsidRPr="6A5CBBD7">
        <w:rPr>
          <w:rFonts w:ascii="Arial" w:eastAsia="Arial" w:hAnsi="Arial" w:cs="Arial"/>
        </w:rPr>
        <w:t xml:space="preserve"> </w:t>
      </w:r>
      <w:r w:rsidR="17F3C530" w:rsidRPr="6A5CBBD7">
        <w:rPr>
          <w:rFonts w:ascii="Arial" w:eastAsia="Arial" w:hAnsi="Arial" w:cs="Arial"/>
          <w:b/>
          <w:bCs/>
          <w:color w:val="00000A"/>
        </w:rPr>
        <w:t>a.</w:t>
      </w:r>
      <w:r w:rsidR="17F3C530" w:rsidRPr="6A5CBBD7">
        <w:rPr>
          <w:rFonts w:ascii="Arial" w:eastAsia="Arial" w:hAnsi="Arial" w:cs="Arial"/>
          <w:color w:val="00000A"/>
        </w:rPr>
        <w:t xml:space="preserve"> Boxplots with single-cell surface</w:t>
      </w:r>
      <w:r w:rsidR="75791E90" w:rsidRPr="6A5CBBD7">
        <w:rPr>
          <w:rFonts w:ascii="Arial" w:eastAsia="Arial" w:hAnsi="Arial" w:cs="Arial"/>
          <w:color w:val="00000A"/>
        </w:rPr>
        <w:t>-</w:t>
      </w:r>
      <w:r w:rsidR="17F3C530" w:rsidRPr="6A5CBBD7">
        <w:rPr>
          <w:rFonts w:ascii="Arial" w:eastAsia="Arial" w:hAnsi="Arial" w:cs="Arial"/>
          <w:color w:val="00000A"/>
        </w:rPr>
        <w:t xml:space="preserve">protein expression levels. The markers were selected due to their expression profile in previous CITE-seq atlases (Triana </w:t>
      </w:r>
      <w:r w:rsidR="17F3C530" w:rsidRPr="6A5CBBD7">
        <w:rPr>
          <w:rFonts w:ascii="Arial" w:eastAsia="Arial" w:hAnsi="Arial" w:cs="Arial"/>
          <w:i/>
          <w:iCs/>
          <w:color w:val="00000A"/>
        </w:rPr>
        <w:t>et al.</w:t>
      </w:r>
      <w:r w:rsidR="17F3C530" w:rsidRPr="6A5CBBD7">
        <w:rPr>
          <w:rFonts w:ascii="Arial" w:eastAsia="Arial" w:hAnsi="Arial" w:cs="Arial"/>
          <w:color w:val="00000A"/>
        </w:rPr>
        <w:t xml:space="preserve">, 2021). </w:t>
      </w:r>
      <w:r w:rsidR="4AA8F7B3" w:rsidRPr="6A5CBBD7">
        <w:rPr>
          <w:rFonts w:ascii="Arial" w:eastAsia="Arial" w:hAnsi="Arial" w:cs="Arial"/>
          <w:color w:val="00000A"/>
        </w:rPr>
        <w:t>From left to right: naive, non-switched (ns</w:t>
      </w:r>
      <w:r w:rsidR="728D8325" w:rsidRPr="6A5CBBD7">
        <w:rPr>
          <w:rFonts w:ascii="Arial" w:eastAsia="Arial" w:hAnsi="Arial" w:cs="Arial"/>
          <w:color w:val="00000A"/>
        </w:rPr>
        <w:t>-</w:t>
      </w:r>
      <w:r w:rsidR="4AA8F7B3" w:rsidRPr="6A5CBBD7">
        <w:rPr>
          <w:rFonts w:ascii="Arial" w:eastAsia="Arial" w:hAnsi="Arial" w:cs="Arial"/>
          <w:color w:val="00000A"/>
        </w:rPr>
        <w:t>) and class</w:t>
      </w:r>
      <w:r w:rsidR="3309FD33" w:rsidRPr="6A5CBBD7">
        <w:rPr>
          <w:rFonts w:ascii="Arial" w:eastAsia="Arial" w:hAnsi="Arial" w:cs="Arial"/>
          <w:color w:val="00000A"/>
        </w:rPr>
        <w:t>-</w:t>
      </w:r>
      <w:r w:rsidR="4AA8F7B3" w:rsidRPr="6A5CBBD7">
        <w:rPr>
          <w:rFonts w:ascii="Arial" w:eastAsia="Arial" w:hAnsi="Arial" w:cs="Arial"/>
          <w:color w:val="00000A"/>
        </w:rPr>
        <w:t>switch</w:t>
      </w:r>
      <w:r w:rsidR="78AB6FF9" w:rsidRPr="6A5CBBD7">
        <w:rPr>
          <w:rFonts w:ascii="Arial" w:eastAsia="Arial" w:hAnsi="Arial" w:cs="Arial"/>
          <w:color w:val="00000A"/>
        </w:rPr>
        <w:t>ed</w:t>
      </w:r>
      <w:r w:rsidR="4AA8F7B3" w:rsidRPr="6A5CBBD7">
        <w:rPr>
          <w:rFonts w:ascii="Arial" w:eastAsia="Arial" w:hAnsi="Arial" w:cs="Arial"/>
          <w:color w:val="00000A"/>
        </w:rPr>
        <w:t xml:space="preserve"> (cs-) memory B</w:t>
      </w:r>
      <w:r w:rsidR="6E82B3BF" w:rsidRPr="6A5CBBD7">
        <w:rPr>
          <w:rFonts w:ascii="Arial" w:eastAsia="Arial" w:hAnsi="Arial" w:cs="Arial"/>
          <w:color w:val="00000A"/>
        </w:rPr>
        <w:t xml:space="preserve"> cells.</w:t>
      </w:r>
      <w:r w:rsidR="4AA8F7B3" w:rsidRPr="6A5CBBD7">
        <w:rPr>
          <w:rFonts w:ascii="Arial" w:eastAsia="Arial" w:hAnsi="Arial" w:cs="Arial"/>
          <w:color w:val="00000A"/>
        </w:rPr>
        <w:t xml:space="preserve"> </w:t>
      </w:r>
      <w:r w:rsidR="17F3C530" w:rsidRPr="6A5CBBD7">
        <w:rPr>
          <w:rFonts w:ascii="Arial" w:eastAsia="Arial" w:hAnsi="Arial" w:cs="Arial"/>
          <w:color w:val="00000A"/>
        </w:rPr>
        <w:t>***: Two-sided Wilcoxon test p-value&lt;0.001.</w:t>
      </w:r>
      <w:r w:rsidR="17F3C530" w:rsidRPr="6A5CBBD7">
        <w:rPr>
          <w:rFonts w:ascii="Arial" w:eastAsia="Arial" w:hAnsi="Arial" w:cs="Arial"/>
          <w:b/>
          <w:bCs/>
          <w:color w:val="00000A"/>
        </w:rPr>
        <w:t xml:space="preserve"> b. </w:t>
      </w:r>
      <w:r w:rsidR="17F3C530" w:rsidRPr="6A5CBBD7">
        <w:rPr>
          <w:rFonts w:ascii="Arial" w:eastAsia="Arial" w:hAnsi="Arial" w:cs="Arial"/>
          <w:color w:val="00000A"/>
        </w:rPr>
        <w:t>Scatterplot comparing surface</w:t>
      </w:r>
      <w:r w:rsidR="5654A3A2" w:rsidRPr="6A5CBBD7">
        <w:rPr>
          <w:rFonts w:ascii="Arial" w:eastAsia="Arial" w:hAnsi="Arial" w:cs="Arial"/>
          <w:color w:val="00000A"/>
        </w:rPr>
        <w:t>-</w:t>
      </w:r>
      <w:r w:rsidR="17F3C530" w:rsidRPr="6A5CBBD7">
        <w:rPr>
          <w:rFonts w:ascii="Arial" w:eastAsia="Arial" w:hAnsi="Arial" w:cs="Arial"/>
          <w:color w:val="00000A"/>
        </w:rPr>
        <w:t>protein expression across different clusters. Numbers in quadrants represent the fraction of naive B cells (left panel) and cs-memory B cells (right panel) across all cells in the quadrant.</w:t>
      </w:r>
      <w:r w:rsidR="3294042B" w:rsidRPr="6A5CBBD7">
        <w:rPr>
          <w:rFonts w:ascii="Arial" w:eastAsia="Arial" w:hAnsi="Arial" w:cs="Arial"/>
          <w:color w:val="00000A"/>
        </w:rPr>
        <w:t xml:space="preserve"> Naive B cells (ora</w:t>
      </w:r>
      <w:r w:rsidR="1DEB67B5" w:rsidRPr="6A5CBBD7">
        <w:rPr>
          <w:rFonts w:ascii="Arial" w:eastAsia="Arial" w:hAnsi="Arial" w:cs="Arial"/>
          <w:color w:val="00000A"/>
        </w:rPr>
        <w:t>n</w:t>
      </w:r>
      <w:r w:rsidR="3294042B" w:rsidRPr="6A5CBBD7">
        <w:rPr>
          <w:rFonts w:ascii="Arial" w:eastAsia="Arial" w:hAnsi="Arial" w:cs="Arial"/>
          <w:color w:val="00000A"/>
        </w:rPr>
        <w:t xml:space="preserve">ge), non-switched memory B cells (ns-, red), </w:t>
      </w:r>
      <w:r w:rsidR="6EC4B70A" w:rsidRPr="6A5CBBD7">
        <w:rPr>
          <w:rFonts w:ascii="Arial" w:eastAsia="Arial" w:hAnsi="Arial" w:cs="Arial"/>
          <w:color w:val="00000A"/>
        </w:rPr>
        <w:t>class-switched memory B- cells (purple).</w:t>
      </w:r>
    </w:p>
    <w:p w14:paraId="4E0C335B" w14:textId="2554D23F" w:rsidR="254992F3" w:rsidRDefault="254992F3" w:rsidP="254992F3">
      <w:pPr>
        <w:jc w:val="both"/>
        <w:rPr>
          <w:rFonts w:ascii="Arial" w:eastAsia="Arial" w:hAnsi="Arial" w:cs="Arial"/>
          <w:color w:val="00000A"/>
        </w:rPr>
      </w:pPr>
    </w:p>
    <w:p w14:paraId="72D29C22" w14:textId="77777777" w:rsidR="000A0CC4" w:rsidRDefault="05247CE6" w:rsidP="6A5CBBD7">
      <w:pPr>
        <w:spacing w:line="256" w:lineRule="auto"/>
        <w:jc w:val="both"/>
        <w:rPr>
          <w:rFonts w:ascii="Arial" w:eastAsia="Arial" w:hAnsi="Arial" w:cs="Arial"/>
          <w:b/>
          <w:bCs/>
        </w:rPr>
      </w:pPr>
      <w:r>
        <w:rPr>
          <w:noProof/>
        </w:rPr>
        <w:drawing>
          <wp:inline distT="0" distB="0" distL="0" distR="0" wp14:anchorId="1E6D14B0" wp14:editId="14916E68">
            <wp:extent cx="5972175" cy="5972175"/>
            <wp:effectExtent l="0" t="0" r="0" b="0"/>
            <wp:docPr id="2115251209" name="Grafik 2115251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115251209"/>
                    <pic:cNvPicPr/>
                  </pic:nvPicPr>
                  <pic:blipFill>
                    <a:blip r:embed="rId13">
                      <a:extLst>
                        <a:ext uri="{28A0092B-C50C-407E-A947-70E740481C1C}">
                          <a14:useLocalDpi xmlns:a14="http://schemas.microsoft.com/office/drawing/2010/main" val="0"/>
                        </a:ext>
                      </a:extLst>
                    </a:blip>
                    <a:stretch>
                      <a:fillRect/>
                    </a:stretch>
                  </pic:blipFill>
                  <pic:spPr>
                    <a:xfrm>
                      <a:off x="0" y="0"/>
                      <a:ext cx="5972175" cy="5972175"/>
                    </a:xfrm>
                    <a:prstGeom prst="rect">
                      <a:avLst/>
                    </a:prstGeom>
                  </pic:spPr>
                </pic:pic>
              </a:graphicData>
            </a:graphic>
          </wp:inline>
        </w:drawing>
      </w:r>
    </w:p>
    <w:p w14:paraId="044412EA" w14:textId="1C75EB5A" w:rsidR="3B7928C7" w:rsidRDefault="0BA972A1" w:rsidP="6A5CBBD7">
      <w:pPr>
        <w:spacing w:line="256" w:lineRule="auto"/>
        <w:jc w:val="both"/>
        <w:rPr>
          <w:rFonts w:ascii="Arial" w:eastAsia="Arial" w:hAnsi="Arial" w:cs="Arial"/>
          <w:color w:val="00000A"/>
        </w:rPr>
      </w:pPr>
      <w:bookmarkStart w:id="0" w:name="_GoBack"/>
      <w:bookmarkEnd w:id="0"/>
      <w:r w:rsidRPr="6A5CBBD7">
        <w:rPr>
          <w:rFonts w:ascii="Arial" w:eastAsia="Arial" w:hAnsi="Arial" w:cs="Arial"/>
          <w:b/>
          <w:bCs/>
        </w:rPr>
        <w:t>Fig S</w:t>
      </w:r>
      <w:r w:rsidR="5478B661" w:rsidRPr="6A5CBBD7">
        <w:rPr>
          <w:rFonts w:ascii="Arial" w:eastAsia="Arial" w:hAnsi="Arial" w:cs="Arial"/>
          <w:b/>
          <w:bCs/>
        </w:rPr>
        <w:t>7</w:t>
      </w:r>
      <w:r w:rsidR="77C38AC6" w:rsidRPr="6A5CBBD7">
        <w:rPr>
          <w:rFonts w:ascii="Arial" w:eastAsia="Arial" w:hAnsi="Arial" w:cs="Arial"/>
          <w:b/>
          <w:bCs/>
        </w:rPr>
        <w:t>:</w:t>
      </w:r>
      <w:r w:rsidR="77C38AC6" w:rsidRPr="6A5CBBD7">
        <w:rPr>
          <w:rFonts w:ascii="Arial" w:eastAsia="Arial" w:hAnsi="Arial" w:cs="Arial"/>
        </w:rPr>
        <w:t xml:space="preserve"> </w:t>
      </w:r>
      <w:r w:rsidR="00F92295" w:rsidRPr="00F92295">
        <w:rPr>
          <w:rFonts w:ascii="Arial" w:eastAsia="Arial" w:hAnsi="Arial" w:cs="Arial"/>
          <w:b/>
        </w:rPr>
        <w:t>Surface-protein expression in the peripheral blood sample.</w:t>
      </w:r>
      <w:r w:rsidR="00F92295" w:rsidRPr="6A5CBBD7">
        <w:rPr>
          <w:rFonts w:ascii="Arial" w:eastAsia="Arial" w:hAnsi="Arial" w:cs="Arial"/>
        </w:rPr>
        <w:t xml:space="preserve"> </w:t>
      </w:r>
      <w:r w:rsidR="77C38AC6" w:rsidRPr="6A5CBBD7">
        <w:rPr>
          <w:rFonts w:ascii="Arial" w:eastAsia="Arial" w:hAnsi="Arial" w:cs="Arial"/>
        </w:rPr>
        <w:t>Combined box- and violin-plot displaying the CLR-normalized expression for all 46 surface proteins analyzed using scTAM-seq across the three DNAm-based cell clusters.</w:t>
      </w:r>
      <w:r w:rsidR="133B108D" w:rsidRPr="6A5CBBD7">
        <w:rPr>
          <w:rFonts w:ascii="Arial" w:eastAsia="Arial" w:hAnsi="Arial" w:cs="Arial"/>
        </w:rPr>
        <w:t xml:space="preserve"> In each panel f</w:t>
      </w:r>
      <w:r w:rsidR="133B108D" w:rsidRPr="6A5CBBD7">
        <w:rPr>
          <w:rFonts w:ascii="Arial" w:eastAsia="Arial" w:hAnsi="Arial" w:cs="Arial"/>
          <w:color w:val="00000A"/>
        </w:rPr>
        <w:t>rom left to right: naive, non-switched (ns-) and class-switched (cs-) memory B cells.</w:t>
      </w:r>
    </w:p>
    <w:p w14:paraId="573AEC4F" w14:textId="1185EC87" w:rsidR="254992F3" w:rsidRDefault="254992F3" w:rsidP="254992F3">
      <w:pPr>
        <w:jc w:val="both"/>
        <w:rPr>
          <w:rFonts w:ascii="Arial" w:eastAsia="Arial" w:hAnsi="Arial" w:cs="Arial"/>
        </w:rPr>
      </w:pPr>
    </w:p>
    <w:p w14:paraId="08175509" w14:textId="6A5393E7" w:rsidR="6A5CBBD7" w:rsidRDefault="05247CE6" w:rsidP="6A5CBBD7">
      <w:pPr>
        <w:spacing w:line="256" w:lineRule="auto"/>
        <w:jc w:val="both"/>
        <w:rPr>
          <w:rFonts w:ascii="Arial" w:eastAsia="Arial" w:hAnsi="Arial" w:cs="Arial"/>
        </w:rPr>
      </w:pPr>
      <w:r>
        <w:rPr>
          <w:noProof/>
        </w:rPr>
        <w:lastRenderedPageBreak/>
        <w:drawing>
          <wp:inline distT="0" distB="0" distL="0" distR="0" wp14:anchorId="59CEB026" wp14:editId="3250FC2E">
            <wp:extent cx="6067424" cy="2186801"/>
            <wp:effectExtent l="0" t="0" r="0" b="0"/>
            <wp:docPr id="103631731" name="Grafik 103631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3631731"/>
                    <pic:cNvPicPr/>
                  </pic:nvPicPr>
                  <pic:blipFill>
                    <a:blip r:embed="rId14">
                      <a:extLst>
                        <a:ext uri="{28A0092B-C50C-407E-A947-70E740481C1C}">
                          <a14:useLocalDpi xmlns:a14="http://schemas.microsoft.com/office/drawing/2010/main" val="0"/>
                        </a:ext>
                      </a:extLst>
                    </a:blip>
                    <a:stretch>
                      <a:fillRect/>
                    </a:stretch>
                  </pic:blipFill>
                  <pic:spPr>
                    <a:xfrm>
                      <a:off x="0" y="0"/>
                      <a:ext cx="6067424" cy="2186801"/>
                    </a:xfrm>
                    <a:prstGeom prst="rect">
                      <a:avLst/>
                    </a:prstGeom>
                  </pic:spPr>
                </pic:pic>
              </a:graphicData>
            </a:graphic>
          </wp:inline>
        </w:drawing>
      </w:r>
      <w:r w:rsidR="757D9EA8" w:rsidRPr="00F92295">
        <w:rPr>
          <w:rFonts w:ascii="Arial" w:eastAsia="Arial" w:hAnsi="Arial" w:cs="Arial"/>
          <w:b/>
          <w:bCs/>
        </w:rPr>
        <w:t>Fig S</w:t>
      </w:r>
      <w:r w:rsidR="69E0EF73" w:rsidRPr="00F92295">
        <w:rPr>
          <w:rFonts w:ascii="Arial" w:eastAsia="Arial" w:hAnsi="Arial" w:cs="Arial"/>
          <w:b/>
          <w:bCs/>
        </w:rPr>
        <w:t>8</w:t>
      </w:r>
      <w:r w:rsidR="05D1E34B" w:rsidRPr="00F92295">
        <w:rPr>
          <w:rFonts w:ascii="Arial" w:eastAsia="Arial" w:hAnsi="Arial" w:cs="Arial"/>
          <w:b/>
          <w:bCs/>
        </w:rPr>
        <w:t>:</w:t>
      </w:r>
      <w:r w:rsidR="05D1E34B" w:rsidRPr="00F92295">
        <w:rPr>
          <w:rFonts w:ascii="Arial" w:eastAsia="Arial" w:hAnsi="Arial" w:cs="Arial"/>
          <w:b/>
        </w:rPr>
        <w:t xml:space="preserve"> Comparison of bulk and pseudo-bulk DNAm values for class-switched and non-switched memory B cells</w:t>
      </w:r>
      <w:r w:rsidR="00F92295">
        <w:rPr>
          <w:rFonts w:ascii="Arial" w:eastAsia="Arial" w:hAnsi="Arial" w:cs="Arial"/>
        </w:rPr>
        <w:t>. F</w:t>
      </w:r>
      <w:r w:rsidR="05D1E34B" w:rsidRPr="6A5CBBD7">
        <w:rPr>
          <w:rFonts w:ascii="Arial" w:eastAsia="Arial" w:hAnsi="Arial" w:cs="Arial"/>
        </w:rPr>
        <w:t xml:space="preserve">or the 20 CpGs with the highest mean difference in the bulk </w:t>
      </w:r>
      <w:r w:rsidR="43CBA6B3" w:rsidRPr="6A5CBBD7">
        <w:rPr>
          <w:rFonts w:ascii="Arial" w:eastAsia="Arial" w:hAnsi="Arial" w:cs="Arial"/>
        </w:rPr>
        <w:t xml:space="preserve">DNAm </w:t>
      </w:r>
      <w:r w:rsidR="00F92295">
        <w:rPr>
          <w:rFonts w:ascii="Arial" w:eastAsia="Arial" w:hAnsi="Arial" w:cs="Arial"/>
        </w:rPr>
        <w:t xml:space="preserve">data, </w:t>
      </w:r>
      <w:r w:rsidR="00830419">
        <w:rPr>
          <w:rFonts w:ascii="Arial" w:eastAsia="Arial" w:hAnsi="Arial" w:cs="Arial"/>
        </w:rPr>
        <w:t xml:space="preserve">bulk and pseudo-bulk (=SingleCell) </w:t>
      </w:r>
      <w:r w:rsidR="00F92295">
        <w:rPr>
          <w:rFonts w:ascii="Arial" w:eastAsia="Arial" w:hAnsi="Arial" w:cs="Arial"/>
        </w:rPr>
        <w:t>methylation values are listed.</w:t>
      </w:r>
    </w:p>
    <w:p w14:paraId="7639293F" w14:textId="77777777" w:rsidR="00F92295" w:rsidRDefault="00F92295" w:rsidP="6A5CBBD7">
      <w:pPr>
        <w:spacing w:line="256" w:lineRule="auto"/>
        <w:jc w:val="both"/>
        <w:rPr>
          <w:rFonts w:ascii="Arial" w:eastAsia="Arial" w:hAnsi="Arial" w:cs="Arial"/>
        </w:rPr>
      </w:pPr>
    </w:p>
    <w:p w14:paraId="470E5735" w14:textId="77777777" w:rsidR="000A0CC4" w:rsidRDefault="601BA597" w:rsidP="6A5CBBD7">
      <w:pPr>
        <w:spacing w:line="256" w:lineRule="auto"/>
        <w:jc w:val="both"/>
        <w:rPr>
          <w:rFonts w:ascii="Arial" w:eastAsia="Arial" w:hAnsi="Arial" w:cs="Arial"/>
          <w:b/>
          <w:bCs/>
        </w:rPr>
      </w:pPr>
      <w:r>
        <w:rPr>
          <w:noProof/>
        </w:rPr>
        <w:drawing>
          <wp:inline distT="0" distB="0" distL="0" distR="0" wp14:anchorId="20264617" wp14:editId="62D59448">
            <wp:extent cx="5921445" cy="2800350"/>
            <wp:effectExtent l="0" t="0" r="0" b="0"/>
            <wp:docPr id="415650138" name="Grafik 415650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21445" cy="2800350"/>
                    </a:xfrm>
                    <a:prstGeom prst="rect">
                      <a:avLst/>
                    </a:prstGeom>
                  </pic:spPr>
                </pic:pic>
              </a:graphicData>
            </a:graphic>
          </wp:inline>
        </w:drawing>
      </w:r>
    </w:p>
    <w:p w14:paraId="1817EF23" w14:textId="1CA6D38C" w:rsidR="3F52535B" w:rsidRDefault="3C0D6EB8" w:rsidP="6A5CBBD7">
      <w:pPr>
        <w:spacing w:line="256" w:lineRule="auto"/>
        <w:jc w:val="both"/>
        <w:rPr>
          <w:rFonts w:ascii="Arial" w:eastAsia="Arial" w:hAnsi="Arial" w:cs="Arial"/>
          <w:highlight w:val="yellow"/>
        </w:rPr>
      </w:pPr>
      <w:r w:rsidRPr="00F92295">
        <w:rPr>
          <w:rFonts w:ascii="Arial" w:eastAsia="Arial" w:hAnsi="Arial" w:cs="Arial"/>
          <w:b/>
          <w:bCs/>
        </w:rPr>
        <w:t>Fig S</w:t>
      </w:r>
      <w:r w:rsidR="27365BBB" w:rsidRPr="00F92295">
        <w:rPr>
          <w:rFonts w:ascii="Arial" w:eastAsia="Arial" w:hAnsi="Arial" w:cs="Arial"/>
          <w:b/>
          <w:bCs/>
        </w:rPr>
        <w:t>9</w:t>
      </w:r>
      <w:r w:rsidR="05D1E34B" w:rsidRPr="00F92295">
        <w:rPr>
          <w:rFonts w:ascii="Arial" w:eastAsia="Arial" w:hAnsi="Arial" w:cs="Arial"/>
          <w:b/>
          <w:bCs/>
        </w:rPr>
        <w:t>:</w:t>
      </w:r>
      <w:r w:rsidR="05D1E34B" w:rsidRPr="00F92295">
        <w:rPr>
          <w:rFonts w:ascii="Arial" w:eastAsia="Arial" w:hAnsi="Arial" w:cs="Arial"/>
          <w:b/>
        </w:rPr>
        <w:t xml:space="preserve"> Heatmap visualizing the DNA</w:t>
      </w:r>
      <w:r w:rsidR="271A036A" w:rsidRPr="00F92295">
        <w:rPr>
          <w:rFonts w:ascii="Arial" w:eastAsia="Arial" w:hAnsi="Arial" w:cs="Arial"/>
          <w:b/>
        </w:rPr>
        <w:t>m</w:t>
      </w:r>
      <w:r w:rsidR="05D1E34B" w:rsidRPr="00F92295">
        <w:rPr>
          <w:rFonts w:ascii="Arial" w:eastAsia="Arial" w:hAnsi="Arial" w:cs="Arial"/>
          <w:b/>
        </w:rPr>
        <w:t xml:space="preserve"> states determined using scTAM-seq for the 2,366 cells in the pre/immature B-cell cluster</w:t>
      </w:r>
      <w:r w:rsidR="00F92295">
        <w:rPr>
          <w:rFonts w:ascii="Arial" w:eastAsia="Arial" w:hAnsi="Arial" w:cs="Arial"/>
          <w:b/>
        </w:rPr>
        <w:t xml:space="preserve">. </w:t>
      </w:r>
      <w:r w:rsidR="00F92295" w:rsidRPr="00F92295">
        <w:rPr>
          <w:rFonts w:ascii="Arial" w:eastAsia="Arial" w:hAnsi="Arial" w:cs="Arial"/>
        </w:rPr>
        <w:t>The heatmap represents data</w:t>
      </w:r>
      <w:r w:rsidR="05D1E34B" w:rsidRPr="00F92295">
        <w:rPr>
          <w:rFonts w:ascii="Arial" w:eastAsia="Arial" w:hAnsi="Arial" w:cs="Arial"/>
        </w:rPr>
        <w:t xml:space="preserve"> across the 313 selected amplicons. </w:t>
      </w:r>
      <w:r w:rsidR="3D7B62FD" w:rsidRPr="00F92295">
        <w:rPr>
          <w:rFonts w:ascii="Arial" w:eastAsia="Arial" w:hAnsi="Arial" w:cs="Arial"/>
        </w:rPr>
        <w:t>Left</w:t>
      </w:r>
      <w:r w:rsidR="31B69A79" w:rsidRPr="00F92295">
        <w:rPr>
          <w:rFonts w:ascii="Arial" w:eastAsia="Arial" w:hAnsi="Arial" w:cs="Arial"/>
        </w:rPr>
        <w:t xml:space="preserve"> part of the heatmap</w:t>
      </w:r>
      <w:r w:rsidR="3D7B62FD" w:rsidRPr="00F92295">
        <w:rPr>
          <w:rFonts w:ascii="Arial" w:eastAsia="Arial" w:hAnsi="Arial" w:cs="Arial"/>
        </w:rPr>
        <w:t>: immature</w:t>
      </w:r>
      <w:r w:rsidR="3D7B62FD" w:rsidRPr="6A5CBBD7">
        <w:rPr>
          <w:rFonts w:ascii="Arial" w:eastAsia="Arial" w:hAnsi="Arial" w:cs="Arial"/>
        </w:rPr>
        <w:t xml:space="preserve"> B cell, right</w:t>
      </w:r>
      <w:r w:rsidR="437F34CE" w:rsidRPr="6A5CBBD7">
        <w:rPr>
          <w:rFonts w:ascii="Arial" w:eastAsia="Arial" w:hAnsi="Arial" w:cs="Arial"/>
        </w:rPr>
        <w:t xml:space="preserve"> part</w:t>
      </w:r>
      <w:r w:rsidR="3D7B62FD" w:rsidRPr="6A5CBBD7">
        <w:rPr>
          <w:rFonts w:ascii="Arial" w:eastAsia="Arial" w:hAnsi="Arial" w:cs="Arial"/>
        </w:rPr>
        <w:t xml:space="preserve">: Pre-B cells. </w:t>
      </w:r>
    </w:p>
    <w:p w14:paraId="1FE7C0E2" w14:textId="033568B5" w:rsidR="2472F5E8" w:rsidRDefault="2472F5E8" w:rsidP="2472F5E8">
      <w:pPr>
        <w:pStyle w:val="Standard1"/>
        <w:spacing w:line="256" w:lineRule="auto"/>
        <w:rPr>
          <w:rFonts w:ascii="Arial" w:eastAsia="Arial" w:hAnsi="Arial" w:cs="Arial"/>
        </w:rPr>
      </w:pPr>
    </w:p>
    <w:p w14:paraId="66A1FEE5" w14:textId="77777777" w:rsidR="000A0CC4" w:rsidRDefault="44DCDAC6" w:rsidP="2472F5E8">
      <w:pPr>
        <w:pStyle w:val="Standard1"/>
        <w:spacing w:line="256" w:lineRule="auto"/>
        <w:jc w:val="both"/>
        <w:rPr>
          <w:rFonts w:ascii="Arial" w:eastAsia="Arial" w:hAnsi="Arial" w:cs="Arial"/>
          <w:b/>
          <w:bCs/>
        </w:rPr>
      </w:pPr>
      <w:r>
        <w:rPr>
          <w:noProof/>
        </w:rPr>
        <w:lastRenderedPageBreak/>
        <w:drawing>
          <wp:inline distT="0" distB="0" distL="0" distR="0" wp14:anchorId="1AB1A882" wp14:editId="2C4A49F4">
            <wp:extent cx="5913274" cy="4829175"/>
            <wp:effectExtent l="0" t="0" r="0" b="0"/>
            <wp:docPr id="720738926" name="Grafik 720738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13274" cy="4829175"/>
                    </a:xfrm>
                    <a:prstGeom prst="rect">
                      <a:avLst/>
                    </a:prstGeom>
                  </pic:spPr>
                </pic:pic>
              </a:graphicData>
            </a:graphic>
          </wp:inline>
        </w:drawing>
      </w:r>
    </w:p>
    <w:p w14:paraId="2303174D" w14:textId="51D800C2" w:rsidR="3F52535B" w:rsidRDefault="40012591" w:rsidP="2472F5E8">
      <w:pPr>
        <w:pStyle w:val="Standard1"/>
        <w:spacing w:line="256" w:lineRule="auto"/>
        <w:jc w:val="both"/>
        <w:rPr>
          <w:rFonts w:ascii="Arial" w:eastAsia="Arial" w:hAnsi="Arial" w:cs="Arial"/>
        </w:rPr>
      </w:pPr>
      <w:r w:rsidRPr="00F92295">
        <w:rPr>
          <w:rFonts w:ascii="Arial" w:eastAsia="Arial" w:hAnsi="Arial" w:cs="Arial"/>
          <w:b/>
          <w:bCs/>
        </w:rPr>
        <w:t>Fig S</w:t>
      </w:r>
      <w:r w:rsidR="46285F1E" w:rsidRPr="00F92295">
        <w:rPr>
          <w:rFonts w:ascii="Arial" w:eastAsia="Arial" w:hAnsi="Arial" w:cs="Arial"/>
          <w:b/>
          <w:bCs/>
        </w:rPr>
        <w:t>10</w:t>
      </w:r>
      <w:r w:rsidR="05D1E34B" w:rsidRPr="00F92295">
        <w:rPr>
          <w:rFonts w:ascii="Arial" w:eastAsia="Arial" w:hAnsi="Arial" w:cs="Arial"/>
          <w:b/>
          <w:bCs/>
        </w:rPr>
        <w:t>:</w:t>
      </w:r>
      <w:r w:rsidR="05D1E34B" w:rsidRPr="00F92295">
        <w:rPr>
          <w:rFonts w:ascii="Arial" w:eastAsia="Arial" w:hAnsi="Arial" w:cs="Arial"/>
          <w:b/>
        </w:rPr>
        <w:t xml:space="preserve"> Comparison of bulk (x-axis) and pseudobulk (y-axis) DNAm values for the five clusters defined on the bone marrow sample</w:t>
      </w:r>
      <w:r w:rsidR="00F92295">
        <w:rPr>
          <w:rFonts w:ascii="Arial" w:eastAsia="Arial" w:hAnsi="Arial" w:cs="Arial"/>
        </w:rPr>
        <w:t>.</w:t>
      </w:r>
      <w:r w:rsidR="00D51853">
        <w:rPr>
          <w:rFonts w:ascii="Arial" w:eastAsia="Arial" w:hAnsi="Arial" w:cs="Arial"/>
        </w:rPr>
        <w:t xml:space="preserve"> The c</w:t>
      </w:r>
      <w:r w:rsidR="00F92295">
        <w:rPr>
          <w:rFonts w:ascii="Arial" w:eastAsia="Arial" w:hAnsi="Arial" w:cs="Arial"/>
        </w:rPr>
        <w:t xml:space="preserve">omparisons include </w:t>
      </w:r>
      <w:r w:rsidR="05D1E34B" w:rsidRPr="6A5CBBD7">
        <w:rPr>
          <w:rFonts w:ascii="Arial" w:eastAsia="Arial" w:hAnsi="Arial" w:cs="Arial"/>
        </w:rPr>
        <w:t>all 424 B-cell-</w:t>
      </w:r>
      <w:r w:rsidR="3C4B9E67" w:rsidRPr="6A5CBBD7">
        <w:rPr>
          <w:rFonts w:ascii="Arial" w:eastAsia="Arial" w:hAnsi="Arial" w:cs="Arial"/>
        </w:rPr>
        <w:t>differentiation</w:t>
      </w:r>
      <w:r w:rsidR="05D1E34B" w:rsidRPr="6A5CBBD7">
        <w:rPr>
          <w:rFonts w:ascii="Arial" w:eastAsia="Arial" w:hAnsi="Arial" w:cs="Arial"/>
        </w:rPr>
        <w:t xml:space="preserve"> amplicons. The r indicates Pearson’s correlation coefficient between x- and y-values and the solid line represents the least-squares linear regression line.</w:t>
      </w:r>
      <w:r w:rsidR="64074BBC" w:rsidRPr="6A5CBBD7">
        <w:rPr>
          <w:rFonts w:ascii="Arial" w:eastAsia="Arial" w:hAnsi="Arial" w:cs="Arial"/>
        </w:rPr>
        <w:t xml:space="preserve"> The high correlation between the immature/pre-B cells and the naive B cell cluster can in part be explained by potential impurities in the respective bulk clusters (se</w:t>
      </w:r>
      <w:r w:rsidR="1C459A8A" w:rsidRPr="6A5CBBD7">
        <w:rPr>
          <w:rFonts w:ascii="Arial" w:eastAsia="Arial" w:hAnsi="Arial" w:cs="Arial"/>
        </w:rPr>
        <w:t>e Fig S11)</w:t>
      </w:r>
      <w:r w:rsidR="64074BBC" w:rsidRPr="6A5CBBD7">
        <w:rPr>
          <w:rFonts w:ascii="Arial" w:eastAsia="Arial" w:hAnsi="Arial" w:cs="Arial"/>
        </w:rPr>
        <w:t>.</w:t>
      </w:r>
    </w:p>
    <w:p w14:paraId="6567309C" w14:textId="3A82B084" w:rsidR="6A5CBBD7" w:rsidRDefault="6A5CBBD7" w:rsidP="6A5CBBD7">
      <w:pPr>
        <w:pStyle w:val="Standard1"/>
        <w:spacing w:line="256" w:lineRule="auto"/>
        <w:jc w:val="both"/>
        <w:rPr>
          <w:rFonts w:ascii="Arial" w:eastAsia="Arial" w:hAnsi="Arial" w:cs="Arial"/>
        </w:rPr>
      </w:pPr>
    </w:p>
    <w:p w14:paraId="1EBC4218" w14:textId="34353D8A" w:rsidR="6A5CBBD7" w:rsidRDefault="6A5CBBD7" w:rsidP="6A5CBBD7">
      <w:pPr>
        <w:pStyle w:val="Standard1"/>
        <w:spacing w:line="256" w:lineRule="auto"/>
        <w:jc w:val="both"/>
        <w:rPr>
          <w:rFonts w:ascii="Arial" w:eastAsia="Arial" w:hAnsi="Arial" w:cs="Arial"/>
        </w:rPr>
      </w:pPr>
    </w:p>
    <w:p w14:paraId="4B14C047" w14:textId="28492894" w:rsidR="6A5CBBD7" w:rsidRDefault="6A5CBBD7" w:rsidP="6A5CBBD7">
      <w:pPr>
        <w:pStyle w:val="Standard1"/>
        <w:spacing w:line="256" w:lineRule="auto"/>
        <w:jc w:val="both"/>
        <w:rPr>
          <w:rFonts w:ascii="Arial" w:eastAsia="Arial" w:hAnsi="Arial" w:cs="Arial"/>
        </w:rPr>
      </w:pPr>
    </w:p>
    <w:p w14:paraId="487BC858" w14:textId="2153477D" w:rsidR="6B69B61A" w:rsidRDefault="6B69B61A" w:rsidP="6A5CBBD7">
      <w:pPr>
        <w:jc w:val="both"/>
        <w:rPr>
          <w:rFonts w:ascii="Calibri" w:eastAsia="Calibri" w:hAnsi="Calibri" w:cs="Calibri"/>
          <w:color w:val="2F5496" w:themeColor="accent1" w:themeShade="BF"/>
        </w:rPr>
      </w:pPr>
      <w:r>
        <w:rPr>
          <w:noProof/>
        </w:rPr>
        <w:lastRenderedPageBreak/>
        <w:drawing>
          <wp:inline distT="0" distB="0" distL="0" distR="0" wp14:anchorId="42D082E4" wp14:editId="106CAAFE">
            <wp:extent cx="5867398" cy="4772025"/>
            <wp:effectExtent l="0" t="0" r="0" b="0"/>
            <wp:docPr id="1079592180" name="Grafik 1079592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5867398" cy="4772025"/>
                    </a:xfrm>
                    <a:prstGeom prst="rect">
                      <a:avLst/>
                    </a:prstGeom>
                  </pic:spPr>
                </pic:pic>
              </a:graphicData>
            </a:graphic>
          </wp:inline>
        </w:drawing>
      </w:r>
      <w:r>
        <w:br/>
      </w:r>
      <w:r w:rsidRPr="00F92295">
        <w:rPr>
          <w:rFonts w:ascii="Arial" w:eastAsia="Arial" w:hAnsi="Arial" w:cs="Arial"/>
          <w:b/>
          <w:bCs/>
        </w:rPr>
        <w:t>Fig S11:</w:t>
      </w:r>
      <w:r w:rsidRPr="00F92295">
        <w:rPr>
          <w:rFonts w:ascii="Arial" w:eastAsia="Arial" w:hAnsi="Arial" w:cs="Arial"/>
          <w:b/>
        </w:rPr>
        <w:t xml:space="preserve"> Investigation of potential impurity induced in immature and pre-B-cells by the IgM-FACS-gate used in Kulis </w:t>
      </w:r>
      <w:r w:rsidRPr="00F92295">
        <w:rPr>
          <w:rFonts w:ascii="Arial" w:eastAsia="Arial" w:hAnsi="Arial" w:cs="Arial"/>
          <w:b/>
          <w:i/>
          <w:iCs/>
        </w:rPr>
        <w:t>et al</w:t>
      </w:r>
      <w:r w:rsidRPr="00F92295">
        <w:rPr>
          <w:rFonts w:ascii="Arial" w:eastAsia="Arial" w:hAnsi="Arial" w:cs="Arial"/>
          <w:b/>
        </w:rPr>
        <w:t>., 2015.</w:t>
      </w:r>
      <w:r w:rsidRPr="6A5CBBD7">
        <w:rPr>
          <w:rFonts w:ascii="Arial" w:eastAsia="Arial" w:hAnsi="Arial" w:cs="Arial"/>
        </w:rPr>
        <w:t xml:space="preserve"> </w:t>
      </w:r>
      <w:r w:rsidRPr="6A5CBBD7">
        <w:rPr>
          <w:rFonts w:ascii="Arial" w:eastAsia="Arial" w:hAnsi="Arial" w:cs="Arial"/>
          <w:b/>
          <w:bCs/>
        </w:rPr>
        <w:t>a</w:t>
      </w:r>
      <w:r w:rsidRPr="6A5CBBD7">
        <w:rPr>
          <w:rFonts w:ascii="Arial" w:eastAsia="Arial" w:hAnsi="Arial" w:cs="Arial"/>
        </w:rPr>
        <w:t>: Distribution of cell types for CD34-negative, CD19-positive and IgM-positive cells in blood and bone marrow, computed from targeted CITE-seq with 197 antibodies</w:t>
      </w:r>
      <w:r w:rsidR="00800DEB">
        <w:rPr>
          <w:rFonts w:ascii="Arial" w:eastAsia="Arial" w:hAnsi="Arial" w:cs="Arial"/>
        </w:rPr>
        <w:t xml:space="preserve"> (Triana </w:t>
      </w:r>
      <w:r w:rsidR="00800DEB" w:rsidRPr="00800DEB">
        <w:rPr>
          <w:rFonts w:ascii="Arial" w:eastAsia="Arial" w:hAnsi="Arial" w:cs="Arial"/>
          <w:i/>
          <w:iCs/>
        </w:rPr>
        <w:t>et al.</w:t>
      </w:r>
      <w:r w:rsidR="00800DEB">
        <w:rPr>
          <w:rFonts w:ascii="Arial" w:eastAsia="Arial" w:hAnsi="Arial" w:cs="Arial"/>
        </w:rPr>
        <w:t>, 2021)</w:t>
      </w:r>
      <w:r w:rsidRPr="6A5CBBD7">
        <w:rPr>
          <w:rFonts w:ascii="Arial" w:eastAsia="Arial" w:hAnsi="Arial" w:cs="Arial"/>
        </w:rPr>
        <w:t xml:space="preserve">. </w:t>
      </w:r>
      <w:r w:rsidRPr="6A5CBBD7">
        <w:rPr>
          <w:rFonts w:ascii="Arial" w:eastAsia="Arial" w:hAnsi="Arial" w:cs="Arial"/>
          <w:b/>
          <w:bCs/>
        </w:rPr>
        <w:t>b</w:t>
      </w:r>
      <w:r w:rsidRPr="6A5CBBD7">
        <w:rPr>
          <w:rFonts w:ascii="Arial" w:eastAsia="Arial" w:hAnsi="Arial" w:cs="Arial"/>
        </w:rPr>
        <w:t xml:space="preserve">: Similar to a, for CD34-, CD19+ and IgM-negative cells. </w:t>
      </w:r>
      <w:r w:rsidRPr="6A5CBBD7">
        <w:rPr>
          <w:rFonts w:ascii="Arial" w:eastAsia="Arial" w:hAnsi="Arial" w:cs="Arial"/>
          <w:b/>
          <w:bCs/>
        </w:rPr>
        <w:t>c</w:t>
      </w:r>
      <w:r w:rsidRPr="6A5CBBD7">
        <w:rPr>
          <w:rFonts w:ascii="Arial" w:eastAsia="Arial" w:hAnsi="Arial" w:cs="Arial"/>
        </w:rPr>
        <w:t xml:space="preserve">: Expression of the IgM-surface antibody across all cell types in blood and bone marrow. The pictures have been obtained from the ABSeq-app (https://abseqapp.shiny.embl.de/) and are based on the data generated in Triana </w:t>
      </w:r>
      <w:r w:rsidRPr="6A5CBBD7">
        <w:rPr>
          <w:rFonts w:ascii="Arial" w:eastAsia="Arial" w:hAnsi="Arial" w:cs="Arial"/>
          <w:i/>
          <w:iCs/>
        </w:rPr>
        <w:t>et al</w:t>
      </w:r>
      <w:r w:rsidRPr="6A5CBBD7">
        <w:rPr>
          <w:rFonts w:ascii="Arial" w:eastAsia="Arial" w:hAnsi="Arial" w:cs="Arial"/>
        </w:rPr>
        <w:t>., 2021.</w:t>
      </w:r>
    </w:p>
    <w:p w14:paraId="6457B5DC" w14:textId="5F3F404D" w:rsidR="6A5CBBD7" w:rsidRDefault="6A5CBBD7" w:rsidP="6A5CBBD7">
      <w:pPr>
        <w:pStyle w:val="Standard1"/>
        <w:spacing w:line="256" w:lineRule="auto"/>
        <w:jc w:val="both"/>
        <w:rPr>
          <w:rFonts w:ascii="Arial" w:eastAsia="Arial" w:hAnsi="Arial" w:cs="Arial"/>
        </w:rPr>
      </w:pPr>
    </w:p>
    <w:p w14:paraId="73FFCF99" w14:textId="39566D51" w:rsidR="6A5CBBD7" w:rsidRDefault="6A5CBBD7" w:rsidP="6A5CBBD7">
      <w:pPr>
        <w:pStyle w:val="Standard1"/>
        <w:spacing w:line="256" w:lineRule="auto"/>
        <w:jc w:val="both"/>
        <w:rPr>
          <w:rFonts w:ascii="Arial" w:eastAsia="Arial" w:hAnsi="Arial" w:cs="Arial"/>
        </w:rPr>
      </w:pPr>
    </w:p>
    <w:p w14:paraId="5826DD55" w14:textId="79E91981" w:rsidR="6A5CBBD7" w:rsidRDefault="6A5CBBD7" w:rsidP="6A5CBBD7">
      <w:pPr>
        <w:pStyle w:val="Standard1"/>
        <w:spacing w:line="256" w:lineRule="auto"/>
        <w:jc w:val="both"/>
        <w:rPr>
          <w:rFonts w:ascii="Arial" w:eastAsia="Arial" w:hAnsi="Arial" w:cs="Arial"/>
        </w:rPr>
      </w:pPr>
    </w:p>
    <w:p w14:paraId="5D33AFB7" w14:textId="4961C106" w:rsidR="6A5CBBD7" w:rsidRDefault="6A5CBBD7" w:rsidP="6A5CBBD7">
      <w:pPr>
        <w:pStyle w:val="Standard1"/>
        <w:spacing w:line="256" w:lineRule="auto"/>
        <w:jc w:val="both"/>
        <w:rPr>
          <w:rFonts w:ascii="Arial" w:eastAsia="Arial" w:hAnsi="Arial" w:cs="Arial"/>
        </w:rPr>
      </w:pPr>
    </w:p>
    <w:p w14:paraId="6459C119" w14:textId="3CAC3081" w:rsidR="3A5318CC" w:rsidRDefault="3A5318CC" w:rsidP="3A5318CC">
      <w:pPr>
        <w:pStyle w:val="Standard1"/>
        <w:spacing w:line="256" w:lineRule="auto"/>
        <w:jc w:val="both"/>
        <w:rPr>
          <w:rFonts w:ascii="Arial" w:eastAsia="Arial" w:hAnsi="Arial" w:cs="Arial"/>
        </w:rPr>
      </w:pPr>
    </w:p>
    <w:p w14:paraId="24815F7F" w14:textId="1B7C870F" w:rsidR="40C3F2FA" w:rsidRDefault="44DCDAC6" w:rsidP="2472F5E8">
      <w:pPr>
        <w:pStyle w:val="Standard1"/>
        <w:spacing w:line="256" w:lineRule="auto"/>
        <w:rPr>
          <w:rFonts w:ascii="Calibri" w:eastAsia="Calibri" w:hAnsi="Calibri" w:cs="Calibri"/>
        </w:rPr>
      </w:pPr>
      <w:r>
        <w:rPr>
          <w:noProof/>
        </w:rPr>
        <w:lastRenderedPageBreak/>
        <w:drawing>
          <wp:inline distT="0" distB="0" distL="0" distR="0" wp14:anchorId="003FB862" wp14:editId="58DC5F5E">
            <wp:extent cx="5962652" cy="2708037"/>
            <wp:effectExtent l="0" t="0" r="0" b="0"/>
            <wp:docPr id="2061831920" name="Grafik 2061831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62652" cy="2708037"/>
                    </a:xfrm>
                    <a:prstGeom prst="rect">
                      <a:avLst/>
                    </a:prstGeom>
                  </pic:spPr>
                </pic:pic>
              </a:graphicData>
            </a:graphic>
          </wp:inline>
        </w:drawing>
      </w:r>
      <w:r w:rsidR="593A3C70" w:rsidRPr="00F92295">
        <w:rPr>
          <w:rFonts w:ascii="Arial" w:eastAsia="Arial" w:hAnsi="Arial" w:cs="Arial"/>
          <w:b/>
          <w:bCs/>
        </w:rPr>
        <w:t>Fig S</w:t>
      </w:r>
      <w:r w:rsidR="04BB0AF9" w:rsidRPr="00F92295">
        <w:rPr>
          <w:rFonts w:ascii="Arial" w:eastAsia="Arial" w:hAnsi="Arial" w:cs="Arial"/>
          <w:b/>
          <w:bCs/>
        </w:rPr>
        <w:t>1</w:t>
      </w:r>
      <w:r w:rsidR="0CDD9A6B" w:rsidRPr="00F92295">
        <w:rPr>
          <w:rFonts w:ascii="Arial" w:eastAsia="Arial" w:hAnsi="Arial" w:cs="Arial"/>
          <w:b/>
          <w:bCs/>
        </w:rPr>
        <w:t>2</w:t>
      </w:r>
      <w:r w:rsidR="04BB0AF9" w:rsidRPr="00F92295">
        <w:rPr>
          <w:rFonts w:ascii="Arial" w:eastAsia="Arial" w:hAnsi="Arial" w:cs="Arial"/>
          <w:b/>
          <w:bCs/>
        </w:rPr>
        <w:t>:</w:t>
      </w:r>
      <w:r w:rsidR="04BB0AF9" w:rsidRPr="00F92295">
        <w:rPr>
          <w:rFonts w:ascii="Arial" w:eastAsia="Arial" w:hAnsi="Arial" w:cs="Arial"/>
          <w:b/>
        </w:rPr>
        <w:t xml:space="preserve"> Comparison between the pseudo-bulk DNA</w:t>
      </w:r>
      <w:r w:rsidR="6AD27A9A" w:rsidRPr="00F92295">
        <w:rPr>
          <w:rFonts w:ascii="Arial" w:eastAsia="Arial" w:hAnsi="Arial" w:cs="Arial"/>
          <w:b/>
        </w:rPr>
        <w:t xml:space="preserve">m </w:t>
      </w:r>
      <w:r w:rsidR="00830419">
        <w:rPr>
          <w:rFonts w:ascii="Arial" w:eastAsia="Arial" w:hAnsi="Arial" w:cs="Arial"/>
          <w:b/>
        </w:rPr>
        <w:t>values estimated in blood (x-axis) and i</w:t>
      </w:r>
      <w:r w:rsidR="04BB0AF9" w:rsidRPr="00F92295">
        <w:rPr>
          <w:rFonts w:ascii="Arial" w:eastAsia="Arial" w:hAnsi="Arial" w:cs="Arial"/>
          <w:b/>
        </w:rPr>
        <w:t xml:space="preserve">n bone marrow (y-axis) for naive, cs- and ns-memory </w:t>
      </w:r>
      <w:r w:rsidR="04BB0AF9" w:rsidRPr="00830419">
        <w:rPr>
          <w:rFonts w:ascii="Arial" w:eastAsia="Arial" w:hAnsi="Arial" w:cs="Arial"/>
          <w:b/>
        </w:rPr>
        <w:t>B cells</w:t>
      </w:r>
      <w:r w:rsidR="00830419" w:rsidRPr="00830419">
        <w:rPr>
          <w:rFonts w:ascii="Arial" w:eastAsia="Arial" w:hAnsi="Arial" w:cs="Arial"/>
          <w:b/>
        </w:rPr>
        <w:t>.</w:t>
      </w:r>
      <w:r w:rsidR="04BB0AF9" w:rsidRPr="6A5CBBD7">
        <w:rPr>
          <w:rFonts w:ascii="Arial" w:eastAsia="Arial" w:hAnsi="Arial" w:cs="Arial"/>
        </w:rPr>
        <w:t xml:space="preserve"> </w:t>
      </w:r>
      <w:r w:rsidR="00F92295">
        <w:rPr>
          <w:rFonts w:ascii="Arial" w:eastAsia="Arial" w:hAnsi="Arial" w:cs="Arial"/>
        </w:rPr>
        <w:t xml:space="preserve">Comparisons include </w:t>
      </w:r>
      <w:r w:rsidR="00830419">
        <w:rPr>
          <w:rFonts w:ascii="Arial" w:eastAsia="Arial" w:hAnsi="Arial" w:cs="Arial"/>
        </w:rPr>
        <w:t xml:space="preserve">all </w:t>
      </w:r>
      <w:r w:rsidR="04BB0AF9" w:rsidRPr="6A5CBBD7">
        <w:rPr>
          <w:rFonts w:ascii="Arial" w:eastAsia="Arial" w:hAnsi="Arial" w:cs="Arial"/>
        </w:rPr>
        <w:t>the 424 B-cell-differentiation amplicons. The r represents the Pearson correlation coefficient.</w:t>
      </w:r>
    </w:p>
    <w:p w14:paraId="59C25C81" w14:textId="405F66C7" w:rsidR="40C3F2FA" w:rsidRDefault="40C3F2FA" w:rsidP="40C3F2FA">
      <w:pPr>
        <w:pStyle w:val="Standard1"/>
        <w:spacing w:line="256" w:lineRule="auto"/>
        <w:rPr>
          <w:rFonts w:ascii="Arial" w:eastAsia="Arial" w:hAnsi="Arial" w:cs="Arial"/>
        </w:rPr>
      </w:pPr>
    </w:p>
    <w:p w14:paraId="2F6A829F" w14:textId="77777777" w:rsidR="000A0CC4" w:rsidRDefault="05D1E34B" w:rsidP="6A5CBBD7">
      <w:pPr>
        <w:jc w:val="both"/>
        <w:rPr>
          <w:rFonts w:ascii="Arial" w:eastAsia="Arial" w:hAnsi="Arial" w:cs="Arial"/>
          <w:b/>
          <w:bCs/>
        </w:rPr>
      </w:pPr>
      <w:r>
        <w:rPr>
          <w:noProof/>
        </w:rPr>
        <w:drawing>
          <wp:inline distT="0" distB="0" distL="0" distR="0" wp14:anchorId="5BF84EE7" wp14:editId="4DD91F99">
            <wp:extent cx="6737724" cy="1951131"/>
            <wp:effectExtent l="0" t="0" r="0" b="0"/>
            <wp:docPr id="192541959" name="Grafik 192541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92541959"/>
                    <pic:cNvPicPr/>
                  </pic:nvPicPr>
                  <pic:blipFill>
                    <a:blip r:embed="rId19">
                      <a:extLst>
                        <a:ext uri="{28A0092B-C50C-407E-A947-70E740481C1C}">
                          <a14:useLocalDpi xmlns:a14="http://schemas.microsoft.com/office/drawing/2010/main" val="0"/>
                        </a:ext>
                      </a:extLst>
                    </a:blip>
                    <a:stretch>
                      <a:fillRect/>
                    </a:stretch>
                  </pic:blipFill>
                  <pic:spPr>
                    <a:xfrm>
                      <a:off x="0" y="0"/>
                      <a:ext cx="6737724" cy="1951131"/>
                    </a:xfrm>
                    <a:prstGeom prst="rect">
                      <a:avLst/>
                    </a:prstGeom>
                  </pic:spPr>
                </pic:pic>
              </a:graphicData>
            </a:graphic>
          </wp:inline>
        </w:drawing>
      </w:r>
    </w:p>
    <w:p w14:paraId="1DA9CEBE" w14:textId="50142209" w:rsidR="16165932" w:rsidRDefault="1DF8108D" w:rsidP="6A5CBBD7">
      <w:pPr>
        <w:jc w:val="both"/>
        <w:rPr>
          <w:rFonts w:ascii="Arial" w:eastAsia="Arial" w:hAnsi="Arial" w:cs="Arial"/>
          <w:b/>
          <w:bCs/>
          <w:color w:val="0E101A"/>
          <w:sz w:val="18"/>
          <w:szCs w:val="18"/>
          <w:highlight w:val="yellow"/>
          <w:lang w:val="en-GB"/>
        </w:rPr>
      </w:pPr>
      <w:r w:rsidRPr="00830419">
        <w:rPr>
          <w:rFonts w:ascii="Arial" w:eastAsia="Arial" w:hAnsi="Arial" w:cs="Arial"/>
          <w:b/>
          <w:bCs/>
        </w:rPr>
        <w:t>Fig S</w:t>
      </w:r>
      <w:r w:rsidR="380EBCBD" w:rsidRPr="00830419">
        <w:rPr>
          <w:rFonts w:ascii="Arial" w:eastAsia="Arial" w:hAnsi="Arial" w:cs="Arial"/>
          <w:b/>
          <w:bCs/>
        </w:rPr>
        <w:t>1</w:t>
      </w:r>
      <w:r w:rsidR="0E580AE0" w:rsidRPr="00830419">
        <w:rPr>
          <w:rFonts w:ascii="Arial" w:eastAsia="Arial" w:hAnsi="Arial" w:cs="Arial"/>
          <w:b/>
          <w:bCs/>
        </w:rPr>
        <w:t>3</w:t>
      </w:r>
      <w:r w:rsidR="07EC4111" w:rsidRPr="00830419">
        <w:rPr>
          <w:rFonts w:ascii="Arial" w:eastAsia="Arial" w:hAnsi="Arial" w:cs="Arial"/>
          <w:b/>
          <w:bCs/>
        </w:rPr>
        <w:t>:</w:t>
      </w:r>
      <w:r w:rsidR="05D1E34B" w:rsidRPr="00830419">
        <w:rPr>
          <w:rFonts w:ascii="Arial" w:eastAsia="Arial" w:hAnsi="Arial" w:cs="Arial"/>
          <w:b/>
          <w:bCs/>
        </w:rPr>
        <w:t xml:space="preserve"> </w:t>
      </w:r>
      <w:r w:rsidR="05D1E34B" w:rsidRPr="00830419">
        <w:rPr>
          <w:rFonts w:ascii="Arial" w:eastAsia="Arial" w:hAnsi="Arial" w:cs="Arial"/>
          <w:b/>
        </w:rPr>
        <w:t>Visualization of the surface</w:t>
      </w:r>
      <w:r w:rsidR="37DF95F2" w:rsidRPr="00830419">
        <w:rPr>
          <w:rFonts w:ascii="Arial" w:eastAsia="Arial" w:hAnsi="Arial" w:cs="Arial"/>
          <w:b/>
        </w:rPr>
        <w:t>-</w:t>
      </w:r>
      <w:r w:rsidR="05D1E34B" w:rsidRPr="00830419">
        <w:rPr>
          <w:rFonts w:ascii="Arial" w:eastAsia="Arial" w:hAnsi="Arial" w:cs="Arial"/>
          <w:b/>
        </w:rPr>
        <w:t>protein data for the bone marrow sample with the cells colored by the cell type labels inferred from the DNAm data.</w:t>
      </w:r>
      <w:r w:rsidR="05D1E34B" w:rsidRPr="00800DEB">
        <w:rPr>
          <w:rFonts w:ascii="Arial" w:eastAsia="Arial" w:hAnsi="Arial" w:cs="Arial"/>
          <w:b/>
          <w:bCs/>
        </w:rPr>
        <w:t xml:space="preserve"> </w:t>
      </w:r>
      <w:r w:rsidR="17F3C530" w:rsidRPr="00800DEB">
        <w:rPr>
          <w:rFonts w:ascii="Arial" w:eastAsia="Arial" w:hAnsi="Arial" w:cs="Arial"/>
          <w:color w:val="0E101A"/>
          <w:lang w:val="en-GB"/>
        </w:rPr>
        <w:t>Low-dimensional representation of the cell-surface protein expression as a UMAP (</w:t>
      </w:r>
      <w:r w:rsidR="17F3C530" w:rsidRPr="00800DEB">
        <w:rPr>
          <w:rFonts w:ascii="Arial" w:eastAsia="Arial" w:hAnsi="Arial" w:cs="Arial"/>
          <w:b/>
          <w:bCs/>
          <w:color w:val="0E101A"/>
          <w:lang w:val="en-GB"/>
        </w:rPr>
        <w:t>a</w:t>
      </w:r>
      <w:r w:rsidR="17F3C530" w:rsidRPr="00800DEB">
        <w:rPr>
          <w:rFonts w:ascii="Arial" w:eastAsia="Arial" w:hAnsi="Arial" w:cs="Arial"/>
          <w:color w:val="0E101A"/>
          <w:lang w:val="en-GB"/>
        </w:rPr>
        <w:t xml:space="preserve">). The surface protein expression data assayed using scTAM-seq was processed using Seurat (see Methods).  </w:t>
      </w:r>
      <w:r w:rsidR="17F3C530" w:rsidRPr="00800DEB">
        <w:rPr>
          <w:rFonts w:ascii="Arial" w:eastAsia="Arial" w:hAnsi="Arial" w:cs="Arial"/>
          <w:b/>
          <w:bCs/>
          <w:color w:val="0E101A"/>
          <w:lang w:val="en-GB"/>
        </w:rPr>
        <w:t>b</w:t>
      </w:r>
      <w:r w:rsidR="17F3C530" w:rsidRPr="00800DEB">
        <w:rPr>
          <w:rFonts w:ascii="Arial" w:eastAsia="Arial" w:hAnsi="Arial" w:cs="Arial"/>
          <w:color w:val="0E101A"/>
          <w:lang w:val="en-GB"/>
        </w:rPr>
        <w:t xml:space="preserve">. Integration with cell-surface protein data from the CITE-seq reference atlas (Triana </w:t>
      </w:r>
      <w:r w:rsidR="17F3C530" w:rsidRPr="00800DEB">
        <w:rPr>
          <w:rFonts w:ascii="Arial" w:eastAsia="Arial" w:hAnsi="Arial" w:cs="Arial"/>
          <w:i/>
          <w:iCs/>
          <w:color w:val="0E101A"/>
          <w:lang w:val="en-GB"/>
        </w:rPr>
        <w:t>et al</w:t>
      </w:r>
      <w:r w:rsidR="17F3C530" w:rsidRPr="00800DEB">
        <w:rPr>
          <w:rFonts w:ascii="Arial" w:eastAsia="Arial" w:hAnsi="Arial" w:cs="Arial"/>
          <w:color w:val="0E101A"/>
          <w:lang w:val="en-GB"/>
        </w:rPr>
        <w:t xml:space="preserve">., 2021). Since scTAM-seq and the reference atlas share 33 </w:t>
      </w:r>
      <w:r w:rsidR="3C4B9E67" w:rsidRPr="00800DEB">
        <w:rPr>
          <w:rFonts w:ascii="Arial" w:eastAsia="Arial" w:hAnsi="Arial" w:cs="Arial"/>
          <w:color w:val="0E101A"/>
          <w:lang w:val="en-GB"/>
        </w:rPr>
        <w:t>surface markers</w:t>
      </w:r>
      <w:r w:rsidR="17F3C530" w:rsidRPr="00800DEB">
        <w:rPr>
          <w:rFonts w:ascii="Arial" w:eastAsia="Arial" w:hAnsi="Arial" w:cs="Arial"/>
          <w:color w:val="0E101A"/>
          <w:lang w:val="en-GB"/>
        </w:rPr>
        <w:t>, multi-modal nearest neighbors can be used to generate a joint low-dimensional representation of the two datasets (see Methods).</w:t>
      </w:r>
    </w:p>
    <w:p w14:paraId="18488770" w14:textId="36E0D9EE" w:rsidR="1687EF0D" w:rsidRDefault="1687EF0D" w:rsidP="1687EF0D">
      <w:pPr>
        <w:jc w:val="both"/>
        <w:rPr>
          <w:rFonts w:ascii="Arial" w:eastAsia="Arial" w:hAnsi="Arial" w:cs="Arial"/>
          <w:color w:val="0E101A"/>
          <w:lang w:val="en-GB"/>
        </w:rPr>
      </w:pPr>
    </w:p>
    <w:p w14:paraId="37DED4B0" w14:textId="224EAAC4" w:rsidR="6A5CBBD7" w:rsidRDefault="6A5CBBD7" w:rsidP="6A5CBBD7">
      <w:pPr>
        <w:jc w:val="both"/>
        <w:rPr>
          <w:rFonts w:ascii="Arial" w:eastAsia="Arial" w:hAnsi="Arial" w:cs="Arial"/>
        </w:rPr>
      </w:pPr>
    </w:p>
    <w:p w14:paraId="4D081798" w14:textId="520EA260" w:rsidR="0FE8C21D" w:rsidRDefault="0FE8C21D" w:rsidP="6A5CBBD7">
      <w:pPr>
        <w:jc w:val="both"/>
        <w:rPr>
          <w:rFonts w:ascii="Arial" w:eastAsia="Arial" w:hAnsi="Arial" w:cs="Arial"/>
        </w:rPr>
      </w:pPr>
      <w:r>
        <w:rPr>
          <w:noProof/>
        </w:rPr>
        <w:lastRenderedPageBreak/>
        <w:drawing>
          <wp:inline distT="0" distB="0" distL="0" distR="0" wp14:anchorId="44E83C38" wp14:editId="121F4949">
            <wp:extent cx="5886450" cy="3914775"/>
            <wp:effectExtent l="0" t="0" r="0" b="0"/>
            <wp:docPr id="1690956388" name="Grafik 1690956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886450" cy="3914775"/>
                    </a:xfrm>
                    <a:prstGeom prst="rect">
                      <a:avLst/>
                    </a:prstGeom>
                  </pic:spPr>
                </pic:pic>
              </a:graphicData>
            </a:graphic>
          </wp:inline>
        </w:drawing>
      </w:r>
      <w:r>
        <w:br/>
      </w:r>
      <w:r w:rsidRPr="00830419">
        <w:rPr>
          <w:rFonts w:ascii="Arial" w:eastAsia="Arial" w:hAnsi="Arial" w:cs="Arial"/>
          <w:b/>
          <w:bCs/>
        </w:rPr>
        <w:t>Fig S1</w:t>
      </w:r>
      <w:r w:rsidR="387C2BF3" w:rsidRPr="00830419">
        <w:rPr>
          <w:rFonts w:ascii="Arial" w:eastAsia="Arial" w:hAnsi="Arial" w:cs="Arial"/>
          <w:b/>
          <w:bCs/>
        </w:rPr>
        <w:t>4</w:t>
      </w:r>
      <w:r w:rsidRPr="00830419">
        <w:rPr>
          <w:rFonts w:ascii="Arial" w:eastAsia="Arial" w:hAnsi="Arial" w:cs="Arial"/>
          <w:b/>
          <w:bCs/>
        </w:rPr>
        <w:t>:</w:t>
      </w:r>
      <w:r w:rsidRPr="00830419">
        <w:rPr>
          <w:rFonts w:ascii="Arial" w:eastAsia="Arial" w:hAnsi="Arial" w:cs="Arial"/>
          <w:b/>
        </w:rPr>
        <w:t xml:space="preserve"> Simulation of the effect of the false-positive and false-negative rate (FPR/FNR)</w:t>
      </w:r>
      <w:r w:rsidR="00830419">
        <w:rPr>
          <w:rFonts w:ascii="Arial" w:eastAsia="Arial" w:hAnsi="Arial" w:cs="Arial"/>
        </w:rPr>
        <w:t>. Shown are the effect</w:t>
      </w:r>
      <w:r w:rsidRPr="6A5CBBD7">
        <w:rPr>
          <w:rFonts w:ascii="Arial" w:eastAsia="Arial" w:hAnsi="Arial" w:cs="Arial"/>
        </w:rPr>
        <w:t xml:space="preserve"> on the correlation between pseudo-bulk and bulk DNA methylation data (upper panel), and on the clustering accuracy measured using the Hamming similarity (i.e., the fraction of cluster assignments that agree, lower panel). The figure is stratified according to simulations with low and high FNR values (cutoff 0.25). scTAM-seq is marked in the plot with FNR=0.075 and FPR=0.025 (BM estimate, the lowest FPR value that we simulated in the grid of FPR/FNR) and with FNR=0.175/FPR=0.025 (blood estimate). The x-axis shows the logarithm with basis 2 for the product of the FPR and the FNR.</w:t>
      </w:r>
    </w:p>
    <w:p w14:paraId="16781B83" w14:textId="4C1852B7" w:rsidR="00830419" w:rsidRDefault="00830419" w:rsidP="6A5CBBD7">
      <w:pPr>
        <w:jc w:val="both"/>
        <w:rPr>
          <w:rFonts w:ascii="Arial" w:eastAsia="Arial" w:hAnsi="Arial" w:cs="Arial"/>
        </w:rPr>
      </w:pPr>
    </w:p>
    <w:p w14:paraId="5C2A1A6F" w14:textId="77777777" w:rsidR="00830419" w:rsidRDefault="00830419" w:rsidP="6A5CBBD7">
      <w:pPr>
        <w:jc w:val="both"/>
        <w:rPr>
          <w:rFonts w:ascii="Arial" w:eastAsia="Arial" w:hAnsi="Arial" w:cs="Arial"/>
        </w:rPr>
      </w:pPr>
    </w:p>
    <w:p w14:paraId="4570D805" w14:textId="77777777" w:rsidR="00800DEB" w:rsidRDefault="00800DEB" w:rsidP="6A5CBBD7">
      <w:pPr>
        <w:jc w:val="both"/>
        <w:rPr>
          <w:rFonts w:ascii="Arial" w:eastAsia="Arial" w:hAnsi="Arial" w:cs="Arial"/>
        </w:rPr>
      </w:pPr>
    </w:p>
    <w:p w14:paraId="0BF0C45D" w14:textId="5D55F04B" w:rsidR="1D287445" w:rsidRDefault="1D287445" w:rsidP="6A5CBBD7">
      <w:pPr>
        <w:jc w:val="both"/>
        <w:rPr>
          <w:rFonts w:ascii="Calibri" w:eastAsia="Calibri" w:hAnsi="Calibri" w:cs="Calibri"/>
          <w:color w:val="2F5496" w:themeColor="accent1" w:themeShade="BF"/>
        </w:rPr>
      </w:pPr>
      <w:r>
        <w:rPr>
          <w:noProof/>
        </w:rPr>
        <w:lastRenderedPageBreak/>
        <w:drawing>
          <wp:inline distT="0" distB="0" distL="0" distR="0" wp14:anchorId="4CF9D93C" wp14:editId="3918D97A">
            <wp:extent cx="5943600" cy="1957785"/>
            <wp:effectExtent l="0" t="0" r="0" b="0"/>
            <wp:docPr id="1929861274" name="Grafik 854046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54046559"/>
                    <pic:cNvPicPr/>
                  </pic:nvPicPr>
                  <pic:blipFill>
                    <a:blip r:embed="rId21">
                      <a:extLst>
                        <a:ext uri="{28A0092B-C50C-407E-A947-70E740481C1C}">
                          <a14:useLocalDpi xmlns:a14="http://schemas.microsoft.com/office/drawing/2010/main" val="0"/>
                        </a:ext>
                      </a:extLst>
                    </a:blip>
                    <a:stretch>
                      <a:fillRect/>
                    </a:stretch>
                  </pic:blipFill>
                  <pic:spPr>
                    <a:xfrm>
                      <a:off x="0" y="0"/>
                      <a:ext cx="5943600" cy="1957785"/>
                    </a:xfrm>
                    <a:prstGeom prst="rect">
                      <a:avLst/>
                    </a:prstGeom>
                  </pic:spPr>
                </pic:pic>
              </a:graphicData>
            </a:graphic>
          </wp:inline>
        </w:drawing>
      </w:r>
      <w:r w:rsidRPr="00830419">
        <w:rPr>
          <w:rFonts w:ascii="Arial" w:eastAsia="Arial" w:hAnsi="Arial" w:cs="Arial"/>
          <w:b/>
          <w:bCs/>
        </w:rPr>
        <w:t>Fig S1</w:t>
      </w:r>
      <w:r w:rsidR="0310AEBC" w:rsidRPr="00830419">
        <w:rPr>
          <w:rFonts w:ascii="Arial" w:eastAsia="Arial" w:hAnsi="Arial" w:cs="Arial"/>
          <w:b/>
          <w:bCs/>
        </w:rPr>
        <w:t>5</w:t>
      </w:r>
      <w:r w:rsidRPr="00830419">
        <w:rPr>
          <w:rFonts w:ascii="Arial" w:eastAsia="Arial" w:hAnsi="Arial" w:cs="Arial"/>
          <w:b/>
          <w:bCs/>
        </w:rPr>
        <w:t>:</w:t>
      </w:r>
      <w:r w:rsidRPr="00830419">
        <w:rPr>
          <w:rFonts w:ascii="Arial" w:eastAsia="Arial" w:hAnsi="Arial" w:cs="Arial"/>
          <w:b/>
        </w:rPr>
        <w:t xml:space="preserve"> Comparison of fraction of cells with reads for the 12 amplicons located within imprinting control regions</w:t>
      </w:r>
      <w:r w:rsidR="00830419">
        <w:rPr>
          <w:rFonts w:ascii="Arial" w:eastAsia="Arial" w:hAnsi="Arial" w:cs="Arial"/>
          <w:b/>
        </w:rPr>
        <w:t xml:space="preserve">. </w:t>
      </w:r>
      <w:r w:rsidR="00830419" w:rsidRPr="00830419">
        <w:rPr>
          <w:rFonts w:ascii="Arial" w:eastAsia="Arial" w:hAnsi="Arial" w:cs="Arial"/>
        </w:rPr>
        <w:t>These regions were</w:t>
      </w:r>
      <w:r w:rsidRPr="6A5CBBD7">
        <w:rPr>
          <w:rFonts w:ascii="Arial" w:eastAsia="Arial" w:hAnsi="Arial" w:cs="Arial"/>
        </w:rPr>
        <w:t xml:space="preserve"> obtained from Court </w:t>
      </w:r>
      <w:r w:rsidRPr="6A5CBBD7">
        <w:rPr>
          <w:rFonts w:ascii="Arial" w:eastAsia="Arial" w:hAnsi="Arial" w:cs="Arial"/>
          <w:i/>
          <w:iCs/>
        </w:rPr>
        <w:t xml:space="preserve">et al., </w:t>
      </w:r>
      <w:r w:rsidRPr="6A5CBBD7">
        <w:rPr>
          <w:rFonts w:ascii="Arial" w:eastAsia="Arial" w:hAnsi="Arial" w:cs="Arial"/>
        </w:rPr>
        <w:t>2014. The figure shows the fractions of cells with at least one sequencing read in the undigested (bone marrow, x-axis) versus the digested (peripheral blood/bone marrow, y-axis) sample. The solid, curved line indicates a square-root fit of the data, which assumes that only one of the alleles is methylated and captured after digestion, and the p-value results from an ANOVA comparing a linear versus the square-root fit.</w:t>
      </w:r>
    </w:p>
    <w:p w14:paraId="55F34181" w14:textId="2BF2914A" w:rsidR="16165932" w:rsidRDefault="16165932" w:rsidP="16165932">
      <w:pPr>
        <w:spacing w:line="257" w:lineRule="auto"/>
        <w:jc w:val="both"/>
      </w:pPr>
    </w:p>
    <w:p w14:paraId="60576C0E" w14:textId="77777777" w:rsidR="000A0CC4" w:rsidRDefault="1E27C1E5" w:rsidP="2EC8FCD9">
      <w:pPr>
        <w:spacing w:line="257" w:lineRule="auto"/>
        <w:jc w:val="both"/>
        <w:rPr>
          <w:rFonts w:ascii="Arial" w:eastAsia="Arial" w:hAnsi="Arial" w:cs="Arial"/>
          <w:b/>
          <w:bCs/>
        </w:rPr>
      </w:pPr>
      <w:r>
        <w:rPr>
          <w:noProof/>
        </w:rPr>
        <w:drawing>
          <wp:inline distT="0" distB="0" distL="0" distR="0" wp14:anchorId="7DF0E00B" wp14:editId="1E6DA1EC">
            <wp:extent cx="5903261" cy="3433744"/>
            <wp:effectExtent l="0" t="0" r="254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pic:nvPicPr>
                  <pic:blipFill>
                    <a:blip r:embed="rId22" cstate="print">
                      <a:extLst>
                        <a:ext uri="{28A0092B-C50C-407E-A947-70E740481C1C}">
                          <a14:useLocalDpi xmlns:a14="http://schemas.microsoft.com/office/drawing/2010/main" val="0"/>
                        </a:ext>
                      </a:extLst>
                    </a:blip>
                    <a:srcRect t="7263" r="679"/>
                    <a:stretch>
                      <a:fillRect/>
                    </a:stretch>
                  </pic:blipFill>
                  <pic:spPr>
                    <a:xfrm>
                      <a:off x="0" y="0"/>
                      <a:ext cx="5903261" cy="3433744"/>
                    </a:xfrm>
                    <a:prstGeom prst="rect">
                      <a:avLst/>
                    </a:prstGeom>
                  </pic:spPr>
                </pic:pic>
              </a:graphicData>
            </a:graphic>
          </wp:inline>
        </w:drawing>
      </w:r>
    </w:p>
    <w:p w14:paraId="40831509" w14:textId="7B0094BF" w:rsidR="00F015D7" w:rsidRDefault="39575A1D" w:rsidP="2EC8FCD9">
      <w:pPr>
        <w:spacing w:line="257" w:lineRule="auto"/>
        <w:jc w:val="both"/>
        <w:rPr>
          <w:rFonts w:ascii="Arial" w:eastAsia="Arial" w:hAnsi="Arial" w:cs="Arial"/>
          <w:b/>
          <w:bCs/>
        </w:rPr>
      </w:pPr>
      <w:r w:rsidRPr="2EC8FCD9">
        <w:rPr>
          <w:rFonts w:ascii="Arial" w:eastAsia="Arial" w:hAnsi="Arial" w:cs="Arial"/>
          <w:b/>
          <w:bCs/>
        </w:rPr>
        <w:t>Fig S</w:t>
      </w:r>
      <w:r w:rsidR="17C61A06" w:rsidRPr="254992F3">
        <w:rPr>
          <w:rFonts w:ascii="Arial" w:eastAsia="Arial" w:hAnsi="Arial" w:cs="Arial"/>
          <w:b/>
          <w:bCs/>
        </w:rPr>
        <w:t>1</w:t>
      </w:r>
      <w:r w:rsidR="6DAA9F03" w:rsidRPr="254992F3">
        <w:rPr>
          <w:rFonts w:ascii="Arial" w:eastAsia="Arial" w:hAnsi="Arial" w:cs="Arial"/>
          <w:b/>
          <w:bCs/>
        </w:rPr>
        <w:t>6</w:t>
      </w:r>
      <w:r w:rsidR="17C61A06" w:rsidRPr="254992F3">
        <w:rPr>
          <w:rFonts w:ascii="Arial" w:eastAsia="Arial" w:hAnsi="Arial" w:cs="Arial"/>
          <w:b/>
          <w:bCs/>
        </w:rPr>
        <w:t xml:space="preserve">: </w:t>
      </w:r>
      <w:r w:rsidR="17C61A06" w:rsidRPr="00830419">
        <w:rPr>
          <w:rFonts w:ascii="Arial" w:eastAsia="Arial" w:hAnsi="Arial" w:cs="Arial"/>
          <w:b/>
        </w:rPr>
        <w:t>Bioanalyzer profiles of libraries</w:t>
      </w:r>
      <w:r w:rsidR="00830419">
        <w:rPr>
          <w:rFonts w:ascii="Arial" w:eastAsia="Arial" w:hAnsi="Arial" w:cs="Arial"/>
        </w:rPr>
        <w:t xml:space="preserve">. Profiles </w:t>
      </w:r>
      <w:r w:rsidR="17C61A06" w:rsidRPr="254992F3">
        <w:rPr>
          <w:rFonts w:ascii="Arial" w:eastAsia="Arial" w:hAnsi="Arial" w:cs="Arial"/>
        </w:rPr>
        <w:t>from bone marrow digested (</w:t>
      </w:r>
      <w:r w:rsidR="17C61A06" w:rsidRPr="254992F3">
        <w:rPr>
          <w:rFonts w:ascii="Arial" w:eastAsia="Arial" w:hAnsi="Arial" w:cs="Arial"/>
          <w:b/>
          <w:bCs/>
        </w:rPr>
        <w:t>a</w:t>
      </w:r>
      <w:r w:rsidR="17C61A06" w:rsidRPr="254992F3">
        <w:rPr>
          <w:rFonts w:ascii="Arial" w:eastAsia="Arial" w:hAnsi="Arial" w:cs="Arial"/>
        </w:rPr>
        <w:t xml:space="preserve">, </w:t>
      </w:r>
      <w:r w:rsidR="17C61A06" w:rsidRPr="254992F3">
        <w:rPr>
          <w:rFonts w:ascii="Arial" w:eastAsia="Arial" w:hAnsi="Arial" w:cs="Arial"/>
          <w:b/>
          <w:bCs/>
        </w:rPr>
        <w:t>b</w:t>
      </w:r>
      <w:r w:rsidR="17C61A06" w:rsidRPr="254992F3">
        <w:rPr>
          <w:rFonts w:ascii="Arial" w:eastAsia="Arial" w:hAnsi="Arial" w:cs="Arial"/>
        </w:rPr>
        <w:t>) and undigested (</w:t>
      </w:r>
      <w:r w:rsidR="17C61A06" w:rsidRPr="254992F3">
        <w:rPr>
          <w:rFonts w:ascii="Arial" w:eastAsia="Arial" w:hAnsi="Arial" w:cs="Arial"/>
          <w:b/>
          <w:bCs/>
        </w:rPr>
        <w:t>c</w:t>
      </w:r>
      <w:r w:rsidR="17C61A06" w:rsidRPr="254992F3">
        <w:rPr>
          <w:rFonts w:ascii="Arial" w:eastAsia="Arial" w:hAnsi="Arial" w:cs="Arial"/>
        </w:rPr>
        <w:t xml:space="preserve">, </w:t>
      </w:r>
      <w:r w:rsidR="17C61A06" w:rsidRPr="254992F3">
        <w:rPr>
          <w:rFonts w:ascii="Arial" w:eastAsia="Arial" w:hAnsi="Arial" w:cs="Arial"/>
          <w:b/>
          <w:bCs/>
        </w:rPr>
        <w:t>d</w:t>
      </w:r>
      <w:r w:rsidR="17C61A06" w:rsidRPr="254992F3">
        <w:rPr>
          <w:rFonts w:ascii="Arial" w:eastAsia="Arial" w:hAnsi="Arial" w:cs="Arial"/>
        </w:rPr>
        <w:t>) samples</w:t>
      </w:r>
      <w:r w:rsidR="00830419">
        <w:rPr>
          <w:rFonts w:ascii="Arial" w:eastAsia="Arial" w:hAnsi="Arial" w:cs="Arial"/>
        </w:rPr>
        <w:t xml:space="preserve"> are shown</w:t>
      </w:r>
      <w:r w:rsidR="17C61A06" w:rsidRPr="254992F3">
        <w:rPr>
          <w:rFonts w:ascii="Arial" w:eastAsia="Arial" w:hAnsi="Arial" w:cs="Arial"/>
        </w:rPr>
        <w:t xml:space="preserve">. </w:t>
      </w:r>
      <w:r w:rsidR="17C61A06" w:rsidRPr="254992F3">
        <w:rPr>
          <w:rFonts w:ascii="Arial" w:eastAsia="Arial" w:hAnsi="Arial" w:cs="Arial"/>
          <w:b/>
          <w:bCs/>
        </w:rPr>
        <w:t>a</w:t>
      </w:r>
      <w:r w:rsidR="17C61A06" w:rsidRPr="254992F3">
        <w:rPr>
          <w:rFonts w:ascii="Arial" w:eastAsia="Arial" w:hAnsi="Arial" w:cs="Arial"/>
        </w:rPr>
        <w:t xml:space="preserve">, </w:t>
      </w:r>
      <w:r w:rsidR="17C61A06" w:rsidRPr="254992F3">
        <w:rPr>
          <w:rFonts w:ascii="Arial" w:eastAsia="Arial" w:hAnsi="Arial" w:cs="Arial"/>
          <w:b/>
          <w:bCs/>
        </w:rPr>
        <w:t>c</w:t>
      </w:r>
      <w:r w:rsidR="17C61A06" w:rsidRPr="254992F3">
        <w:rPr>
          <w:rFonts w:ascii="Arial" w:eastAsia="Arial" w:hAnsi="Arial" w:cs="Arial"/>
        </w:rPr>
        <w:t xml:space="preserve">. </w:t>
      </w:r>
      <w:r w:rsidR="01C04B46" w:rsidRPr="254992F3">
        <w:rPr>
          <w:rFonts w:ascii="Arial" w:eastAsia="Arial" w:hAnsi="Arial" w:cs="Arial"/>
        </w:rPr>
        <w:t>s</w:t>
      </w:r>
      <w:r w:rsidR="17C61A06" w:rsidRPr="254992F3">
        <w:rPr>
          <w:rFonts w:ascii="Arial" w:eastAsia="Arial" w:hAnsi="Arial" w:cs="Arial"/>
        </w:rPr>
        <w:t xml:space="preserve">cTAM-seq libraries, target peak: 460 bp. </w:t>
      </w:r>
      <w:r w:rsidR="17C61A06" w:rsidRPr="254992F3">
        <w:rPr>
          <w:rFonts w:ascii="Arial" w:eastAsia="Arial" w:hAnsi="Arial" w:cs="Arial"/>
          <w:b/>
          <w:bCs/>
        </w:rPr>
        <w:t>b,</w:t>
      </w:r>
      <w:r w:rsidR="17C61A06" w:rsidRPr="254992F3">
        <w:rPr>
          <w:rFonts w:ascii="Arial" w:eastAsia="Arial" w:hAnsi="Arial" w:cs="Arial"/>
        </w:rPr>
        <w:t xml:space="preserve"> </w:t>
      </w:r>
      <w:r w:rsidR="17C61A06" w:rsidRPr="254992F3">
        <w:rPr>
          <w:rFonts w:ascii="Arial" w:eastAsia="Arial" w:hAnsi="Arial" w:cs="Arial"/>
          <w:b/>
          <w:bCs/>
        </w:rPr>
        <w:t>d</w:t>
      </w:r>
      <w:r w:rsidR="17C61A06" w:rsidRPr="254992F3">
        <w:rPr>
          <w:rFonts w:ascii="Arial" w:eastAsia="Arial" w:hAnsi="Arial" w:cs="Arial"/>
        </w:rPr>
        <w:t>. Surface</w:t>
      </w:r>
      <w:r w:rsidR="554D5719" w:rsidRPr="254992F3">
        <w:rPr>
          <w:rFonts w:ascii="Arial" w:eastAsia="Arial" w:hAnsi="Arial" w:cs="Arial"/>
        </w:rPr>
        <w:t>-</w:t>
      </w:r>
      <w:r w:rsidR="17C61A06" w:rsidRPr="254992F3">
        <w:rPr>
          <w:rFonts w:ascii="Arial" w:eastAsia="Arial" w:hAnsi="Arial" w:cs="Arial"/>
        </w:rPr>
        <w:t>protein libraries, target peak: 260</w:t>
      </w:r>
      <w:r w:rsidR="120E9BC0" w:rsidRPr="254992F3">
        <w:rPr>
          <w:rFonts w:ascii="Arial" w:eastAsia="Arial" w:hAnsi="Arial" w:cs="Arial"/>
        </w:rPr>
        <w:t xml:space="preserve"> </w:t>
      </w:r>
      <w:r w:rsidR="17C61A06" w:rsidRPr="254992F3">
        <w:rPr>
          <w:rFonts w:ascii="Arial" w:eastAsia="Arial" w:hAnsi="Arial" w:cs="Arial"/>
        </w:rPr>
        <w:t xml:space="preserve">bp. </w:t>
      </w:r>
    </w:p>
    <w:p w14:paraId="5C15A362" w14:textId="731DEAF0" w:rsidR="610928EC" w:rsidRDefault="610928EC" w:rsidP="610928EC">
      <w:pPr>
        <w:spacing w:line="257" w:lineRule="auto"/>
        <w:jc w:val="both"/>
        <w:rPr>
          <w:rFonts w:ascii="Arial" w:eastAsia="Arial" w:hAnsi="Arial" w:cs="Arial"/>
        </w:rPr>
      </w:pPr>
    </w:p>
    <w:p w14:paraId="6928AD55" w14:textId="77777777" w:rsidR="000A0CC4" w:rsidRDefault="3FE6BB03" w:rsidP="475413E0">
      <w:pPr>
        <w:jc w:val="both"/>
        <w:rPr>
          <w:rFonts w:ascii="Arial" w:eastAsia="Arial" w:hAnsi="Arial" w:cs="Arial"/>
          <w:b/>
          <w:bCs/>
        </w:rPr>
      </w:pPr>
      <w:r>
        <w:rPr>
          <w:noProof/>
        </w:rPr>
        <w:lastRenderedPageBreak/>
        <w:drawing>
          <wp:inline distT="0" distB="0" distL="0" distR="0" wp14:anchorId="72A97126" wp14:editId="3C65A96D">
            <wp:extent cx="5781674" cy="2529483"/>
            <wp:effectExtent l="0" t="0" r="0" b="0"/>
            <wp:docPr id="1714283865" name="Picture 1714283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4283865"/>
                    <pic:cNvPicPr/>
                  </pic:nvPicPr>
                  <pic:blipFill>
                    <a:blip r:embed="rId23">
                      <a:extLst>
                        <a:ext uri="{28A0092B-C50C-407E-A947-70E740481C1C}">
                          <a14:useLocalDpi xmlns:a14="http://schemas.microsoft.com/office/drawing/2010/main" val="0"/>
                        </a:ext>
                      </a:extLst>
                    </a:blip>
                    <a:stretch>
                      <a:fillRect/>
                    </a:stretch>
                  </pic:blipFill>
                  <pic:spPr>
                    <a:xfrm>
                      <a:off x="0" y="0"/>
                      <a:ext cx="5781674" cy="2529483"/>
                    </a:xfrm>
                    <a:prstGeom prst="rect">
                      <a:avLst/>
                    </a:prstGeom>
                  </pic:spPr>
                </pic:pic>
              </a:graphicData>
            </a:graphic>
          </wp:inline>
        </w:drawing>
      </w:r>
    </w:p>
    <w:p w14:paraId="50CA35DA" w14:textId="382E7419" w:rsidR="3B456783" w:rsidRDefault="05D1E34B" w:rsidP="475413E0">
      <w:pPr>
        <w:jc w:val="both"/>
        <w:rPr>
          <w:rFonts w:ascii="Arial" w:eastAsia="Arial" w:hAnsi="Arial" w:cs="Arial"/>
        </w:rPr>
      </w:pPr>
      <w:r w:rsidRPr="00830419">
        <w:rPr>
          <w:rFonts w:ascii="Arial" w:eastAsia="Arial" w:hAnsi="Arial" w:cs="Arial"/>
          <w:b/>
          <w:bCs/>
        </w:rPr>
        <w:t xml:space="preserve">Fig </w:t>
      </w:r>
      <w:r w:rsidR="34CA003E" w:rsidRPr="00830419">
        <w:rPr>
          <w:rFonts w:ascii="Arial" w:eastAsia="Arial" w:hAnsi="Arial" w:cs="Arial"/>
          <w:b/>
          <w:bCs/>
        </w:rPr>
        <w:t>S</w:t>
      </w:r>
      <w:r w:rsidRPr="00830419">
        <w:rPr>
          <w:rFonts w:ascii="Arial" w:eastAsia="Arial" w:hAnsi="Arial" w:cs="Arial"/>
          <w:b/>
          <w:bCs/>
        </w:rPr>
        <w:t>1</w:t>
      </w:r>
      <w:r w:rsidR="794FFDF8" w:rsidRPr="00830419">
        <w:rPr>
          <w:rFonts w:ascii="Arial" w:eastAsia="Arial" w:hAnsi="Arial" w:cs="Arial"/>
          <w:b/>
          <w:bCs/>
        </w:rPr>
        <w:t>7</w:t>
      </w:r>
      <w:r w:rsidRPr="00830419">
        <w:rPr>
          <w:rFonts w:ascii="Arial" w:eastAsia="Arial" w:hAnsi="Arial" w:cs="Arial"/>
          <w:b/>
          <w:bCs/>
        </w:rPr>
        <w:t>:</w:t>
      </w:r>
      <w:r w:rsidRPr="00830419">
        <w:rPr>
          <w:rFonts w:ascii="Arial" w:eastAsia="Arial" w:hAnsi="Arial" w:cs="Arial"/>
          <w:b/>
        </w:rPr>
        <w:t xml:space="preserve"> Doublets as detected by the DoubletDetection software marked in the scTAM-seq heatmap for the digested blood sample.</w:t>
      </w:r>
      <w:r w:rsidRPr="6A5CBBD7">
        <w:rPr>
          <w:rFonts w:ascii="Arial" w:eastAsia="Arial" w:hAnsi="Arial" w:cs="Arial"/>
        </w:rPr>
        <w:t xml:space="preserve"> Out of the </w:t>
      </w:r>
      <w:r w:rsidR="21588A7C" w:rsidRPr="6A5CBBD7">
        <w:rPr>
          <w:rFonts w:ascii="Arial" w:eastAsia="Arial" w:hAnsi="Arial" w:cs="Arial"/>
        </w:rPr>
        <w:t xml:space="preserve">11,438 </w:t>
      </w:r>
      <w:r w:rsidRPr="6A5CBBD7">
        <w:rPr>
          <w:rFonts w:ascii="Arial" w:eastAsia="Arial" w:hAnsi="Arial" w:cs="Arial"/>
        </w:rPr>
        <w:t xml:space="preserve">cells, </w:t>
      </w:r>
      <w:r w:rsidR="21588A7C" w:rsidRPr="6A5CBBD7">
        <w:rPr>
          <w:rFonts w:ascii="Arial" w:eastAsia="Arial" w:hAnsi="Arial" w:cs="Arial"/>
        </w:rPr>
        <w:t>1,794 c</w:t>
      </w:r>
      <w:r w:rsidRPr="6A5CBBD7">
        <w:rPr>
          <w:rFonts w:ascii="Arial" w:eastAsia="Arial" w:hAnsi="Arial" w:cs="Arial"/>
        </w:rPr>
        <w:t>ells were marked as doublets by DoubletDetection. Additionally, we identified 61 potential doublets in a per-cluster analysis based on the number of features per cluster (Clustering doublets).</w:t>
      </w:r>
    </w:p>
    <w:p w14:paraId="05A6F531" w14:textId="758FB09B" w:rsidR="2EC8FCD9" w:rsidRDefault="2EC8FCD9" w:rsidP="2EC8FCD9">
      <w:pPr>
        <w:jc w:val="both"/>
        <w:rPr>
          <w:rFonts w:ascii="Arial" w:eastAsia="Arial" w:hAnsi="Arial" w:cs="Arial"/>
        </w:rPr>
      </w:pPr>
    </w:p>
    <w:p w14:paraId="6DA6E741" w14:textId="152188DC" w:rsidR="2EC8FCD9" w:rsidRDefault="2EC8FCD9" w:rsidP="2EC8FCD9">
      <w:pPr>
        <w:jc w:val="both"/>
        <w:rPr>
          <w:rFonts w:ascii="Arial" w:eastAsia="Arial" w:hAnsi="Arial" w:cs="Arial"/>
        </w:rPr>
      </w:pPr>
    </w:p>
    <w:p w14:paraId="4C1E2B2C" w14:textId="52BCBE10" w:rsidR="2EC8FCD9" w:rsidRDefault="2EC8FCD9" w:rsidP="2EC8FCD9">
      <w:pPr>
        <w:jc w:val="both"/>
        <w:rPr>
          <w:rFonts w:ascii="Arial" w:eastAsia="Arial" w:hAnsi="Arial" w:cs="Arial"/>
        </w:rPr>
      </w:pPr>
    </w:p>
    <w:p w14:paraId="2DD68228" w14:textId="0A48AD8C" w:rsidR="2EC8FCD9" w:rsidRDefault="2EC8FCD9" w:rsidP="2EC8FCD9">
      <w:pPr>
        <w:jc w:val="both"/>
        <w:rPr>
          <w:rFonts w:ascii="Arial" w:eastAsia="Arial" w:hAnsi="Arial" w:cs="Arial"/>
        </w:rPr>
      </w:pPr>
    </w:p>
    <w:p w14:paraId="6A6558A3" w14:textId="2ACB97B4" w:rsidR="2EC8FCD9" w:rsidRDefault="2EC8FCD9" w:rsidP="2EC8FCD9">
      <w:pPr>
        <w:jc w:val="both"/>
      </w:pPr>
    </w:p>
    <w:p w14:paraId="6F4BABE2" w14:textId="2560DC03" w:rsidR="2EC8FCD9" w:rsidRDefault="2EC8FCD9" w:rsidP="2EC8FCD9">
      <w:pPr>
        <w:jc w:val="both"/>
      </w:pPr>
    </w:p>
    <w:p w14:paraId="65819E17" w14:textId="5B15A82D" w:rsidR="2EC8FCD9" w:rsidRDefault="2EC8FCD9" w:rsidP="2EC8FCD9">
      <w:pPr>
        <w:jc w:val="both"/>
      </w:pPr>
    </w:p>
    <w:p w14:paraId="22962B04" w14:textId="7B6CCAF3" w:rsidR="1B78CB5F" w:rsidRDefault="1B78CB5F" w:rsidP="1B78CB5F">
      <w:pPr>
        <w:jc w:val="both"/>
        <w:rPr>
          <w:rFonts w:ascii="Arial" w:eastAsia="Arial" w:hAnsi="Arial" w:cs="Arial"/>
        </w:rPr>
      </w:pPr>
    </w:p>
    <w:p w14:paraId="7BA1C71E" w14:textId="1EAADD6A" w:rsidR="3B456783" w:rsidRDefault="3B456783" w:rsidP="3B456783">
      <w:pPr>
        <w:jc w:val="both"/>
      </w:pPr>
    </w:p>
    <w:sectPr w:rsidR="3B4567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83DC1E0"/>
    <w:rsid w:val="000A0CC4"/>
    <w:rsid w:val="001A314D"/>
    <w:rsid w:val="00276324"/>
    <w:rsid w:val="003C62AA"/>
    <w:rsid w:val="0043F897"/>
    <w:rsid w:val="004741EC"/>
    <w:rsid w:val="0073352C"/>
    <w:rsid w:val="00800DEB"/>
    <w:rsid w:val="00815449"/>
    <w:rsid w:val="00830419"/>
    <w:rsid w:val="00952F00"/>
    <w:rsid w:val="0095678C"/>
    <w:rsid w:val="00980B5E"/>
    <w:rsid w:val="009E723A"/>
    <w:rsid w:val="00A12A3A"/>
    <w:rsid w:val="00A2003B"/>
    <w:rsid w:val="00A3477E"/>
    <w:rsid w:val="00B90F2A"/>
    <w:rsid w:val="00BC5E2E"/>
    <w:rsid w:val="00C47766"/>
    <w:rsid w:val="00D0176D"/>
    <w:rsid w:val="00D350D3"/>
    <w:rsid w:val="00D51853"/>
    <w:rsid w:val="00E44978"/>
    <w:rsid w:val="00E80B72"/>
    <w:rsid w:val="00F015D7"/>
    <w:rsid w:val="00F80677"/>
    <w:rsid w:val="00F92295"/>
    <w:rsid w:val="0133823F"/>
    <w:rsid w:val="01368606"/>
    <w:rsid w:val="014EDCD9"/>
    <w:rsid w:val="01767658"/>
    <w:rsid w:val="0183506A"/>
    <w:rsid w:val="01A1B972"/>
    <w:rsid w:val="01C04B46"/>
    <w:rsid w:val="01DE2435"/>
    <w:rsid w:val="0241C35E"/>
    <w:rsid w:val="02E2D906"/>
    <w:rsid w:val="02ECE714"/>
    <w:rsid w:val="0310AEBC"/>
    <w:rsid w:val="0361796F"/>
    <w:rsid w:val="03BE5C36"/>
    <w:rsid w:val="03DF55C7"/>
    <w:rsid w:val="04B9076C"/>
    <w:rsid w:val="04BB0AF9"/>
    <w:rsid w:val="05247CE6"/>
    <w:rsid w:val="055A2C97"/>
    <w:rsid w:val="056226B7"/>
    <w:rsid w:val="05726C5A"/>
    <w:rsid w:val="05D1E34B"/>
    <w:rsid w:val="05E0F844"/>
    <w:rsid w:val="06D52DF9"/>
    <w:rsid w:val="07229577"/>
    <w:rsid w:val="07E08CC4"/>
    <w:rsid w:val="07EC4111"/>
    <w:rsid w:val="08254DAA"/>
    <w:rsid w:val="08E99743"/>
    <w:rsid w:val="099B51AF"/>
    <w:rsid w:val="0A2A328F"/>
    <w:rsid w:val="0A795FD9"/>
    <w:rsid w:val="0AD705F9"/>
    <w:rsid w:val="0AF5D871"/>
    <w:rsid w:val="0B356298"/>
    <w:rsid w:val="0BA972A1"/>
    <w:rsid w:val="0C74429D"/>
    <w:rsid w:val="0C78C96E"/>
    <w:rsid w:val="0CBA74A9"/>
    <w:rsid w:val="0CDD9A6B"/>
    <w:rsid w:val="0CFFABCC"/>
    <w:rsid w:val="0D07E150"/>
    <w:rsid w:val="0D832546"/>
    <w:rsid w:val="0E1579F9"/>
    <w:rsid w:val="0E32DC99"/>
    <w:rsid w:val="0E52D775"/>
    <w:rsid w:val="0E559644"/>
    <w:rsid w:val="0E580AE0"/>
    <w:rsid w:val="0E6D035A"/>
    <w:rsid w:val="0E9F8006"/>
    <w:rsid w:val="0EE02F78"/>
    <w:rsid w:val="0F24AA46"/>
    <w:rsid w:val="0F42B1C5"/>
    <w:rsid w:val="0FC93042"/>
    <w:rsid w:val="0FE8C21D"/>
    <w:rsid w:val="1074278E"/>
    <w:rsid w:val="1097A313"/>
    <w:rsid w:val="10A5E934"/>
    <w:rsid w:val="10A8847A"/>
    <w:rsid w:val="10E295D6"/>
    <w:rsid w:val="1152F86F"/>
    <w:rsid w:val="116D05CF"/>
    <w:rsid w:val="119FADC3"/>
    <w:rsid w:val="120E9BC0"/>
    <w:rsid w:val="120FF7EF"/>
    <w:rsid w:val="121899E4"/>
    <w:rsid w:val="128B1A96"/>
    <w:rsid w:val="12BAC8BF"/>
    <w:rsid w:val="1308BE8A"/>
    <w:rsid w:val="130EAEFA"/>
    <w:rsid w:val="133B108D"/>
    <w:rsid w:val="1358918E"/>
    <w:rsid w:val="138169F1"/>
    <w:rsid w:val="13B6B928"/>
    <w:rsid w:val="13CF43D5"/>
    <w:rsid w:val="13E15C0A"/>
    <w:rsid w:val="14A48EEB"/>
    <w:rsid w:val="156B1436"/>
    <w:rsid w:val="1571AB32"/>
    <w:rsid w:val="15A7E9AE"/>
    <w:rsid w:val="15B03A73"/>
    <w:rsid w:val="15B99738"/>
    <w:rsid w:val="15E6B222"/>
    <w:rsid w:val="16165932"/>
    <w:rsid w:val="1687EF0D"/>
    <w:rsid w:val="16A1B72A"/>
    <w:rsid w:val="16BBC1BA"/>
    <w:rsid w:val="16D94373"/>
    <w:rsid w:val="170EE7D6"/>
    <w:rsid w:val="173ED4CC"/>
    <w:rsid w:val="1743CF9B"/>
    <w:rsid w:val="17C61A06"/>
    <w:rsid w:val="17F3C530"/>
    <w:rsid w:val="182C7C34"/>
    <w:rsid w:val="1867AA05"/>
    <w:rsid w:val="188005E5"/>
    <w:rsid w:val="18EA7381"/>
    <w:rsid w:val="195AB32B"/>
    <w:rsid w:val="19BD8B32"/>
    <w:rsid w:val="1A3B299E"/>
    <w:rsid w:val="1A7DB154"/>
    <w:rsid w:val="1AF83744"/>
    <w:rsid w:val="1B26563A"/>
    <w:rsid w:val="1B6B85A2"/>
    <w:rsid w:val="1B78CB5F"/>
    <w:rsid w:val="1BB0859E"/>
    <w:rsid w:val="1C459A8A"/>
    <w:rsid w:val="1C959C05"/>
    <w:rsid w:val="1C9AA7C0"/>
    <w:rsid w:val="1CD85623"/>
    <w:rsid w:val="1CDCC4AE"/>
    <w:rsid w:val="1D14D346"/>
    <w:rsid w:val="1D287445"/>
    <w:rsid w:val="1D6522E2"/>
    <w:rsid w:val="1DEB67B5"/>
    <w:rsid w:val="1DF8108D"/>
    <w:rsid w:val="1E27C1E5"/>
    <w:rsid w:val="1E5291B1"/>
    <w:rsid w:val="1E6DA1EC"/>
    <w:rsid w:val="1F1E1E41"/>
    <w:rsid w:val="1F34D27C"/>
    <w:rsid w:val="1F3A0208"/>
    <w:rsid w:val="2005B96F"/>
    <w:rsid w:val="2040C4CF"/>
    <w:rsid w:val="20E2D3CB"/>
    <w:rsid w:val="210DC41F"/>
    <w:rsid w:val="21588A7C"/>
    <w:rsid w:val="2190A67B"/>
    <w:rsid w:val="21920758"/>
    <w:rsid w:val="21DE5F48"/>
    <w:rsid w:val="221D736A"/>
    <w:rsid w:val="223CF8F1"/>
    <w:rsid w:val="224E8342"/>
    <w:rsid w:val="234150BB"/>
    <w:rsid w:val="23527CAB"/>
    <w:rsid w:val="23D27B95"/>
    <w:rsid w:val="23F18F64"/>
    <w:rsid w:val="23FDB322"/>
    <w:rsid w:val="24430043"/>
    <w:rsid w:val="2472F5E8"/>
    <w:rsid w:val="24998E5D"/>
    <w:rsid w:val="24B41023"/>
    <w:rsid w:val="2527261E"/>
    <w:rsid w:val="254992F3"/>
    <w:rsid w:val="256E4BF6"/>
    <w:rsid w:val="25CE641A"/>
    <w:rsid w:val="25E398DB"/>
    <w:rsid w:val="2610B541"/>
    <w:rsid w:val="265DA396"/>
    <w:rsid w:val="26884218"/>
    <w:rsid w:val="270D9E8A"/>
    <w:rsid w:val="271A036A"/>
    <w:rsid w:val="27365BBB"/>
    <w:rsid w:val="2766FD46"/>
    <w:rsid w:val="2797D562"/>
    <w:rsid w:val="27F45A53"/>
    <w:rsid w:val="281791A2"/>
    <w:rsid w:val="28A5ECB8"/>
    <w:rsid w:val="29030F8B"/>
    <w:rsid w:val="29AC9BB5"/>
    <w:rsid w:val="29B49EF4"/>
    <w:rsid w:val="2A553BA0"/>
    <w:rsid w:val="2A60EA3A"/>
    <w:rsid w:val="2A9486DE"/>
    <w:rsid w:val="2B2C4237"/>
    <w:rsid w:val="2B486C16"/>
    <w:rsid w:val="2B4B7FA1"/>
    <w:rsid w:val="2B5BB404"/>
    <w:rsid w:val="2BFF9459"/>
    <w:rsid w:val="2C79362C"/>
    <w:rsid w:val="2C9A5F94"/>
    <w:rsid w:val="2CC27553"/>
    <w:rsid w:val="2D0D1B79"/>
    <w:rsid w:val="2DA64FA0"/>
    <w:rsid w:val="2DD1226F"/>
    <w:rsid w:val="2EC8FCD9"/>
    <w:rsid w:val="2EEDA560"/>
    <w:rsid w:val="2F2C55C0"/>
    <w:rsid w:val="2F345B5D"/>
    <w:rsid w:val="2F5AA76E"/>
    <w:rsid w:val="2F6CF2D0"/>
    <w:rsid w:val="2FC841B7"/>
    <w:rsid w:val="2FDB2220"/>
    <w:rsid w:val="2FE216C2"/>
    <w:rsid w:val="3018E4F6"/>
    <w:rsid w:val="3041E0D7"/>
    <w:rsid w:val="305A5BFE"/>
    <w:rsid w:val="306A0731"/>
    <w:rsid w:val="30DDF062"/>
    <w:rsid w:val="314DC702"/>
    <w:rsid w:val="31B69A79"/>
    <w:rsid w:val="32200AC6"/>
    <w:rsid w:val="324D8571"/>
    <w:rsid w:val="3273D053"/>
    <w:rsid w:val="3276A4F6"/>
    <w:rsid w:val="3294042B"/>
    <w:rsid w:val="3309FD33"/>
    <w:rsid w:val="3319699F"/>
    <w:rsid w:val="3342E0D4"/>
    <w:rsid w:val="340773C1"/>
    <w:rsid w:val="3407CC80"/>
    <w:rsid w:val="342FD92E"/>
    <w:rsid w:val="349481E7"/>
    <w:rsid w:val="34A891A7"/>
    <w:rsid w:val="34B587E5"/>
    <w:rsid w:val="34CA003E"/>
    <w:rsid w:val="35B29195"/>
    <w:rsid w:val="35C4C57A"/>
    <w:rsid w:val="35DDC815"/>
    <w:rsid w:val="367BB4E6"/>
    <w:rsid w:val="371C4F06"/>
    <w:rsid w:val="37389BB5"/>
    <w:rsid w:val="375205EA"/>
    <w:rsid w:val="3769AFDD"/>
    <w:rsid w:val="37C57FD1"/>
    <w:rsid w:val="37DF95F2"/>
    <w:rsid w:val="37E63405"/>
    <w:rsid w:val="37ED28A7"/>
    <w:rsid w:val="37FE5CEA"/>
    <w:rsid w:val="380EBCBD"/>
    <w:rsid w:val="3815B447"/>
    <w:rsid w:val="387C2BF3"/>
    <w:rsid w:val="38AAC63E"/>
    <w:rsid w:val="38C5C4F4"/>
    <w:rsid w:val="395531FC"/>
    <w:rsid w:val="39575A1D"/>
    <w:rsid w:val="395830E0"/>
    <w:rsid w:val="399D9876"/>
    <w:rsid w:val="39A7FDF2"/>
    <w:rsid w:val="3A5318CC"/>
    <w:rsid w:val="3A54B176"/>
    <w:rsid w:val="3A7EE238"/>
    <w:rsid w:val="3AD398BE"/>
    <w:rsid w:val="3AD8A51F"/>
    <w:rsid w:val="3B456783"/>
    <w:rsid w:val="3B4D5509"/>
    <w:rsid w:val="3B66B574"/>
    <w:rsid w:val="3B7928C7"/>
    <w:rsid w:val="3C0D6EB8"/>
    <w:rsid w:val="3C3F548C"/>
    <w:rsid w:val="3C4B9E67"/>
    <w:rsid w:val="3C7D181B"/>
    <w:rsid w:val="3C872602"/>
    <w:rsid w:val="3D1B9C39"/>
    <w:rsid w:val="3D7B62FD"/>
    <w:rsid w:val="3DBDA37A"/>
    <w:rsid w:val="3DC908C5"/>
    <w:rsid w:val="3DD1F955"/>
    <w:rsid w:val="3E0768D4"/>
    <w:rsid w:val="3E252836"/>
    <w:rsid w:val="3E3D7BC0"/>
    <w:rsid w:val="3E4FC7D8"/>
    <w:rsid w:val="3F52535B"/>
    <w:rsid w:val="3FBF0083"/>
    <w:rsid w:val="3FE6BB03"/>
    <w:rsid w:val="40012591"/>
    <w:rsid w:val="403AFA6C"/>
    <w:rsid w:val="406037B4"/>
    <w:rsid w:val="4076714A"/>
    <w:rsid w:val="40C2FBB0"/>
    <w:rsid w:val="40C3F2FA"/>
    <w:rsid w:val="412D1AE4"/>
    <w:rsid w:val="41702390"/>
    <w:rsid w:val="41A8AA5B"/>
    <w:rsid w:val="41B9950B"/>
    <w:rsid w:val="423C2F0C"/>
    <w:rsid w:val="434F4400"/>
    <w:rsid w:val="436A7F23"/>
    <w:rsid w:val="437F34CE"/>
    <w:rsid w:val="43CBA6B3"/>
    <w:rsid w:val="4435478B"/>
    <w:rsid w:val="449E426C"/>
    <w:rsid w:val="44A8285A"/>
    <w:rsid w:val="44DB0EF2"/>
    <w:rsid w:val="44DCDAC6"/>
    <w:rsid w:val="44F4374F"/>
    <w:rsid w:val="44F88AE0"/>
    <w:rsid w:val="451D4E67"/>
    <w:rsid w:val="4525C7FF"/>
    <w:rsid w:val="455E3210"/>
    <w:rsid w:val="456403A9"/>
    <w:rsid w:val="45F9DD61"/>
    <w:rsid w:val="46285F1E"/>
    <w:rsid w:val="465C05C3"/>
    <w:rsid w:val="46692907"/>
    <w:rsid w:val="466C2FE5"/>
    <w:rsid w:val="469007B0"/>
    <w:rsid w:val="46FBCD86"/>
    <w:rsid w:val="475413E0"/>
    <w:rsid w:val="476D21E2"/>
    <w:rsid w:val="477BDD1D"/>
    <w:rsid w:val="482294FC"/>
    <w:rsid w:val="482BD811"/>
    <w:rsid w:val="485D8EC3"/>
    <w:rsid w:val="48884C5D"/>
    <w:rsid w:val="4895A2FB"/>
    <w:rsid w:val="48AC6A0E"/>
    <w:rsid w:val="4903F7CA"/>
    <w:rsid w:val="49077E8A"/>
    <w:rsid w:val="4A483A6F"/>
    <w:rsid w:val="4A708109"/>
    <w:rsid w:val="4AA8F7B3"/>
    <w:rsid w:val="4AB592DC"/>
    <w:rsid w:val="4B14B74A"/>
    <w:rsid w:val="4BAD607D"/>
    <w:rsid w:val="4BF36285"/>
    <w:rsid w:val="4C8F11B3"/>
    <w:rsid w:val="4CEE45FB"/>
    <w:rsid w:val="4D24104D"/>
    <w:rsid w:val="4D5B29CE"/>
    <w:rsid w:val="4DBEF35F"/>
    <w:rsid w:val="4E11223F"/>
    <w:rsid w:val="4E5E75B3"/>
    <w:rsid w:val="4E8E7B48"/>
    <w:rsid w:val="4EA7415A"/>
    <w:rsid w:val="4EC2B7B5"/>
    <w:rsid w:val="4F41DBB3"/>
    <w:rsid w:val="4F501343"/>
    <w:rsid w:val="4FECD8C7"/>
    <w:rsid w:val="504311BB"/>
    <w:rsid w:val="507BBDD8"/>
    <w:rsid w:val="508B5BF5"/>
    <w:rsid w:val="51099706"/>
    <w:rsid w:val="513D584A"/>
    <w:rsid w:val="51C61C0A"/>
    <w:rsid w:val="51E41317"/>
    <w:rsid w:val="51E9A690"/>
    <w:rsid w:val="5220450D"/>
    <w:rsid w:val="523530E1"/>
    <w:rsid w:val="5264AC4E"/>
    <w:rsid w:val="52797C75"/>
    <w:rsid w:val="527DD4AB"/>
    <w:rsid w:val="5284C94D"/>
    <w:rsid w:val="52EE5A98"/>
    <w:rsid w:val="534C9C65"/>
    <w:rsid w:val="536417BD"/>
    <w:rsid w:val="5364DABD"/>
    <w:rsid w:val="539D20E4"/>
    <w:rsid w:val="5427D168"/>
    <w:rsid w:val="5478B661"/>
    <w:rsid w:val="54F1086D"/>
    <w:rsid w:val="551682DE"/>
    <w:rsid w:val="55169C30"/>
    <w:rsid w:val="554D5719"/>
    <w:rsid w:val="5564273F"/>
    <w:rsid w:val="55905685"/>
    <w:rsid w:val="55CC329B"/>
    <w:rsid w:val="55E6C6AF"/>
    <w:rsid w:val="5654A3A2"/>
    <w:rsid w:val="57421232"/>
    <w:rsid w:val="5743950D"/>
    <w:rsid w:val="578ABB98"/>
    <w:rsid w:val="578DD36F"/>
    <w:rsid w:val="58059426"/>
    <w:rsid w:val="5821E6CA"/>
    <w:rsid w:val="5902F1CA"/>
    <w:rsid w:val="593A3C70"/>
    <w:rsid w:val="59A42D26"/>
    <w:rsid w:val="59A7640E"/>
    <w:rsid w:val="59DB9018"/>
    <w:rsid w:val="59E7CDC4"/>
    <w:rsid w:val="5A131478"/>
    <w:rsid w:val="5AA10FD1"/>
    <w:rsid w:val="5AAC74C0"/>
    <w:rsid w:val="5AC06A11"/>
    <w:rsid w:val="5AC48E97"/>
    <w:rsid w:val="5AFE10FD"/>
    <w:rsid w:val="5B7DD817"/>
    <w:rsid w:val="5BCBF257"/>
    <w:rsid w:val="5BCF99FD"/>
    <w:rsid w:val="5BFCED7F"/>
    <w:rsid w:val="5C60F0FF"/>
    <w:rsid w:val="5CBB8988"/>
    <w:rsid w:val="5D347605"/>
    <w:rsid w:val="5DCA8543"/>
    <w:rsid w:val="5E0BDFB2"/>
    <w:rsid w:val="5E64162B"/>
    <w:rsid w:val="5E6785E0"/>
    <w:rsid w:val="5FFB436E"/>
    <w:rsid w:val="601BA597"/>
    <w:rsid w:val="60C362A4"/>
    <w:rsid w:val="60EC56F5"/>
    <w:rsid w:val="610928EC"/>
    <w:rsid w:val="610E7FF9"/>
    <w:rsid w:val="611CC61A"/>
    <w:rsid w:val="6128B439"/>
    <w:rsid w:val="6141D19F"/>
    <w:rsid w:val="61C8657E"/>
    <w:rsid w:val="61D56B16"/>
    <w:rsid w:val="61DC3675"/>
    <w:rsid w:val="61E7FA5C"/>
    <w:rsid w:val="620413EC"/>
    <w:rsid w:val="621E2A20"/>
    <w:rsid w:val="622041D2"/>
    <w:rsid w:val="62453B09"/>
    <w:rsid w:val="6253BD0C"/>
    <w:rsid w:val="628B0706"/>
    <w:rsid w:val="62A5C555"/>
    <w:rsid w:val="62B50D3D"/>
    <w:rsid w:val="62B6BADD"/>
    <w:rsid w:val="62DD4D4D"/>
    <w:rsid w:val="64074BBC"/>
    <w:rsid w:val="646EC17A"/>
    <w:rsid w:val="64F6C89D"/>
    <w:rsid w:val="650F2333"/>
    <w:rsid w:val="651EBC6E"/>
    <w:rsid w:val="654E5613"/>
    <w:rsid w:val="65535452"/>
    <w:rsid w:val="6554DD0B"/>
    <w:rsid w:val="6561B80C"/>
    <w:rsid w:val="657B30D0"/>
    <w:rsid w:val="660C4826"/>
    <w:rsid w:val="66450123"/>
    <w:rsid w:val="66626BCE"/>
    <w:rsid w:val="66A58AFF"/>
    <w:rsid w:val="66A633CD"/>
    <w:rsid w:val="66AAFA5E"/>
    <w:rsid w:val="66BF7375"/>
    <w:rsid w:val="66E903E3"/>
    <w:rsid w:val="674CDBFC"/>
    <w:rsid w:val="676AC606"/>
    <w:rsid w:val="67A32AF1"/>
    <w:rsid w:val="67AD8361"/>
    <w:rsid w:val="67D72F07"/>
    <w:rsid w:val="683DC1E0"/>
    <w:rsid w:val="6848F8D0"/>
    <w:rsid w:val="6858FD03"/>
    <w:rsid w:val="68E3F8B2"/>
    <w:rsid w:val="68EC1CF7"/>
    <w:rsid w:val="693EFB52"/>
    <w:rsid w:val="694953C2"/>
    <w:rsid w:val="69E0EF73"/>
    <w:rsid w:val="69EEDCF4"/>
    <w:rsid w:val="69F4E946"/>
    <w:rsid w:val="6A2033FE"/>
    <w:rsid w:val="6A5CBBD7"/>
    <w:rsid w:val="6A6C83D7"/>
    <w:rsid w:val="6AB537F0"/>
    <w:rsid w:val="6AD27A9A"/>
    <w:rsid w:val="6AE1C379"/>
    <w:rsid w:val="6AFAFB3E"/>
    <w:rsid w:val="6B12625F"/>
    <w:rsid w:val="6B310D96"/>
    <w:rsid w:val="6B69B61A"/>
    <w:rsid w:val="6BA623B0"/>
    <w:rsid w:val="6BFCCEC9"/>
    <w:rsid w:val="6CB30F00"/>
    <w:rsid w:val="6CE837C5"/>
    <w:rsid w:val="6D5552A1"/>
    <w:rsid w:val="6DAA9F03"/>
    <w:rsid w:val="6DDEBB67"/>
    <w:rsid w:val="6DE4DED5"/>
    <w:rsid w:val="6E6F890E"/>
    <w:rsid w:val="6E82B3BF"/>
    <w:rsid w:val="6EC4B70A"/>
    <w:rsid w:val="6EF03B1B"/>
    <w:rsid w:val="6F2D0593"/>
    <w:rsid w:val="6F961EBA"/>
    <w:rsid w:val="6FB6F757"/>
    <w:rsid w:val="6FBC94A6"/>
    <w:rsid w:val="6FE88434"/>
    <w:rsid w:val="7036E744"/>
    <w:rsid w:val="7076BDCC"/>
    <w:rsid w:val="707994D3"/>
    <w:rsid w:val="708703A1"/>
    <w:rsid w:val="70AB6007"/>
    <w:rsid w:val="70BC1CCC"/>
    <w:rsid w:val="710D3CFE"/>
    <w:rsid w:val="71230A93"/>
    <w:rsid w:val="7151E16B"/>
    <w:rsid w:val="716FA956"/>
    <w:rsid w:val="71CEC039"/>
    <w:rsid w:val="7235E2A4"/>
    <w:rsid w:val="725971E3"/>
    <w:rsid w:val="728D8325"/>
    <w:rsid w:val="728FE502"/>
    <w:rsid w:val="72979374"/>
    <w:rsid w:val="72B22110"/>
    <w:rsid w:val="730890AF"/>
    <w:rsid w:val="731757CB"/>
    <w:rsid w:val="737FEB2A"/>
    <w:rsid w:val="73BE6AA4"/>
    <w:rsid w:val="74B53055"/>
    <w:rsid w:val="74E3803C"/>
    <w:rsid w:val="7500A8DE"/>
    <w:rsid w:val="751BB7DB"/>
    <w:rsid w:val="7535D6A5"/>
    <w:rsid w:val="75441566"/>
    <w:rsid w:val="754D05F6"/>
    <w:rsid w:val="756B7A12"/>
    <w:rsid w:val="75791E90"/>
    <w:rsid w:val="757D9EA8"/>
    <w:rsid w:val="75BA0239"/>
    <w:rsid w:val="76F4FAB1"/>
    <w:rsid w:val="770AFED8"/>
    <w:rsid w:val="775842DC"/>
    <w:rsid w:val="77C38AC6"/>
    <w:rsid w:val="77DFB085"/>
    <w:rsid w:val="77E17CF8"/>
    <w:rsid w:val="781FC9D1"/>
    <w:rsid w:val="788301A4"/>
    <w:rsid w:val="789250D4"/>
    <w:rsid w:val="78AB6FF9"/>
    <w:rsid w:val="78C6D435"/>
    <w:rsid w:val="78E90883"/>
    <w:rsid w:val="7943CAF3"/>
    <w:rsid w:val="794FFDF8"/>
    <w:rsid w:val="797D4D59"/>
    <w:rsid w:val="79A73EEB"/>
    <w:rsid w:val="7A6AAC4E"/>
    <w:rsid w:val="7A807452"/>
    <w:rsid w:val="7A971C67"/>
    <w:rsid w:val="7AAFF80A"/>
    <w:rsid w:val="7AD7C720"/>
    <w:rsid w:val="7B708773"/>
    <w:rsid w:val="7C5F3CD6"/>
    <w:rsid w:val="7C77472F"/>
    <w:rsid w:val="7D0B2966"/>
    <w:rsid w:val="7DA3BAB9"/>
    <w:rsid w:val="7E058AE3"/>
    <w:rsid w:val="7E14BED0"/>
    <w:rsid w:val="7E287AF3"/>
    <w:rsid w:val="7E587F29"/>
    <w:rsid w:val="7E5A5D32"/>
    <w:rsid w:val="7EA82835"/>
    <w:rsid w:val="7ED9365C"/>
    <w:rsid w:val="7EE8925B"/>
    <w:rsid w:val="7FC60BB1"/>
    <w:rsid w:val="7FD37B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DC1E0"/>
  <w15:chartTrackingRefBased/>
  <w15:docId w15:val="{EFF9F775-798E-4FCA-9B21-3CCD3A909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1">
    <w:name w:val="Standard1"/>
    <w:basedOn w:val="Normal"/>
    <w:uiPriority w:val="1"/>
    <w:rsid w:val="3F52535B"/>
    <w:rPr>
      <w:color w:val="00000A"/>
    </w:rPr>
  </w:style>
  <w:style w:type="character" w:styleId="CommentReference">
    <w:name w:val="annotation reference"/>
    <w:basedOn w:val="DefaultParagraphFont"/>
    <w:uiPriority w:val="99"/>
    <w:semiHidden/>
    <w:unhideWhenUsed/>
    <w:rsid w:val="009E723A"/>
    <w:rPr>
      <w:sz w:val="16"/>
      <w:szCs w:val="16"/>
    </w:rPr>
  </w:style>
  <w:style w:type="paragraph" w:styleId="CommentText">
    <w:name w:val="annotation text"/>
    <w:basedOn w:val="Normal"/>
    <w:link w:val="CommentTextChar"/>
    <w:uiPriority w:val="99"/>
    <w:semiHidden/>
    <w:unhideWhenUsed/>
    <w:rsid w:val="009E723A"/>
    <w:pPr>
      <w:spacing w:line="240" w:lineRule="auto"/>
    </w:pPr>
    <w:rPr>
      <w:sz w:val="20"/>
      <w:szCs w:val="20"/>
    </w:rPr>
  </w:style>
  <w:style w:type="character" w:customStyle="1" w:styleId="CommentTextChar">
    <w:name w:val="Comment Text Char"/>
    <w:basedOn w:val="DefaultParagraphFont"/>
    <w:link w:val="CommentText"/>
    <w:uiPriority w:val="99"/>
    <w:semiHidden/>
    <w:rsid w:val="009E723A"/>
    <w:rPr>
      <w:sz w:val="20"/>
      <w:szCs w:val="20"/>
    </w:rPr>
  </w:style>
  <w:style w:type="paragraph" w:styleId="CommentSubject">
    <w:name w:val="annotation subject"/>
    <w:basedOn w:val="CommentText"/>
    <w:next w:val="CommentText"/>
    <w:link w:val="CommentSubjectChar"/>
    <w:uiPriority w:val="99"/>
    <w:semiHidden/>
    <w:unhideWhenUsed/>
    <w:rsid w:val="009E723A"/>
    <w:rPr>
      <w:b/>
      <w:bCs/>
    </w:rPr>
  </w:style>
  <w:style w:type="character" w:customStyle="1" w:styleId="CommentSubjectChar">
    <w:name w:val="Comment Subject Char"/>
    <w:basedOn w:val="CommentTextChar"/>
    <w:link w:val="CommentSubject"/>
    <w:uiPriority w:val="99"/>
    <w:semiHidden/>
    <w:rsid w:val="009E723A"/>
    <w:rPr>
      <w:b/>
      <w:bCs/>
      <w:sz w:val="20"/>
      <w:szCs w:val="20"/>
    </w:rPr>
  </w:style>
  <w:style w:type="paragraph" w:styleId="BalloonText">
    <w:name w:val="Balloon Text"/>
    <w:basedOn w:val="Normal"/>
    <w:link w:val="BalloonTextChar"/>
    <w:uiPriority w:val="99"/>
    <w:semiHidden/>
    <w:unhideWhenUsed/>
    <w:rsid w:val="009E723A"/>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E723A"/>
    <w:rPr>
      <w:rFonts w:ascii="Times New Roman" w:hAnsi="Times New Roman" w:cs="Times New Roman"/>
      <w:sz w:val="18"/>
      <w:szCs w:val="18"/>
    </w:r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customXml" Target="../customXml/item3.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9.png"/><Relationship Id="rId23" Type="http://schemas.openxmlformats.org/officeDocument/2006/relationships/image" Target="media/image17.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styles" Target="style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73898BA20E2342933F8AF7DB9121C7" ma:contentTypeVersion="13" ma:contentTypeDescription="Create a new document." ma:contentTypeScope="" ma:versionID="f9fcc7a31196a515f3cc98dcf1fb77bf">
  <xsd:schema xmlns:xsd="http://www.w3.org/2001/XMLSchema" xmlns:xs="http://www.w3.org/2001/XMLSchema" xmlns:p="http://schemas.microsoft.com/office/2006/metadata/properties" xmlns:ns3="ad31783c-a59a-4fed-8245-663389e0aaa5" xmlns:ns4="0af1afc5-e2ce-4bba-85c4-dcf9e5109604" targetNamespace="http://schemas.microsoft.com/office/2006/metadata/properties" ma:root="true" ma:fieldsID="3845da922b60804799194382a9b1a8e1" ns3:_="" ns4:_="">
    <xsd:import namespace="ad31783c-a59a-4fed-8245-663389e0aaa5"/>
    <xsd:import namespace="0af1afc5-e2ce-4bba-85c4-dcf9e510960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31783c-a59a-4fed-8245-663389e0aa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af1afc5-e2ce-4bba-85c4-dcf9e510960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D29331-F3E6-4422-A072-5D872CBC82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31783c-a59a-4fed-8245-663389e0aaa5"/>
    <ds:schemaRef ds:uri="0af1afc5-e2ce-4bba-85c4-dcf9e51096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CAB231-6836-40A7-BF1C-BE46847B9A7F}">
  <ds:schemaRefs>
    <ds:schemaRef ds:uri="http://schemas.microsoft.com/sharepoint/v3/contenttype/forms"/>
  </ds:schemaRefs>
</ds:datastoreItem>
</file>

<file path=customXml/itemProps3.xml><?xml version="1.0" encoding="utf-8"?>
<ds:datastoreItem xmlns:ds="http://schemas.openxmlformats.org/officeDocument/2006/customXml" ds:itemID="{F63F90B4-8617-4481-92E8-2FE44DB9C12D}">
  <ds:schemaRefs>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0af1afc5-e2ce-4bba-85c4-dcf9e5109604"/>
    <ds:schemaRef ds:uri="ad31783c-a59a-4fed-8245-663389e0aaa5"/>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13</Pages>
  <Words>1240</Words>
  <Characters>7074</Characters>
  <Application>Microsoft Office Word</Application>
  <DocSecurity>0</DocSecurity>
  <Lines>58</Lines>
  <Paragraphs>16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8298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Scherer</dc:creator>
  <cp:keywords/>
  <dc:description/>
  <cp:lastModifiedBy>Renee Beekman</cp:lastModifiedBy>
  <cp:revision>5</cp:revision>
  <dcterms:created xsi:type="dcterms:W3CDTF">2022-10-12T12:53:00Z</dcterms:created>
  <dcterms:modified xsi:type="dcterms:W3CDTF">2022-10-12T13:14:00Z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0x0101001F73898BA20E2342933F8AF7DB9121C7</vt:lpwstr>
  </property>
</Properties>
</file>