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816F06" w14:textId="6412E7AF" w:rsidR="008A6F71" w:rsidRPr="00576A72" w:rsidRDefault="008A6F71" w:rsidP="0057065E">
      <w:pPr>
        <w:spacing w:line="360" w:lineRule="auto"/>
        <w:jc w:val="center"/>
        <w:rPr>
          <w:rFonts w:ascii="Arial" w:eastAsia="Times New Roman" w:hAnsi="Arial" w:cs="Arial"/>
          <w:sz w:val="28"/>
          <w:szCs w:val="28"/>
        </w:rPr>
      </w:pPr>
      <w:r w:rsidRPr="00576A72">
        <w:rPr>
          <w:rFonts w:ascii="Arial" w:eastAsia="Times New Roman" w:hAnsi="Arial" w:cs="Arial"/>
          <w:sz w:val="28"/>
          <w:szCs w:val="28"/>
        </w:rPr>
        <w:t xml:space="preserve">Supplementary Materials for </w:t>
      </w:r>
      <w:r w:rsidRPr="00576A72">
        <w:rPr>
          <w:rFonts w:ascii="Arial" w:hAnsi="Arial" w:cs="Arial"/>
          <w:bCs/>
          <w:sz w:val="28"/>
          <w:szCs w:val="28"/>
        </w:rPr>
        <w:t>Gallego Romero and Lea</w:t>
      </w:r>
      <w:r w:rsidRPr="00576A72">
        <w:rPr>
          <w:rFonts w:ascii="Arial" w:eastAsia="Times New Roman" w:hAnsi="Arial" w:cs="Arial"/>
          <w:sz w:val="28"/>
          <w:szCs w:val="28"/>
        </w:rPr>
        <w:t>, “</w:t>
      </w:r>
      <w:r w:rsidRPr="00576A72">
        <w:rPr>
          <w:rFonts w:ascii="Arial" w:hAnsi="Arial" w:cs="Arial"/>
          <w:b/>
          <w:sz w:val="28"/>
          <w:szCs w:val="28"/>
        </w:rPr>
        <w:t>Leveraging massively parallel reporter assays for evolutionary questions</w:t>
      </w:r>
      <w:r w:rsidRPr="00576A72">
        <w:rPr>
          <w:rFonts w:ascii="Arial" w:eastAsia="Times New Roman" w:hAnsi="Arial" w:cs="Arial"/>
          <w:sz w:val="28"/>
          <w:szCs w:val="28"/>
        </w:rPr>
        <w:t>”</w:t>
      </w:r>
    </w:p>
    <w:p w14:paraId="3EE06F7E" w14:textId="77777777" w:rsidR="008A6F71" w:rsidRPr="00576A72" w:rsidRDefault="008A6F71" w:rsidP="0057065E">
      <w:pPr>
        <w:spacing w:line="360" w:lineRule="auto"/>
        <w:rPr>
          <w:rFonts w:ascii="Arial" w:eastAsia="Times New Roman" w:hAnsi="Arial" w:cs="Arial"/>
          <w:sz w:val="28"/>
          <w:szCs w:val="28"/>
        </w:rPr>
      </w:pPr>
    </w:p>
    <w:p w14:paraId="1B70F978" w14:textId="3A7BEA83" w:rsidR="00AD7AFB" w:rsidRPr="00576A72" w:rsidRDefault="008A6F71" w:rsidP="0057065E">
      <w:pPr>
        <w:spacing w:line="360" w:lineRule="auto"/>
        <w:rPr>
          <w:rFonts w:ascii="Arial" w:eastAsia="Times New Roman" w:hAnsi="Arial" w:cs="Arial"/>
        </w:rPr>
      </w:pPr>
      <w:r w:rsidRPr="00576A72">
        <w:rPr>
          <w:rFonts w:ascii="Arial" w:eastAsia="Times New Roman" w:hAnsi="Arial" w:cs="Arial"/>
        </w:rPr>
        <w:t>This PDF contains:</w:t>
      </w:r>
    </w:p>
    <w:p w14:paraId="31F1B65A" w14:textId="20ED64BA" w:rsidR="008A6F71" w:rsidRPr="00576A72" w:rsidRDefault="008A6F71" w:rsidP="0057065E">
      <w:pPr>
        <w:spacing w:line="360" w:lineRule="auto"/>
        <w:rPr>
          <w:rFonts w:ascii="Arial" w:eastAsia="Times New Roman" w:hAnsi="Arial" w:cs="Arial"/>
        </w:rPr>
      </w:pPr>
    </w:p>
    <w:p w14:paraId="4E3DF8BB" w14:textId="267386F7" w:rsidR="008A6F71" w:rsidRPr="00576A72" w:rsidRDefault="008A6F71" w:rsidP="0057065E">
      <w:pPr>
        <w:spacing w:line="360" w:lineRule="auto"/>
        <w:rPr>
          <w:rFonts w:ascii="Arial" w:hAnsi="Arial" w:cs="Arial"/>
        </w:rPr>
      </w:pPr>
      <w:r w:rsidRPr="00576A72">
        <w:rPr>
          <w:rFonts w:ascii="Arial" w:hAnsi="Arial" w:cs="Arial"/>
        </w:rPr>
        <w:t>Supplementary Methods</w:t>
      </w:r>
    </w:p>
    <w:p w14:paraId="390D874D" w14:textId="136D085C" w:rsidR="008A6F71" w:rsidRPr="00576A72" w:rsidRDefault="008A6F71" w:rsidP="0057065E">
      <w:pPr>
        <w:spacing w:line="360" w:lineRule="auto"/>
        <w:rPr>
          <w:rFonts w:ascii="Arial" w:hAnsi="Arial" w:cs="Arial"/>
        </w:rPr>
      </w:pPr>
      <w:r w:rsidRPr="00576A72">
        <w:rPr>
          <w:rFonts w:ascii="Arial" w:hAnsi="Arial" w:cs="Arial"/>
        </w:rPr>
        <w:t xml:space="preserve">Figure </w:t>
      </w:r>
      <w:r w:rsidR="00650E87">
        <w:rPr>
          <w:rFonts w:ascii="Arial" w:hAnsi="Arial" w:cs="Arial"/>
        </w:rPr>
        <w:t>S</w:t>
      </w:r>
      <w:r w:rsidRPr="00576A72">
        <w:rPr>
          <w:rFonts w:ascii="Arial" w:hAnsi="Arial" w:cs="Arial"/>
        </w:rPr>
        <w:t>1</w:t>
      </w:r>
    </w:p>
    <w:p w14:paraId="4C04E9E7" w14:textId="4DC2A123" w:rsidR="00774AE4" w:rsidRDefault="00774AE4" w:rsidP="0057065E">
      <w:pPr>
        <w:spacing w:line="360" w:lineRule="auto"/>
        <w:rPr>
          <w:rFonts w:ascii="Arial" w:hAnsi="Arial" w:cs="Arial"/>
        </w:rPr>
      </w:pPr>
      <w:r w:rsidRPr="00576A72">
        <w:rPr>
          <w:rFonts w:ascii="Arial" w:hAnsi="Arial" w:cs="Arial"/>
        </w:rPr>
        <w:t xml:space="preserve">Figure </w:t>
      </w:r>
      <w:r w:rsidR="00650E87">
        <w:rPr>
          <w:rFonts w:ascii="Arial" w:hAnsi="Arial" w:cs="Arial"/>
        </w:rPr>
        <w:t>S2</w:t>
      </w:r>
    </w:p>
    <w:p w14:paraId="4A9354CB" w14:textId="2CB9A236" w:rsidR="00671F63" w:rsidRPr="00576A72" w:rsidRDefault="00671F63" w:rsidP="0057065E">
      <w:pPr>
        <w:spacing w:line="360" w:lineRule="auto"/>
        <w:rPr>
          <w:rFonts w:ascii="Arial" w:hAnsi="Arial" w:cs="Arial"/>
        </w:rPr>
      </w:pPr>
      <w:r>
        <w:rPr>
          <w:rFonts w:ascii="Arial" w:hAnsi="Arial" w:cs="Arial"/>
        </w:rPr>
        <w:t xml:space="preserve">Figure </w:t>
      </w:r>
      <w:r w:rsidR="00650E87">
        <w:rPr>
          <w:rFonts w:ascii="Arial" w:hAnsi="Arial" w:cs="Arial"/>
        </w:rPr>
        <w:t>S</w:t>
      </w:r>
      <w:r>
        <w:rPr>
          <w:rFonts w:ascii="Arial" w:hAnsi="Arial" w:cs="Arial"/>
        </w:rPr>
        <w:t>3</w:t>
      </w:r>
    </w:p>
    <w:p w14:paraId="74F16846" w14:textId="5A1D2FA5" w:rsidR="00C42C48" w:rsidRPr="00576A72" w:rsidRDefault="00C42C48" w:rsidP="00C42C48">
      <w:pPr>
        <w:spacing w:line="360" w:lineRule="auto"/>
        <w:rPr>
          <w:rFonts w:ascii="Arial" w:hAnsi="Arial" w:cs="Arial"/>
        </w:rPr>
      </w:pPr>
      <w:r w:rsidRPr="00576A72">
        <w:rPr>
          <w:rFonts w:ascii="Arial" w:hAnsi="Arial" w:cs="Arial"/>
        </w:rPr>
        <w:t xml:space="preserve">Table </w:t>
      </w:r>
      <w:r w:rsidR="00650E87">
        <w:rPr>
          <w:rFonts w:ascii="Arial" w:hAnsi="Arial" w:cs="Arial"/>
        </w:rPr>
        <w:t>S</w:t>
      </w:r>
      <w:r w:rsidRPr="00576A72">
        <w:rPr>
          <w:rFonts w:ascii="Arial" w:hAnsi="Arial" w:cs="Arial"/>
        </w:rPr>
        <w:t>1</w:t>
      </w:r>
    </w:p>
    <w:p w14:paraId="6871EB88" w14:textId="612F263D" w:rsidR="008A6F71" w:rsidRPr="00576A72" w:rsidRDefault="008A6F71" w:rsidP="0057065E">
      <w:pPr>
        <w:spacing w:line="360" w:lineRule="auto"/>
        <w:rPr>
          <w:rFonts w:ascii="Arial" w:hAnsi="Arial" w:cs="Arial"/>
        </w:rPr>
      </w:pPr>
      <w:r w:rsidRPr="00576A72">
        <w:rPr>
          <w:rFonts w:ascii="Arial" w:hAnsi="Arial" w:cs="Arial"/>
        </w:rPr>
        <w:t>Supplementary References</w:t>
      </w:r>
    </w:p>
    <w:p w14:paraId="68DAD789" w14:textId="2E8B99C2" w:rsidR="008A6F71" w:rsidRPr="00576A72" w:rsidRDefault="008A6F71" w:rsidP="0057065E">
      <w:pPr>
        <w:spacing w:line="360" w:lineRule="auto"/>
        <w:rPr>
          <w:rFonts w:ascii="Arial" w:hAnsi="Arial" w:cs="Arial"/>
          <w:sz w:val="28"/>
          <w:szCs w:val="28"/>
        </w:rPr>
      </w:pPr>
    </w:p>
    <w:p w14:paraId="276B2328" w14:textId="77777777" w:rsidR="008A6F71" w:rsidRPr="00576A72" w:rsidRDefault="008A6F71">
      <w:pPr>
        <w:rPr>
          <w:rFonts w:ascii="Arial" w:hAnsi="Arial" w:cs="Arial"/>
          <w:sz w:val="28"/>
          <w:szCs w:val="28"/>
        </w:rPr>
      </w:pPr>
      <w:r w:rsidRPr="00576A72">
        <w:rPr>
          <w:rFonts w:ascii="Arial" w:hAnsi="Arial" w:cs="Arial"/>
          <w:sz w:val="28"/>
          <w:szCs w:val="28"/>
        </w:rPr>
        <w:br w:type="page"/>
      </w:r>
    </w:p>
    <w:p w14:paraId="234C19DA" w14:textId="69032A36" w:rsidR="008A6F71" w:rsidRPr="00576A72" w:rsidRDefault="008A6F71" w:rsidP="008A6F71">
      <w:pPr>
        <w:spacing w:line="360" w:lineRule="auto"/>
        <w:rPr>
          <w:rFonts w:ascii="Arial" w:hAnsi="Arial" w:cs="Arial"/>
          <w:b/>
          <w:bCs/>
        </w:rPr>
      </w:pPr>
      <w:r w:rsidRPr="00576A72">
        <w:rPr>
          <w:rFonts w:ascii="Arial" w:hAnsi="Arial" w:cs="Arial"/>
          <w:b/>
          <w:bCs/>
        </w:rPr>
        <w:lastRenderedPageBreak/>
        <w:t>Supplementary Methods</w:t>
      </w:r>
    </w:p>
    <w:p w14:paraId="69AF12CF" w14:textId="4506656C" w:rsidR="008A6F71" w:rsidRPr="00576A72" w:rsidRDefault="008A6F71" w:rsidP="008A6F71">
      <w:pPr>
        <w:spacing w:line="360" w:lineRule="auto"/>
        <w:rPr>
          <w:rFonts w:ascii="Arial" w:hAnsi="Arial" w:cs="Arial"/>
        </w:rPr>
      </w:pPr>
      <w:r w:rsidRPr="00576A72">
        <w:rPr>
          <w:rFonts w:ascii="Arial" w:hAnsi="Arial" w:cs="Arial"/>
        </w:rPr>
        <w:tab/>
        <w:t>To understand the existing cellular resources for non-human species, we downloaded the ATCC catalog for all animal species excluding humans. We then used the R package taxize</w:t>
      </w:r>
      <w:r w:rsidRPr="00576A72">
        <w:rPr>
          <w:rFonts w:ascii="Arial" w:hAnsi="Arial" w:cs="Arial"/>
          <w:vertAlign w:val="superscript"/>
        </w:rPr>
        <w:t>1</w:t>
      </w:r>
      <w:r w:rsidRPr="00576A72">
        <w:rPr>
          <w:rFonts w:ascii="Arial" w:hAnsi="Arial" w:cs="Arial"/>
        </w:rPr>
        <w:t xml:space="preserve"> to download taxonomic hierarchical information for each species using the option for querying the NCBI database. In a few cases, we corrected spelling errors or out of date genus names to recover taxonomic information. </w:t>
      </w:r>
    </w:p>
    <w:p w14:paraId="7C71849C" w14:textId="68075D9E" w:rsidR="008A6F71" w:rsidRPr="00576A72" w:rsidRDefault="008A6F71" w:rsidP="008A6F71">
      <w:pPr>
        <w:spacing w:line="360" w:lineRule="auto"/>
        <w:rPr>
          <w:rFonts w:ascii="Arial" w:hAnsi="Arial" w:cs="Arial"/>
        </w:rPr>
      </w:pPr>
      <w:r w:rsidRPr="00576A72">
        <w:rPr>
          <w:rFonts w:ascii="Arial" w:hAnsi="Arial" w:cs="Arial"/>
        </w:rPr>
        <w:tab/>
        <w:t>To understand how conserved TF expression is through evolutionary time, we reanalyzed gene expression data from human, gorilla, chimpanzee, orangutan, and macaque lymphoblastoid cell lines</w:t>
      </w:r>
      <w:r w:rsidRPr="00576A72">
        <w:rPr>
          <w:rFonts w:ascii="Arial" w:hAnsi="Arial" w:cs="Arial"/>
          <w:vertAlign w:val="superscript"/>
        </w:rPr>
        <w:t>2</w:t>
      </w:r>
      <w:r w:rsidRPr="00576A72">
        <w:rPr>
          <w:rFonts w:ascii="Arial" w:hAnsi="Arial" w:cs="Arial"/>
        </w:rPr>
        <w:t xml:space="preserve"> and compared TF expression levels between humans and each of the other species. To do so, we used the R package biomaRt</w:t>
      </w:r>
      <w:r w:rsidRPr="00576A72">
        <w:rPr>
          <w:rFonts w:ascii="Arial" w:hAnsi="Arial" w:cs="Arial"/>
          <w:vertAlign w:val="superscript"/>
        </w:rPr>
        <w:t>3</w:t>
      </w:r>
      <w:r w:rsidRPr="00576A72">
        <w:rPr>
          <w:rFonts w:ascii="Arial" w:hAnsi="Arial" w:cs="Arial"/>
        </w:rPr>
        <w:t xml:space="preserve"> to identify orthologous protein coding genes for each human and non-human primate species pair. We calculated the species-specific mean log</w:t>
      </w:r>
      <w:r w:rsidRPr="00576A72">
        <w:rPr>
          <w:rFonts w:ascii="Arial" w:hAnsi="Arial" w:cs="Arial"/>
          <w:vertAlign w:val="subscript"/>
        </w:rPr>
        <w:t>2</w:t>
      </w:r>
      <w:r w:rsidRPr="00576A72">
        <w:rPr>
          <w:rFonts w:ascii="Arial" w:hAnsi="Arial" w:cs="Arial"/>
        </w:rPr>
        <w:t xml:space="preserve"> TPM value and removed genes that were not expressed in either species. Finally, we compared gene expression levels across all protein coding genes as well as for TF genes alone using Pearson’s R</w:t>
      </w:r>
      <w:r w:rsidRPr="00576A72">
        <w:rPr>
          <w:rFonts w:ascii="Arial" w:hAnsi="Arial" w:cs="Arial"/>
          <w:vertAlign w:val="superscript"/>
        </w:rPr>
        <w:t>2</w:t>
      </w:r>
      <w:r w:rsidRPr="00576A72">
        <w:rPr>
          <w:rFonts w:ascii="Arial" w:hAnsi="Arial" w:cs="Arial"/>
        </w:rPr>
        <w:t xml:space="preserve">. Results are plotted in Figure S1. </w:t>
      </w:r>
    </w:p>
    <w:p w14:paraId="43B33E7D" w14:textId="22C96991" w:rsidR="008A6F71" w:rsidRPr="00576A72" w:rsidRDefault="008A6F71" w:rsidP="008A6F71">
      <w:pPr>
        <w:spacing w:line="360" w:lineRule="auto"/>
        <w:rPr>
          <w:rFonts w:ascii="Arial" w:hAnsi="Arial" w:cs="Arial"/>
        </w:rPr>
      </w:pPr>
      <w:r w:rsidRPr="00576A72">
        <w:rPr>
          <w:rFonts w:ascii="Arial" w:hAnsi="Arial" w:cs="Arial"/>
        </w:rPr>
        <w:tab/>
        <w:t xml:space="preserve">All analyses were conducted in R version 4.1.2. </w:t>
      </w:r>
      <w:r w:rsidR="000B541C">
        <w:rPr>
          <w:rFonts w:ascii="Arial" w:hAnsi="Arial" w:cs="Arial"/>
        </w:rPr>
        <w:t>Select figures</w:t>
      </w:r>
      <w:r w:rsidRPr="00576A72">
        <w:rPr>
          <w:rFonts w:ascii="Arial" w:hAnsi="Arial" w:cs="Arial"/>
        </w:rPr>
        <w:t xml:space="preserve"> use </w:t>
      </w:r>
      <w:r w:rsidR="000B541C">
        <w:rPr>
          <w:rFonts w:ascii="Arial" w:hAnsi="Arial" w:cs="Arial"/>
        </w:rPr>
        <w:t xml:space="preserve">cartoon </w:t>
      </w:r>
      <w:r w:rsidRPr="00576A72">
        <w:rPr>
          <w:rFonts w:ascii="Arial" w:hAnsi="Arial" w:cs="Arial"/>
        </w:rPr>
        <w:t xml:space="preserve">images from BioRender.com. </w:t>
      </w:r>
    </w:p>
    <w:p w14:paraId="751AF0F1" w14:textId="77777777" w:rsidR="008A6F71" w:rsidRPr="00576A72" w:rsidRDefault="008A6F71" w:rsidP="008A6F71">
      <w:pPr>
        <w:spacing w:line="360" w:lineRule="auto"/>
        <w:rPr>
          <w:rFonts w:ascii="Arial" w:hAnsi="Arial" w:cs="Arial"/>
        </w:rPr>
      </w:pPr>
    </w:p>
    <w:p w14:paraId="1BE52974" w14:textId="77777777" w:rsidR="008A6F71" w:rsidRPr="00576A72" w:rsidRDefault="008A6F71">
      <w:pPr>
        <w:rPr>
          <w:rFonts w:ascii="Arial" w:hAnsi="Arial" w:cs="Arial"/>
          <w:b/>
          <w:bCs/>
        </w:rPr>
      </w:pPr>
      <w:r w:rsidRPr="00576A72">
        <w:rPr>
          <w:rFonts w:ascii="Arial" w:hAnsi="Arial" w:cs="Arial"/>
          <w:b/>
          <w:bCs/>
        </w:rPr>
        <w:br w:type="page"/>
      </w:r>
    </w:p>
    <w:p w14:paraId="569DD8BE" w14:textId="3346B5B2" w:rsidR="0057065E" w:rsidRPr="00576A72" w:rsidRDefault="0057065E" w:rsidP="008A6F71">
      <w:pPr>
        <w:spacing w:line="360" w:lineRule="auto"/>
        <w:rPr>
          <w:rFonts w:ascii="Arial" w:hAnsi="Arial" w:cs="Arial"/>
          <w:noProof/>
        </w:rPr>
      </w:pPr>
      <w:r w:rsidRPr="00576A72">
        <w:rPr>
          <w:rFonts w:ascii="Arial" w:hAnsi="Arial" w:cs="Arial"/>
          <w:b/>
          <w:bCs/>
        </w:rPr>
        <w:lastRenderedPageBreak/>
        <w:t>Supplementary Figures</w:t>
      </w:r>
      <w:r w:rsidRPr="00576A72">
        <w:rPr>
          <w:rFonts w:ascii="Arial" w:hAnsi="Arial" w:cs="Arial"/>
          <w:noProof/>
        </w:rPr>
        <w:t xml:space="preserve"> </w:t>
      </w:r>
    </w:p>
    <w:p w14:paraId="3AB54B1A" w14:textId="77777777" w:rsidR="00774AE4" w:rsidRPr="00576A72" w:rsidRDefault="00774AE4" w:rsidP="008A6F71">
      <w:pPr>
        <w:spacing w:line="360" w:lineRule="auto"/>
        <w:rPr>
          <w:rFonts w:ascii="Arial" w:hAnsi="Arial" w:cs="Arial"/>
          <w:noProof/>
        </w:rPr>
      </w:pPr>
    </w:p>
    <w:p w14:paraId="347FDEED" w14:textId="598852E7" w:rsidR="00774AE4" w:rsidRPr="00576A72" w:rsidRDefault="00774AE4" w:rsidP="00774AE4">
      <w:pPr>
        <w:spacing w:line="360" w:lineRule="auto"/>
        <w:jc w:val="center"/>
        <w:rPr>
          <w:rFonts w:ascii="Arial" w:hAnsi="Arial" w:cs="Arial"/>
          <w:noProof/>
        </w:rPr>
      </w:pPr>
      <w:r w:rsidRPr="00576A72">
        <w:rPr>
          <w:rFonts w:ascii="Arial" w:hAnsi="Arial" w:cs="Arial"/>
          <w:noProof/>
        </w:rPr>
        <w:drawing>
          <wp:inline distT="0" distB="0" distL="0" distR="0" wp14:anchorId="5DE14461" wp14:editId="77AD8741">
            <wp:extent cx="5053312" cy="2869659"/>
            <wp:effectExtent l="0" t="0" r="190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7">
                      <a:extLst>
                        <a:ext uri="{28A0092B-C50C-407E-A947-70E740481C1C}">
                          <a14:useLocalDpi xmlns:a14="http://schemas.microsoft.com/office/drawing/2010/main" val="0"/>
                        </a:ext>
                      </a:extLst>
                    </a:blip>
                    <a:srcRect l="2785" t="16820" r="22027" b="27925"/>
                    <a:stretch/>
                  </pic:blipFill>
                  <pic:spPr bwMode="auto">
                    <a:xfrm>
                      <a:off x="0" y="0"/>
                      <a:ext cx="5070715" cy="2879542"/>
                    </a:xfrm>
                    <a:prstGeom prst="rect">
                      <a:avLst/>
                    </a:prstGeom>
                    <a:ln>
                      <a:noFill/>
                    </a:ln>
                    <a:extLst>
                      <a:ext uri="{53640926-AAD7-44D8-BBD7-CCE9431645EC}">
                        <a14:shadowObscured xmlns:a14="http://schemas.microsoft.com/office/drawing/2010/main"/>
                      </a:ext>
                    </a:extLst>
                  </pic:spPr>
                </pic:pic>
              </a:graphicData>
            </a:graphic>
          </wp:inline>
        </w:drawing>
      </w:r>
    </w:p>
    <w:p w14:paraId="2FEC5583" w14:textId="05A5B8EF" w:rsidR="00774AE4" w:rsidRPr="00576A72" w:rsidRDefault="00650E87" w:rsidP="00671F63">
      <w:pPr>
        <w:rPr>
          <w:rFonts w:ascii="Arial" w:hAnsi="Arial" w:cs="Arial"/>
          <w:b/>
          <w:bCs/>
        </w:rPr>
      </w:pPr>
      <w:r>
        <w:rPr>
          <w:rFonts w:ascii="Arial" w:hAnsi="Arial" w:cs="Arial"/>
          <w:b/>
          <w:bCs/>
          <w:noProof/>
        </w:rPr>
        <w:t>Fig</w:t>
      </w:r>
      <w:r w:rsidR="00774AE4" w:rsidRPr="00576A72">
        <w:rPr>
          <w:rFonts w:ascii="Arial" w:hAnsi="Arial" w:cs="Arial"/>
          <w:b/>
          <w:bCs/>
          <w:noProof/>
        </w:rPr>
        <w:t xml:space="preserve"> </w:t>
      </w:r>
      <w:r>
        <w:rPr>
          <w:rFonts w:ascii="Arial" w:hAnsi="Arial" w:cs="Arial"/>
          <w:b/>
          <w:bCs/>
          <w:noProof/>
        </w:rPr>
        <w:t>S</w:t>
      </w:r>
      <w:r w:rsidR="00774AE4" w:rsidRPr="00576A72">
        <w:rPr>
          <w:rFonts w:ascii="Arial" w:hAnsi="Arial" w:cs="Arial"/>
          <w:b/>
          <w:bCs/>
          <w:noProof/>
        </w:rPr>
        <w:t>1. Hierarchy of terminology used in this review</w:t>
      </w:r>
      <w:r w:rsidR="00774AE4" w:rsidRPr="00576A72">
        <w:rPr>
          <w:rFonts w:ascii="Arial" w:hAnsi="Arial" w:cs="Arial"/>
          <w:noProof/>
        </w:rPr>
        <w:t>. Terms in blue are the focus of this review.</w:t>
      </w:r>
    </w:p>
    <w:p w14:paraId="694C51D5" w14:textId="77777777" w:rsidR="00774AE4" w:rsidRPr="00576A72" w:rsidRDefault="00774AE4" w:rsidP="008A6F71">
      <w:pPr>
        <w:spacing w:line="360" w:lineRule="auto"/>
        <w:rPr>
          <w:rFonts w:ascii="Arial" w:hAnsi="Arial" w:cs="Arial"/>
          <w:noProof/>
        </w:rPr>
      </w:pPr>
    </w:p>
    <w:p w14:paraId="6A824637" w14:textId="22CCA79D" w:rsidR="0057065E" w:rsidRPr="00576A72" w:rsidRDefault="0057065E" w:rsidP="008A6F71">
      <w:pPr>
        <w:spacing w:line="360" w:lineRule="auto"/>
        <w:rPr>
          <w:rFonts w:ascii="Arial" w:hAnsi="Arial" w:cs="Arial"/>
          <w:noProof/>
        </w:rPr>
      </w:pPr>
    </w:p>
    <w:p w14:paraId="204700A3" w14:textId="51F63D4F" w:rsidR="00774AE4" w:rsidRDefault="00774AE4" w:rsidP="00671F63">
      <w:pPr>
        <w:jc w:val="center"/>
        <w:rPr>
          <w:rFonts w:ascii="Arial" w:hAnsi="Arial" w:cs="Arial"/>
          <w:noProof/>
        </w:rPr>
      </w:pPr>
      <w:r w:rsidRPr="00576A72">
        <w:rPr>
          <w:rFonts w:ascii="Arial" w:hAnsi="Arial" w:cs="Arial"/>
          <w:noProof/>
        </w:rPr>
        <w:br w:type="page"/>
      </w:r>
      <w:r w:rsidR="00671F63">
        <w:rPr>
          <w:rFonts w:ascii="Arial" w:hAnsi="Arial" w:cs="Arial"/>
          <w:noProof/>
        </w:rPr>
        <w:lastRenderedPageBreak/>
        <w:drawing>
          <wp:inline distT="0" distB="0" distL="0" distR="0" wp14:anchorId="407FC3FD" wp14:editId="69C3DB90">
            <wp:extent cx="5009745" cy="7173383"/>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a:extLst>
                        <a:ext uri="{28A0092B-C50C-407E-A947-70E740481C1C}">
                          <a14:useLocalDpi xmlns:a14="http://schemas.microsoft.com/office/drawing/2010/main" val="0"/>
                        </a:ext>
                      </a:extLst>
                    </a:blip>
                    <a:stretch>
                      <a:fillRect/>
                    </a:stretch>
                  </pic:blipFill>
                  <pic:spPr>
                    <a:xfrm>
                      <a:off x="0" y="0"/>
                      <a:ext cx="5011717" cy="7176207"/>
                    </a:xfrm>
                    <a:prstGeom prst="rect">
                      <a:avLst/>
                    </a:prstGeom>
                  </pic:spPr>
                </pic:pic>
              </a:graphicData>
            </a:graphic>
          </wp:inline>
        </w:drawing>
      </w:r>
    </w:p>
    <w:p w14:paraId="22200B10" w14:textId="21F5B796" w:rsidR="0057065E" w:rsidRPr="00576A72" w:rsidRDefault="00650E87" w:rsidP="00671F63">
      <w:pPr>
        <w:rPr>
          <w:rFonts w:ascii="Arial" w:hAnsi="Arial" w:cs="Arial"/>
          <w:noProof/>
        </w:rPr>
      </w:pPr>
      <w:r>
        <w:rPr>
          <w:rFonts w:ascii="Arial" w:hAnsi="Arial" w:cs="Arial"/>
          <w:b/>
          <w:bCs/>
          <w:noProof/>
        </w:rPr>
        <w:t>Fig S</w:t>
      </w:r>
      <w:r w:rsidR="00671F63">
        <w:rPr>
          <w:rFonts w:ascii="Arial" w:hAnsi="Arial" w:cs="Arial"/>
          <w:b/>
          <w:bCs/>
          <w:noProof/>
        </w:rPr>
        <w:t>2</w:t>
      </w:r>
      <w:r w:rsidR="00671F63" w:rsidRPr="00671F63">
        <w:rPr>
          <w:rFonts w:ascii="Arial" w:hAnsi="Arial" w:cs="Arial"/>
          <w:b/>
          <w:bCs/>
          <w:noProof/>
        </w:rPr>
        <w:t xml:space="preserve">. Animal species currently represented in the American Type Culture Collection (ATCC) catalog. </w:t>
      </w:r>
      <w:r w:rsidR="00671F63" w:rsidRPr="00671F63">
        <w:rPr>
          <w:rFonts w:ascii="Arial" w:hAnsi="Arial" w:cs="Arial"/>
          <w:noProof/>
        </w:rPr>
        <w:t>Phylogenetic tree of all species with entries in the ATCC catalog, color coded by the number of entries. Select species are represented with cartoons to orient the reader to where broad taxonomic groups fall on the phylogeny.</w:t>
      </w:r>
    </w:p>
    <w:p w14:paraId="1B336A3F" w14:textId="09360751" w:rsidR="0057065E" w:rsidRPr="00576A72" w:rsidRDefault="0057065E" w:rsidP="008A6F71">
      <w:pPr>
        <w:spacing w:line="360" w:lineRule="auto"/>
        <w:rPr>
          <w:rFonts w:ascii="Arial" w:hAnsi="Arial" w:cs="Arial"/>
          <w:b/>
          <w:bCs/>
        </w:rPr>
      </w:pPr>
      <w:r w:rsidRPr="00576A72">
        <w:rPr>
          <w:rFonts w:ascii="Arial" w:hAnsi="Arial" w:cs="Arial"/>
          <w:b/>
          <w:bCs/>
          <w:noProof/>
        </w:rPr>
        <w:lastRenderedPageBreak/>
        <w:drawing>
          <wp:inline distT="0" distB="0" distL="0" distR="0" wp14:anchorId="44330BBF" wp14:editId="0ADD1DC3">
            <wp:extent cx="5943600" cy="48812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4881245"/>
                    </a:xfrm>
                    <a:prstGeom prst="rect">
                      <a:avLst/>
                    </a:prstGeom>
                  </pic:spPr>
                </pic:pic>
              </a:graphicData>
            </a:graphic>
          </wp:inline>
        </w:drawing>
      </w:r>
    </w:p>
    <w:p w14:paraId="220150C1" w14:textId="6E67A438" w:rsidR="0057065E" w:rsidRPr="00576A72" w:rsidRDefault="00650E87" w:rsidP="00671F63">
      <w:pPr>
        <w:rPr>
          <w:rFonts w:ascii="Arial" w:hAnsi="Arial" w:cs="Arial"/>
          <w:b/>
          <w:bCs/>
        </w:rPr>
      </w:pPr>
      <w:r>
        <w:rPr>
          <w:rFonts w:ascii="Arial" w:hAnsi="Arial" w:cs="Arial"/>
          <w:b/>
          <w:bCs/>
          <w:noProof/>
        </w:rPr>
        <w:t>Fig S</w:t>
      </w:r>
      <w:r w:rsidR="00671F63">
        <w:rPr>
          <w:rFonts w:ascii="Arial" w:hAnsi="Arial" w:cs="Arial"/>
          <w:b/>
          <w:bCs/>
          <w:noProof/>
        </w:rPr>
        <w:t>3</w:t>
      </w:r>
      <w:r w:rsidR="0057065E" w:rsidRPr="00576A72">
        <w:rPr>
          <w:rFonts w:ascii="Arial" w:hAnsi="Arial" w:cs="Arial"/>
          <w:b/>
          <w:bCs/>
          <w:noProof/>
        </w:rPr>
        <w:t>. Conservation of transcription factor (TF) expression across primate species</w:t>
      </w:r>
      <w:r w:rsidR="0057065E" w:rsidRPr="00576A72">
        <w:rPr>
          <w:rFonts w:ascii="Arial" w:hAnsi="Arial" w:cs="Arial"/>
          <w:noProof/>
        </w:rPr>
        <w:t xml:space="preserve">. </w:t>
      </w:r>
      <w:r w:rsidR="00B42BC6" w:rsidRPr="00576A72">
        <w:rPr>
          <w:rFonts w:ascii="Arial" w:hAnsi="Arial" w:cs="Arial"/>
          <w:noProof/>
        </w:rPr>
        <w:t>x</w:t>
      </w:r>
      <w:r w:rsidR="0057065E" w:rsidRPr="00576A72">
        <w:rPr>
          <w:rFonts w:ascii="Arial" w:hAnsi="Arial" w:cs="Arial"/>
          <w:noProof/>
        </w:rPr>
        <w:t xml:space="preserve"> and y-axes represent the mean log</w:t>
      </w:r>
      <w:r w:rsidR="0057065E" w:rsidRPr="00576A72">
        <w:rPr>
          <w:rFonts w:ascii="Arial" w:hAnsi="Arial" w:cs="Arial"/>
          <w:noProof/>
          <w:vertAlign w:val="subscript"/>
        </w:rPr>
        <w:t xml:space="preserve">2 </w:t>
      </w:r>
      <w:r w:rsidR="0057065E" w:rsidRPr="00576A72">
        <w:rPr>
          <w:rFonts w:ascii="Arial" w:hAnsi="Arial" w:cs="Arial"/>
          <w:noProof/>
        </w:rPr>
        <w:t>gene expression values for a given species (in terms of transcripts per million, TPM). Only orthologous genes for a given species pair are included, and each dot represents a gene (colored according to whether it is or is not a TF in the TRRUST database of mammalian transcription factors</w:t>
      </w:r>
      <w:r w:rsidR="0057065E" w:rsidRPr="00576A72">
        <w:rPr>
          <w:rFonts w:ascii="Arial" w:hAnsi="Arial" w:cs="Arial"/>
          <w:noProof/>
          <w:vertAlign w:val="superscript"/>
        </w:rPr>
        <w:t>4</w:t>
      </w:r>
      <w:r w:rsidR="0057065E" w:rsidRPr="00576A72">
        <w:rPr>
          <w:rFonts w:ascii="Arial" w:hAnsi="Arial" w:cs="Arial"/>
          <w:noProof/>
        </w:rPr>
        <w:t>). Dotted lines represent x=y.</w:t>
      </w:r>
    </w:p>
    <w:p w14:paraId="38697629" w14:textId="77777777" w:rsidR="00C42C48" w:rsidRPr="00576A72" w:rsidRDefault="00C42C48">
      <w:pPr>
        <w:rPr>
          <w:rFonts w:ascii="Arial" w:hAnsi="Arial" w:cs="Arial"/>
          <w:b/>
        </w:rPr>
      </w:pPr>
      <w:r w:rsidRPr="00576A72">
        <w:rPr>
          <w:rFonts w:ascii="Arial" w:hAnsi="Arial" w:cs="Arial"/>
          <w:b/>
        </w:rPr>
        <w:br w:type="page"/>
      </w:r>
    </w:p>
    <w:p w14:paraId="6D0058B2" w14:textId="2E2A44EC" w:rsidR="00C42C48" w:rsidRPr="00576A72" w:rsidRDefault="00C42C48" w:rsidP="00C42C48">
      <w:pPr>
        <w:spacing w:line="360" w:lineRule="auto"/>
        <w:rPr>
          <w:rFonts w:ascii="Arial" w:hAnsi="Arial" w:cs="Arial"/>
          <w:b/>
        </w:rPr>
      </w:pPr>
      <w:r w:rsidRPr="00576A72">
        <w:rPr>
          <w:rFonts w:ascii="Arial" w:hAnsi="Arial" w:cs="Arial"/>
          <w:b/>
        </w:rPr>
        <w:lastRenderedPageBreak/>
        <w:t xml:space="preserve">Table </w:t>
      </w:r>
      <w:r w:rsidR="00650E87">
        <w:rPr>
          <w:rFonts w:ascii="Arial" w:hAnsi="Arial" w:cs="Arial"/>
          <w:b/>
        </w:rPr>
        <w:t>S</w:t>
      </w:r>
      <w:r w:rsidRPr="00576A72">
        <w:rPr>
          <w:rFonts w:ascii="Arial" w:hAnsi="Arial" w:cs="Arial"/>
          <w:b/>
        </w:rPr>
        <w:t xml:space="preserve">1. </w:t>
      </w:r>
      <w:r w:rsidR="00972952" w:rsidRPr="00576A72">
        <w:rPr>
          <w:rFonts w:ascii="Arial" w:hAnsi="Arial" w:cs="Arial"/>
          <w:b/>
        </w:rPr>
        <w:t>Available step by step p</w:t>
      </w:r>
      <w:r w:rsidRPr="00576A72">
        <w:rPr>
          <w:rFonts w:ascii="Arial" w:hAnsi="Arial" w:cs="Arial"/>
          <w:b/>
        </w:rPr>
        <w:t>rotocol</w:t>
      </w:r>
      <w:r w:rsidR="00972952" w:rsidRPr="00576A72">
        <w:rPr>
          <w:rFonts w:ascii="Arial" w:hAnsi="Arial" w:cs="Arial"/>
          <w:b/>
        </w:rPr>
        <w:t>s</w:t>
      </w:r>
      <w:r w:rsidRPr="00576A72">
        <w:rPr>
          <w:rFonts w:ascii="Arial" w:hAnsi="Arial" w:cs="Arial"/>
          <w:b/>
        </w:rPr>
        <w:t>.</w:t>
      </w:r>
    </w:p>
    <w:tbl>
      <w:tblPr>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65"/>
        <w:gridCol w:w="6735"/>
      </w:tblGrid>
      <w:tr w:rsidR="00C42C48" w:rsidRPr="00576A72" w14:paraId="71556E45" w14:textId="77777777" w:rsidTr="00C814DC">
        <w:tc>
          <w:tcPr>
            <w:tcW w:w="2265" w:type="dxa"/>
            <w:shd w:val="clear" w:color="auto" w:fill="auto"/>
            <w:tcMar>
              <w:top w:w="100" w:type="dxa"/>
              <w:left w:w="100" w:type="dxa"/>
              <w:bottom w:w="100" w:type="dxa"/>
              <w:right w:w="100" w:type="dxa"/>
            </w:tcMar>
          </w:tcPr>
          <w:p w14:paraId="4157979B" w14:textId="77777777" w:rsidR="00C42C48" w:rsidRPr="00576A72" w:rsidRDefault="00C42C48" w:rsidP="00C814DC">
            <w:pPr>
              <w:widowControl w:val="0"/>
              <w:pBdr>
                <w:top w:val="nil"/>
                <w:left w:val="nil"/>
                <w:bottom w:val="nil"/>
                <w:right w:val="nil"/>
                <w:between w:val="nil"/>
              </w:pBdr>
              <w:rPr>
                <w:rFonts w:ascii="Arial" w:hAnsi="Arial" w:cs="Arial"/>
                <w:b/>
              </w:rPr>
            </w:pPr>
            <w:r w:rsidRPr="00576A72">
              <w:rPr>
                <w:rFonts w:ascii="Arial" w:hAnsi="Arial" w:cs="Arial"/>
                <w:b/>
              </w:rPr>
              <w:t>Assay</w:t>
            </w:r>
          </w:p>
        </w:tc>
        <w:tc>
          <w:tcPr>
            <w:tcW w:w="6735" w:type="dxa"/>
            <w:shd w:val="clear" w:color="auto" w:fill="auto"/>
            <w:tcMar>
              <w:top w:w="100" w:type="dxa"/>
              <w:left w:w="100" w:type="dxa"/>
              <w:bottom w:w="100" w:type="dxa"/>
              <w:right w:w="100" w:type="dxa"/>
            </w:tcMar>
          </w:tcPr>
          <w:p w14:paraId="585FE15C" w14:textId="33D1ECDC" w:rsidR="00C42C48" w:rsidRPr="00576A72" w:rsidRDefault="00C42C48" w:rsidP="00C814DC">
            <w:pPr>
              <w:widowControl w:val="0"/>
              <w:pBdr>
                <w:top w:val="nil"/>
                <w:left w:val="nil"/>
                <w:bottom w:val="nil"/>
                <w:right w:val="nil"/>
                <w:between w:val="nil"/>
              </w:pBdr>
              <w:rPr>
                <w:rFonts w:ascii="Arial" w:hAnsi="Arial" w:cs="Arial"/>
                <w:b/>
              </w:rPr>
            </w:pPr>
            <w:r w:rsidRPr="00576A72">
              <w:rPr>
                <w:rFonts w:ascii="Arial" w:hAnsi="Arial" w:cs="Arial"/>
                <w:b/>
              </w:rPr>
              <w:t>Protocol link</w:t>
            </w:r>
          </w:p>
        </w:tc>
      </w:tr>
      <w:tr w:rsidR="00C42C48" w:rsidRPr="00576A72" w14:paraId="1143FF86" w14:textId="77777777" w:rsidTr="00C814DC">
        <w:tc>
          <w:tcPr>
            <w:tcW w:w="2265" w:type="dxa"/>
            <w:shd w:val="clear" w:color="auto" w:fill="auto"/>
            <w:tcMar>
              <w:top w:w="100" w:type="dxa"/>
              <w:left w:w="100" w:type="dxa"/>
              <w:bottom w:w="100" w:type="dxa"/>
              <w:right w:w="100" w:type="dxa"/>
            </w:tcMar>
          </w:tcPr>
          <w:p w14:paraId="629EF306" w14:textId="72B697F0" w:rsidR="00C42C48" w:rsidRPr="00576A72" w:rsidRDefault="00C42C48" w:rsidP="00C814DC">
            <w:pPr>
              <w:widowControl w:val="0"/>
              <w:pBdr>
                <w:top w:val="nil"/>
                <w:left w:val="nil"/>
                <w:bottom w:val="nil"/>
                <w:right w:val="nil"/>
                <w:between w:val="nil"/>
              </w:pBdr>
              <w:rPr>
                <w:rFonts w:ascii="Arial" w:hAnsi="Arial" w:cs="Arial"/>
                <w:bCs/>
              </w:rPr>
            </w:pPr>
            <w:r w:rsidRPr="00576A72">
              <w:rPr>
                <w:rFonts w:ascii="Arial" w:hAnsi="Arial" w:cs="Arial"/>
                <w:bCs/>
              </w:rPr>
              <w:t>ATAC-STARR-seq</w:t>
            </w:r>
          </w:p>
        </w:tc>
        <w:tc>
          <w:tcPr>
            <w:tcW w:w="6735" w:type="dxa"/>
            <w:shd w:val="clear" w:color="auto" w:fill="auto"/>
            <w:tcMar>
              <w:top w:w="100" w:type="dxa"/>
              <w:left w:w="100" w:type="dxa"/>
              <w:bottom w:w="100" w:type="dxa"/>
              <w:right w:w="100" w:type="dxa"/>
            </w:tcMar>
          </w:tcPr>
          <w:p w14:paraId="06DE17CE" w14:textId="46648F26" w:rsidR="00C42C48" w:rsidRPr="00576A72" w:rsidRDefault="00C42C48" w:rsidP="00C814DC">
            <w:pPr>
              <w:widowControl w:val="0"/>
              <w:pBdr>
                <w:top w:val="nil"/>
                <w:left w:val="nil"/>
                <w:bottom w:val="nil"/>
                <w:right w:val="nil"/>
                <w:between w:val="nil"/>
              </w:pBdr>
              <w:rPr>
                <w:rFonts w:ascii="Arial" w:hAnsi="Arial" w:cs="Arial"/>
                <w:bCs/>
              </w:rPr>
            </w:pPr>
            <w:r w:rsidRPr="00576A72">
              <w:rPr>
                <w:rFonts w:ascii="Arial" w:hAnsi="Arial" w:cs="Arial"/>
                <w:bCs/>
              </w:rPr>
              <w:t>https://www.protocols.io/view/atac-starr-seq-5jyl89rorv2w/v1</w:t>
            </w:r>
          </w:p>
        </w:tc>
      </w:tr>
      <w:tr w:rsidR="00C42C48" w:rsidRPr="00576A72" w14:paraId="05A1785E" w14:textId="77777777" w:rsidTr="00C814DC">
        <w:tc>
          <w:tcPr>
            <w:tcW w:w="2265" w:type="dxa"/>
            <w:shd w:val="clear" w:color="auto" w:fill="auto"/>
            <w:tcMar>
              <w:top w:w="100" w:type="dxa"/>
              <w:left w:w="100" w:type="dxa"/>
              <w:bottom w:w="100" w:type="dxa"/>
              <w:right w:w="100" w:type="dxa"/>
            </w:tcMar>
          </w:tcPr>
          <w:p w14:paraId="4ECEB74A" w14:textId="55455E94" w:rsidR="00C42C48" w:rsidRPr="00576A72" w:rsidRDefault="00C42C48" w:rsidP="00C814DC">
            <w:pPr>
              <w:widowControl w:val="0"/>
              <w:pBdr>
                <w:top w:val="nil"/>
                <w:left w:val="nil"/>
                <w:bottom w:val="nil"/>
                <w:right w:val="nil"/>
                <w:between w:val="nil"/>
              </w:pBdr>
              <w:rPr>
                <w:rFonts w:ascii="Arial" w:hAnsi="Arial" w:cs="Arial"/>
                <w:bCs/>
              </w:rPr>
            </w:pPr>
            <w:r w:rsidRPr="00576A72">
              <w:rPr>
                <w:rFonts w:ascii="Arial" w:hAnsi="Arial" w:cs="Arial"/>
                <w:bCs/>
              </w:rPr>
              <w:t>STARR-seq and UMI-STARR-seq</w:t>
            </w:r>
          </w:p>
        </w:tc>
        <w:tc>
          <w:tcPr>
            <w:tcW w:w="6735" w:type="dxa"/>
            <w:shd w:val="clear" w:color="auto" w:fill="auto"/>
            <w:tcMar>
              <w:top w:w="100" w:type="dxa"/>
              <w:left w:w="100" w:type="dxa"/>
              <w:bottom w:w="100" w:type="dxa"/>
              <w:right w:w="100" w:type="dxa"/>
            </w:tcMar>
          </w:tcPr>
          <w:p w14:paraId="6B5A6354" w14:textId="3679EDC3" w:rsidR="00C42C48" w:rsidRPr="00576A72" w:rsidRDefault="00C42C48" w:rsidP="00C814DC">
            <w:pPr>
              <w:widowControl w:val="0"/>
              <w:pBdr>
                <w:top w:val="nil"/>
                <w:left w:val="nil"/>
                <w:bottom w:val="nil"/>
                <w:right w:val="nil"/>
                <w:between w:val="nil"/>
              </w:pBdr>
              <w:rPr>
                <w:rFonts w:ascii="Arial" w:hAnsi="Arial" w:cs="Arial"/>
                <w:bCs/>
              </w:rPr>
            </w:pPr>
            <w:r w:rsidRPr="00576A72">
              <w:rPr>
                <w:rFonts w:ascii="Arial" w:hAnsi="Arial" w:cs="Arial"/>
                <w:bCs/>
              </w:rPr>
              <w:t>https://currentprotocols.onlinelibrary.wiley.com/doi/full/10.1002/cpmb.105</w:t>
            </w:r>
          </w:p>
        </w:tc>
      </w:tr>
      <w:tr w:rsidR="00C42C48" w:rsidRPr="00576A72" w14:paraId="339C29D0" w14:textId="77777777" w:rsidTr="00972952">
        <w:trPr>
          <w:trHeight w:val="411"/>
        </w:trPr>
        <w:tc>
          <w:tcPr>
            <w:tcW w:w="2265" w:type="dxa"/>
            <w:shd w:val="clear" w:color="auto" w:fill="auto"/>
            <w:tcMar>
              <w:top w:w="100" w:type="dxa"/>
              <w:left w:w="100" w:type="dxa"/>
              <w:bottom w:w="100" w:type="dxa"/>
              <w:right w:w="100" w:type="dxa"/>
            </w:tcMar>
          </w:tcPr>
          <w:p w14:paraId="44E6E1C6" w14:textId="7018F58A" w:rsidR="00C42C48" w:rsidRPr="00576A72" w:rsidRDefault="00972952" w:rsidP="00C814DC">
            <w:pPr>
              <w:widowControl w:val="0"/>
              <w:pBdr>
                <w:top w:val="nil"/>
                <w:left w:val="nil"/>
                <w:bottom w:val="nil"/>
                <w:right w:val="nil"/>
                <w:between w:val="nil"/>
              </w:pBdr>
              <w:rPr>
                <w:rFonts w:ascii="Arial" w:hAnsi="Arial" w:cs="Arial"/>
                <w:bCs/>
              </w:rPr>
            </w:pPr>
            <w:proofErr w:type="spellStart"/>
            <w:r w:rsidRPr="00576A72">
              <w:rPr>
                <w:rFonts w:ascii="Arial" w:hAnsi="Arial" w:cs="Arial"/>
                <w:bCs/>
              </w:rPr>
              <w:t>mSTARR</w:t>
            </w:r>
            <w:proofErr w:type="spellEnd"/>
            <w:r w:rsidRPr="00576A72">
              <w:rPr>
                <w:rFonts w:ascii="Arial" w:hAnsi="Arial" w:cs="Arial"/>
                <w:bCs/>
              </w:rPr>
              <w:t>-seq</w:t>
            </w:r>
          </w:p>
        </w:tc>
        <w:tc>
          <w:tcPr>
            <w:tcW w:w="6735" w:type="dxa"/>
            <w:shd w:val="clear" w:color="auto" w:fill="auto"/>
            <w:tcMar>
              <w:top w:w="100" w:type="dxa"/>
              <w:left w:w="100" w:type="dxa"/>
              <w:bottom w:w="100" w:type="dxa"/>
              <w:right w:w="100" w:type="dxa"/>
            </w:tcMar>
          </w:tcPr>
          <w:p w14:paraId="68703488" w14:textId="61B8D2C7" w:rsidR="00C42C48" w:rsidRPr="00576A72" w:rsidRDefault="00972952" w:rsidP="00C814DC">
            <w:pPr>
              <w:widowControl w:val="0"/>
              <w:pBdr>
                <w:top w:val="nil"/>
                <w:left w:val="nil"/>
                <w:bottom w:val="nil"/>
                <w:right w:val="nil"/>
                <w:between w:val="nil"/>
              </w:pBdr>
              <w:rPr>
                <w:rFonts w:ascii="Arial" w:hAnsi="Arial" w:cs="Arial"/>
                <w:bCs/>
              </w:rPr>
            </w:pPr>
            <w:r w:rsidRPr="00576A72">
              <w:rPr>
                <w:rFonts w:ascii="Arial" w:hAnsi="Arial" w:cs="Arial"/>
                <w:bCs/>
              </w:rPr>
              <w:t>http://www.tung-lab.org/protocols-and-software.html</w:t>
            </w:r>
          </w:p>
        </w:tc>
      </w:tr>
      <w:tr w:rsidR="00972952" w:rsidRPr="00576A72" w14:paraId="49924FEC" w14:textId="77777777" w:rsidTr="00C814DC">
        <w:tc>
          <w:tcPr>
            <w:tcW w:w="2265" w:type="dxa"/>
            <w:shd w:val="clear" w:color="auto" w:fill="auto"/>
            <w:tcMar>
              <w:top w:w="100" w:type="dxa"/>
              <w:left w:w="100" w:type="dxa"/>
              <w:bottom w:w="100" w:type="dxa"/>
              <w:right w:w="100" w:type="dxa"/>
            </w:tcMar>
          </w:tcPr>
          <w:p w14:paraId="2F54B336" w14:textId="30E78941" w:rsidR="00972952" w:rsidRPr="00576A72" w:rsidRDefault="00972952" w:rsidP="00C814DC">
            <w:pPr>
              <w:widowControl w:val="0"/>
              <w:pBdr>
                <w:top w:val="nil"/>
                <w:left w:val="nil"/>
                <w:bottom w:val="nil"/>
                <w:right w:val="nil"/>
                <w:between w:val="nil"/>
              </w:pBdr>
              <w:rPr>
                <w:rFonts w:ascii="Arial" w:hAnsi="Arial" w:cs="Arial"/>
                <w:bCs/>
              </w:rPr>
            </w:pPr>
            <w:proofErr w:type="spellStart"/>
            <w:r w:rsidRPr="00576A72">
              <w:rPr>
                <w:rFonts w:ascii="Arial" w:hAnsi="Arial" w:cs="Arial"/>
                <w:bCs/>
              </w:rPr>
              <w:t>CapSTARR</w:t>
            </w:r>
            <w:proofErr w:type="spellEnd"/>
            <w:r w:rsidRPr="00576A72">
              <w:rPr>
                <w:rFonts w:ascii="Arial" w:hAnsi="Arial" w:cs="Arial"/>
                <w:bCs/>
              </w:rPr>
              <w:t>-seq</w:t>
            </w:r>
          </w:p>
        </w:tc>
        <w:tc>
          <w:tcPr>
            <w:tcW w:w="6735" w:type="dxa"/>
            <w:shd w:val="clear" w:color="auto" w:fill="auto"/>
            <w:tcMar>
              <w:top w:w="100" w:type="dxa"/>
              <w:left w:w="100" w:type="dxa"/>
              <w:bottom w:w="100" w:type="dxa"/>
              <w:right w:w="100" w:type="dxa"/>
            </w:tcMar>
          </w:tcPr>
          <w:p w14:paraId="5F6BE739" w14:textId="450FBA59" w:rsidR="00972952" w:rsidRPr="00576A72" w:rsidRDefault="00972952" w:rsidP="00C814DC">
            <w:pPr>
              <w:widowControl w:val="0"/>
              <w:pBdr>
                <w:top w:val="nil"/>
                <w:left w:val="nil"/>
                <w:bottom w:val="nil"/>
                <w:right w:val="nil"/>
                <w:between w:val="nil"/>
              </w:pBdr>
              <w:rPr>
                <w:rFonts w:ascii="Arial" w:hAnsi="Arial" w:cs="Arial"/>
                <w:bCs/>
              </w:rPr>
            </w:pPr>
            <w:r w:rsidRPr="00576A72">
              <w:rPr>
                <w:rFonts w:ascii="Arial" w:hAnsi="Arial" w:cs="Arial"/>
                <w:bCs/>
              </w:rPr>
              <w:t>https://protocolexchange.researchsquare.com/article/nprot-4333/v1</w:t>
            </w:r>
          </w:p>
        </w:tc>
      </w:tr>
      <w:tr w:rsidR="00972952" w:rsidRPr="00576A72" w14:paraId="5F893F13" w14:textId="77777777" w:rsidTr="00C814DC">
        <w:tc>
          <w:tcPr>
            <w:tcW w:w="2265" w:type="dxa"/>
            <w:shd w:val="clear" w:color="auto" w:fill="auto"/>
            <w:tcMar>
              <w:top w:w="100" w:type="dxa"/>
              <w:left w:w="100" w:type="dxa"/>
              <w:bottom w:w="100" w:type="dxa"/>
              <w:right w:w="100" w:type="dxa"/>
            </w:tcMar>
          </w:tcPr>
          <w:p w14:paraId="53235BD4" w14:textId="67618E2A" w:rsidR="00972952" w:rsidRPr="00576A72" w:rsidRDefault="00B77F6D" w:rsidP="00C814DC">
            <w:pPr>
              <w:widowControl w:val="0"/>
              <w:pBdr>
                <w:top w:val="nil"/>
                <w:left w:val="nil"/>
                <w:bottom w:val="nil"/>
                <w:right w:val="nil"/>
                <w:between w:val="nil"/>
              </w:pBdr>
              <w:rPr>
                <w:rFonts w:ascii="Arial" w:hAnsi="Arial" w:cs="Arial"/>
                <w:bCs/>
              </w:rPr>
            </w:pPr>
            <w:r>
              <w:rPr>
                <w:rFonts w:ascii="Arial" w:hAnsi="Arial" w:cs="Arial"/>
                <w:bCs/>
              </w:rPr>
              <w:t xml:space="preserve">Barcoded </w:t>
            </w:r>
            <w:r w:rsidR="00972952" w:rsidRPr="00576A72">
              <w:rPr>
                <w:rFonts w:ascii="Arial" w:hAnsi="Arial" w:cs="Arial"/>
                <w:bCs/>
              </w:rPr>
              <w:t>MPRA</w:t>
            </w:r>
          </w:p>
        </w:tc>
        <w:tc>
          <w:tcPr>
            <w:tcW w:w="6735" w:type="dxa"/>
            <w:shd w:val="clear" w:color="auto" w:fill="auto"/>
            <w:tcMar>
              <w:top w:w="100" w:type="dxa"/>
              <w:left w:w="100" w:type="dxa"/>
              <w:bottom w:w="100" w:type="dxa"/>
              <w:right w:w="100" w:type="dxa"/>
            </w:tcMar>
          </w:tcPr>
          <w:p w14:paraId="0E86AC36" w14:textId="1196239B" w:rsidR="00972952" w:rsidRPr="00576A72" w:rsidRDefault="00972952" w:rsidP="00C814DC">
            <w:pPr>
              <w:widowControl w:val="0"/>
              <w:pBdr>
                <w:top w:val="nil"/>
                <w:left w:val="nil"/>
                <w:bottom w:val="nil"/>
                <w:right w:val="nil"/>
                <w:between w:val="nil"/>
              </w:pBdr>
              <w:rPr>
                <w:rFonts w:ascii="Arial" w:hAnsi="Arial" w:cs="Arial"/>
                <w:bCs/>
              </w:rPr>
            </w:pPr>
            <w:r w:rsidRPr="00576A72">
              <w:rPr>
                <w:rFonts w:ascii="Arial" w:hAnsi="Arial" w:cs="Arial"/>
                <w:bCs/>
              </w:rPr>
              <w:t>https://www.protocols.io/view/massive-parallel-reporter-assay-mpra-kxygxpmkwl8j/v1</w:t>
            </w:r>
          </w:p>
        </w:tc>
      </w:tr>
      <w:tr w:rsidR="00D57ADB" w:rsidRPr="00576A72" w14:paraId="5AAF194D" w14:textId="77777777" w:rsidTr="00C814DC">
        <w:tc>
          <w:tcPr>
            <w:tcW w:w="2265" w:type="dxa"/>
            <w:shd w:val="clear" w:color="auto" w:fill="auto"/>
            <w:tcMar>
              <w:top w:w="100" w:type="dxa"/>
              <w:left w:w="100" w:type="dxa"/>
              <w:bottom w:w="100" w:type="dxa"/>
              <w:right w:w="100" w:type="dxa"/>
            </w:tcMar>
          </w:tcPr>
          <w:p w14:paraId="0E275EFF" w14:textId="5788E326" w:rsidR="00D57ADB" w:rsidRPr="00576A72" w:rsidRDefault="00B77F6D" w:rsidP="00C814DC">
            <w:pPr>
              <w:widowControl w:val="0"/>
              <w:pBdr>
                <w:top w:val="nil"/>
                <w:left w:val="nil"/>
                <w:bottom w:val="nil"/>
                <w:right w:val="nil"/>
                <w:between w:val="nil"/>
              </w:pBdr>
              <w:rPr>
                <w:rFonts w:ascii="Arial" w:hAnsi="Arial" w:cs="Arial"/>
                <w:bCs/>
              </w:rPr>
            </w:pPr>
            <w:r>
              <w:rPr>
                <w:rFonts w:ascii="Arial" w:hAnsi="Arial" w:cs="Arial"/>
                <w:bCs/>
              </w:rPr>
              <w:t xml:space="preserve">Barcoded </w:t>
            </w:r>
            <w:r w:rsidR="00D57ADB" w:rsidRPr="00576A72">
              <w:rPr>
                <w:rFonts w:ascii="Arial" w:hAnsi="Arial" w:cs="Arial"/>
                <w:bCs/>
              </w:rPr>
              <w:t>MPRA</w:t>
            </w:r>
          </w:p>
        </w:tc>
        <w:tc>
          <w:tcPr>
            <w:tcW w:w="6735" w:type="dxa"/>
            <w:shd w:val="clear" w:color="auto" w:fill="auto"/>
            <w:tcMar>
              <w:top w:w="100" w:type="dxa"/>
              <w:left w:w="100" w:type="dxa"/>
              <w:bottom w:w="100" w:type="dxa"/>
              <w:right w:w="100" w:type="dxa"/>
            </w:tcMar>
          </w:tcPr>
          <w:p w14:paraId="177410A4" w14:textId="50B215BA" w:rsidR="00D57ADB" w:rsidRPr="00576A72" w:rsidRDefault="00D57ADB" w:rsidP="00D57ADB">
            <w:pPr>
              <w:pStyle w:val="CommentText"/>
              <w:rPr>
                <w:sz w:val="24"/>
                <w:szCs w:val="24"/>
              </w:rPr>
            </w:pPr>
            <w:r w:rsidRPr="00576A72">
              <w:rPr>
                <w:sz w:val="24"/>
                <w:szCs w:val="24"/>
              </w:rPr>
              <w:t>http://noonan.ycga.yale.edu/noonan_public/Uebbing_Gockley_MPRA/Extended_Methods.pdf</w:t>
            </w:r>
          </w:p>
        </w:tc>
      </w:tr>
      <w:tr w:rsidR="00B77F6D" w:rsidRPr="00576A72" w14:paraId="33C2995A" w14:textId="77777777" w:rsidTr="00C814DC">
        <w:tc>
          <w:tcPr>
            <w:tcW w:w="2265" w:type="dxa"/>
            <w:shd w:val="clear" w:color="auto" w:fill="auto"/>
            <w:tcMar>
              <w:top w:w="100" w:type="dxa"/>
              <w:left w:w="100" w:type="dxa"/>
              <w:bottom w:w="100" w:type="dxa"/>
              <w:right w:w="100" w:type="dxa"/>
            </w:tcMar>
          </w:tcPr>
          <w:p w14:paraId="053DDE57" w14:textId="562E3072" w:rsidR="00B77F6D" w:rsidRDefault="00B77F6D" w:rsidP="00C814DC">
            <w:pPr>
              <w:widowControl w:val="0"/>
              <w:pBdr>
                <w:top w:val="nil"/>
                <w:left w:val="nil"/>
                <w:bottom w:val="nil"/>
                <w:right w:val="nil"/>
                <w:between w:val="nil"/>
              </w:pBdr>
              <w:rPr>
                <w:rFonts w:ascii="Arial" w:hAnsi="Arial" w:cs="Arial"/>
                <w:bCs/>
              </w:rPr>
            </w:pPr>
            <w:proofErr w:type="spellStart"/>
            <w:r>
              <w:rPr>
                <w:rFonts w:ascii="Arial" w:hAnsi="Arial" w:cs="Arial"/>
                <w:bCs/>
              </w:rPr>
              <w:t>lentiMPRA</w:t>
            </w:r>
            <w:proofErr w:type="spellEnd"/>
          </w:p>
        </w:tc>
        <w:tc>
          <w:tcPr>
            <w:tcW w:w="6735" w:type="dxa"/>
            <w:shd w:val="clear" w:color="auto" w:fill="auto"/>
            <w:tcMar>
              <w:top w:w="100" w:type="dxa"/>
              <w:left w:w="100" w:type="dxa"/>
              <w:bottom w:w="100" w:type="dxa"/>
              <w:right w:w="100" w:type="dxa"/>
            </w:tcMar>
          </w:tcPr>
          <w:p w14:paraId="31876F39" w14:textId="0E5CEB59" w:rsidR="00B77F6D" w:rsidRPr="00576A72" w:rsidRDefault="000B541C" w:rsidP="00D57ADB">
            <w:pPr>
              <w:pStyle w:val="CommentText"/>
              <w:rPr>
                <w:sz w:val="24"/>
                <w:szCs w:val="24"/>
              </w:rPr>
            </w:pPr>
            <w:r w:rsidRPr="000B541C">
              <w:rPr>
                <w:sz w:val="24"/>
                <w:szCs w:val="24"/>
              </w:rPr>
              <w:t>https://www.nature.com/articles/s41596-020-0333-5</w:t>
            </w:r>
            <w:r>
              <w:rPr>
                <w:sz w:val="24"/>
                <w:szCs w:val="24"/>
              </w:rPr>
              <w:t xml:space="preserve"> </w:t>
            </w:r>
          </w:p>
        </w:tc>
      </w:tr>
    </w:tbl>
    <w:p w14:paraId="02500165" w14:textId="77777777" w:rsidR="0057065E" w:rsidRPr="00576A72" w:rsidRDefault="0057065E">
      <w:pPr>
        <w:rPr>
          <w:rFonts w:ascii="Arial" w:hAnsi="Arial" w:cs="Arial"/>
          <w:b/>
          <w:bCs/>
        </w:rPr>
      </w:pPr>
      <w:r w:rsidRPr="00576A72">
        <w:rPr>
          <w:rFonts w:ascii="Arial" w:hAnsi="Arial" w:cs="Arial"/>
          <w:b/>
          <w:bCs/>
        </w:rPr>
        <w:br w:type="page"/>
      </w:r>
    </w:p>
    <w:p w14:paraId="195C9155" w14:textId="3401C8BB" w:rsidR="008A6F71" w:rsidRPr="00576A72" w:rsidRDefault="008A6F71" w:rsidP="008A6F71">
      <w:pPr>
        <w:spacing w:line="360" w:lineRule="auto"/>
        <w:rPr>
          <w:rFonts w:ascii="Arial" w:hAnsi="Arial" w:cs="Arial"/>
          <w:b/>
          <w:bCs/>
        </w:rPr>
      </w:pPr>
      <w:r w:rsidRPr="00576A72">
        <w:rPr>
          <w:rFonts w:ascii="Arial" w:hAnsi="Arial" w:cs="Arial"/>
          <w:b/>
          <w:bCs/>
        </w:rPr>
        <w:lastRenderedPageBreak/>
        <w:t>Supplementary References</w:t>
      </w:r>
    </w:p>
    <w:p w14:paraId="37AC7AB7" w14:textId="4CC28D96" w:rsidR="0057065E" w:rsidRPr="00576A72" w:rsidRDefault="008A6F71" w:rsidP="008A6F71">
      <w:pPr>
        <w:pStyle w:val="ListParagraph"/>
        <w:numPr>
          <w:ilvl w:val="0"/>
          <w:numId w:val="2"/>
        </w:numPr>
        <w:spacing w:line="360" w:lineRule="auto"/>
        <w:rPr>
          <w:rFonts w:ascii="Arial" w:hAnsi="Arial" w:cs="Arial"/>
        </w:rPr>
      </w:pPr>
      <w:r w:rsidRPr="00576A72">
        <w:rPr>
          <w:rFonts w:ascii="Arial" w:hAnsi="Arial" w:cs="Arial"/>
        </w:rPr>
        <w:t xml:space="preserve">Chamberlain, S. A. &amp; </w:t>
      </w:r>
      <w:proofErr w:type="spellStart"/>
      <w:r w:rsidRPr="00576A72">
        <w:rPr>
          <w:rFonts w:ascii="Arial" w:hAnsi="Arial" w:cs="Arial"/>
        </w:rPr>
        <w:t>Szöcs</w:t>
      </w:r>
      <w:proofErr w:type="spellEnd"/>
      <w:r w:rsidRPr="00576A72">
        <w:rPr>
          <w:rFonts w:ascii="Arial" w:hAnsi="Arial" w:cs="Arial"/>
        </w:rPr>
        <w:t xml:space="preserve">, E. </w:t>
      </w:r>
      <w:proofErr w:type="spellStart"/>
      <w:r w:rsidRPr="00576A72">
        <w:rPr>
          <w:rFonts w:ascii="Arial" w:hAnsi="Arial" w:cs="Arial"/>
        </w:rPr>
        <w:t>taxize</w:t>
      </w:r>
      <w:proofErr w:type="spellEnd"/>
      <w:r w:rsidRPr="00576A72">
        <w:rPr>
          <w:rFonts w:ascii="Arial" w:hAnsi="Arial" w:cs="Arial"/>
        </w:rPr>
        <w:t>: taxonomic search and retrieval in R. F1000Res. 2, 191 (2013).</w:t>
      </w:r>
    </w:p>
    <w:p w14:paraId="0EC5F9D0" w14:textId="5D96D305" w:rsidR="008A6F71" w:rsidRPr="00576A72" w:rsidRDefault="008A6F71" w:rsidP="0057065E">
      <w:pPr>
        <w:pStyle w:val="ListParagraph"/>
        <w:numPr>
          <w:ilvl w:val="0"/>
          <w:numId w:val="2"/>
        </w:numPr>
        <w:spacing w:line="360" w:lineRule="auto"/>
        <w:rPr>
          <w:rFonts w:ascii="Arial" w:hAnsi="Arial" w:cs="Arial"/>
        </w:rPr>
      </w:pPr>
      <w:r w:rsidRPr="000B541C">
        <w:rPr>
          <w:rFonts w:ascii="Arial" w:hAnsi="Arial" w:cs="Arial"/>
          <w:lang w:val="es-ES"/>
        </w:rPr>
        <w:t xml:space="preserve">García-Pérez, R. et al. </w:t>
      </w:r>
      <w:r w:rsidRPr="00576A72">
        <w:rPr>
          <w:rFonts w:ascii="Arial" w:hAnsi="Arial" w:cs="Arial"/>
        </w:rPr>
        <w:t xml:space="preserve">Epigenomic profiling of primate lymphoblastoid cell lines reveals the evolutionary patterns of epigenetic activities in gene regulatory architectures. Nat. </w:t>
      </w:r>
      <w:proofErr w:type="spellStart"/>
      <w:r w:rsidRPr="00576A72">
        <w:rPr>
          <w:rFonts w:ascii="Arial" w:hAnsi="Arial" w:cs="Arial"/>
        </w:rPr>
        <w:t>Commun</w:t>
      </w:r>
      <w:proofErr w:type="spellEnd"/>
      <w:r w:rsidRPr="00576A72">
        <w:rPr>
          <w:rFonts w:ascii="Arial" w:hAnsi="Arial" w:cs="Arial"/>
        </w:rPr>
        <w:t xml:space="preserve">. 12, 3116 (2021). </w:t>
      </w:r>
    </w:p>
    <w:p w14:paraId="3C966C09" w14:textId="16EF8320" w:rsidR="008A6F71" w:rsidRPr="00576A72" w:rsidRDefault="008A6F71" w:rsidP="0057065E">
      <w:pPr>
        <w:pStyle w:val="ListParagraph"/>
        <w:numPr>
          <w:ilvl w:val="0"/>
          <w:numId w:val="2"/>
        </w:numPr>
        <w:spacing w:line="360" w:lineRule="auto"/>
        <w:rPr>
          <w:rFonts w:ascii="Arial" w:hAnsi="Arial" w:cs="Arial"/>
        </w:rPr>
      </w:pPr>
      <w:proofErr w:type="spellStart"/>
      <w:r w:rsidRPr="00576A72">
        <w:rPr>
          <w:rFonts w:ascii="Arial" w:hAnsi="Arial" w:cs="Arial"/>
        </w:rPr>
        <w:t>Durinck</w:t>
      </w:r>
      <w:proofErr w:type="spellEnd"/>
      <w:r w:rsidRPr="00576A72">
        <w:rPr>
          <w:rFonts w:ascii="Arial" w:hAnsi="Arial" w:cs="Arial"/>
        </w:rPr>
        <w:t xml:space="preserve">, S., Spellman, P. T., Birney, E. &amp; Huber, W. Mapping identifiers for the integration of genomic datasets with the R/Bioconductor package </w:t>
      </w:r>
      <w:proofErr w:type="spellStart"/>
      <w:r w:rsidRPr="00576A72">
        <w:rPr>
          <w:rFonts w:ascii="Arial" w:hAnsi="Arial" w:cs="Arial"/>
        </w:rPr>
        <w:t>biomaRt</w:t>
      </w:r>
      <w:proofErr w:type="spellEnd"/>
      <w:r w:rsidRPr="00576A72">
        <w:rPr>
          <w:rFonts w:ascii="Arial" w:hAnsi="Arial" w:cs="Arial"/>
        </w:rPr>
        <w:t xml:space="preserve">. Nat. </w:t>
      </w:r>
      <w:proofErr w:type="spellStart"/>
      <w:r w:rsidRPr="00576A72">
        <w:rPr>
          <w:rFonts w:ascii="Arial" w:hAnsi="Arial" w:cs="Arial"/>
        </w:rPr>
        <w:t>Protoc</w:t>
      </w:r>
      <w:proofErr w:type="spellEnd"/>
      <w:r w:rsidRPr="00576A72">
        <w:rPr>
          <w:rFonts w:ascii="Arial" w:hAnsi="Arial" w:cs="Arial"/>
        </w:rPr>
        <w:t>. 4, 1184–1191 (2009).</w:t>
      </w:r>
    </w:p>
    <w:p w14:paraId="640DBB19" w14:textId="733FE63E" w:rsidR="0057065E" w:rsidRPr="00576A72" w:rsidRDefault="0057065E" w:rsidP="0057065E">
      <w:pPr>
        <w:pStyle w:val="ListParagraph"/>
        <w:numPr>
          <w:ilvl w:val="0"/>
          <w:numId w:val="2"/>
        </w:numPr>
        <w:spacing w:line="360" w:lineRule="auto"/>
        <w:rPr>
          <w:rFonts w:ascii="Arial" w:hAnsi="Arial" w:cs="Arial"/>
        </w:rPr>
      </w:pPr>
      <w:r w:rsidRPr="00576A72">
        <w:rPr>
          <w:rFonts w:ascii="Arial" w:hAnsi="Arial" w:cs="Arial"/>
        </w:rPr>
        <w:t>Han et al. TRRUST v2: an expanded reference database of human and mouse transcriptional regulatory interactions. Nucleic Acids Res. 46, D380–D386 (2018).</w:t>
      </w:r>
    </w:p>
    <w:p w14:paraId="2FAFC224" w14:textId="04B79A80" w:rsidR="008A6F71" w:rsidRPr="00576A72" w:rsidRDefault="008A6F71" w:rsidP="008A6F71">
      <w:pPr>
        <w:spacing w:line="360" w:lineRule="auto"/>
        <w:rPr>
          <w:rFonts w:ascii="Arial" w:hAnsi="Arial" w:cs="Arial"/>
        </w:rPr>
      </w:pPr>
    </w:p>
    <w:p w14:paraId="12AED58D" w14:textId="77777777" w:rsidR="008A6F71" w:rsidRPr="00576A72" w:rsidRDefault="008A6F71" w:rsidP="008A6F71">
      <w:pPr>
        <w:spacing w:line="360" w:lineRule="auto"/>
        <w:rPr>
          <w:rFonts w:ascii="Arial" w:hAnsi="Arial" w:cs="Arial"/>
        </w:rPr>
      </w:pPr>
    </w:p>
    <w:sectPr w:rsidR="008A6F71" w:rsidRPr="00576A72" w:rsidSect="00A8147A">
      <w:footerReference w:type="even"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9402A2" w14:textId="77777777" w:rsidR="00CE4070" w:rsidRDefault="00CE4070" w:rsidP="00EA3445">
      <w:r>
        <w:separator/>
      </w:r>
    </w:p>
  </w:endnote>
  <w:endnote w:type="continuationSeparator" w:id="0">
    <w:p w14:paraId="394F0DC8" w14:textId="77777777" w:rsidR="00CE4070" w:rsidRDefault="00CE4070" w:rsidP="00EA34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8024362"/>
      <w:docPartObj>
        <w:docPartGallery w:val="Page Numbers (Bottom of Page)"/>
        <w:docPartUnique/>
      </w:docPartObj>
    </w:sdtPr>
    <w:sdtEndPr>
      <w:rPr>
        <w:rStyle w:val="PageNumber"/>
      </w:rPr>
    </w:sdtEndPr>
    <w:sdtContent>
      <w:p w14:paraId="015B57A0" w14:textId="51A9D288" w:rsidR="00EA3445" w:rsidRDefault="00EA3445" w:rsidP="0048602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11DDAAF" w14:textId="77777777" w:rsidR="00EA3445" w:rsidRDefault="00EA34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81137461"/>
      <w:docPartObj>
        <w:docPartGallery w:val="Page Numbers (Bottom of Page)"/>
        <w:docPartUnique/>
      </w:docPartObj>
    </w:sdtPr>
    <w:sdtEndPr>
      <w:rPr>
        <w:rStyle w:val="PageNumber"/>
      </w:rPr>
    </w:sdtEndPr>
    <w:sdtContent>
      <w:p w14:paraId="275DD871" w14:textId="1514D32D" w:rsidR="00EA3445" w:rsidRDefault="00EA3445" w:rsidP="0048602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45260F1" w14:textId="77777777" w:rsidR="00EA3445" w:rsidRDefault="00EA34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33A04" w14:textId="77777777" w:rsidR="00CE4070" w:rsidRDefault="00CE4070" w:rsidP="00EA3445">
      <w:r>
        <w:separator/>
      </w:r>
    </w:p>
  </w:footnote>
  <w:footnote w:type="continuationSeparator" w:id="0">
    <w:p w14:paraId="043FA884" w14:textId="77777777" w:rsidR="00CE4070" w:rsidRDefault="00CE4070" w:rsidP="00EA34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7675CD"/>
    <w:multiLevelType w:val="hybridMultilevel"/>
    <w:tmpl w:val="1CDC65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0CF5637"/>
    <w:multiLevelType w:val="hybridMultilevel"/>
    <w:tmpl w:val="5E844A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F71"/>
    <w:rsid w:val="000B541C"/>
    <w:rsid w:val="001B63B7"/>
    <w:rsid w:val="001D5C88"/>
    <w:rsid w:val="00227767"/>
    <w:rsid w:val="002B6269"/>
    <w:rsid w:val="002F20EE"/>
    <w:rsid w:val="00307EAC"/>
    <w:rsid w:val="004E284B"/>
    <w:rsid w:val="0057065E"/>
    <w:rsid w:val="00576A72"/>
    <w:rsid w:val="00650E87"/>
    <w:rsid w:val="00671F63"/>
    <w:rsid w:val="00716F44"/>
    <w:rsid w:val="00774AE4"/>
    <w:rsid w:val="008A6F71"/>
    <w:rsid w:val="00972952"/>
    <w:rsid w:val="00A8147A"/>
    <w:rsid w:val="00B42BC6"/>
    <w:rsid w:val="00B77F6D"/>
    <w:rsid w:val="00C42C48"/>
    <w:rsid w:val="00CE4070"/>
    <w:rsid w:val="00CF7358"/>
    <w:rsid w:val="00D57ADB"/>
    <w:rsid w:val="00D61950"/>
    <w:rsid w:val="00D77150"/>
    <w:rsid w:val="00E10CAF"/>
    <w:rsid w:val="00E435C3"/>
    <w:rsid w:val="00E454D9"/>
    <w:rsid w:val="00EA34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3D0B1FF9"/>
  <w15:chartTrackingRefBased/>
  <w15:docId w15:val="{4795527D-2753-5446-B870-3D89FD15A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8A6F71"/>
    <w:rPr>
      <w:rFonts w:ascii="Arial" w:eastAsia="Arial" w:hAnsi="Arial" w:cs="Arial"/>
      <w:sz w:val="20"/>
      <w:szCs w:val="20"/>
      <w:lang w:val="en"/>
    </w:rPr>
  </w:style>
  <w:style w:type="character" w:customStyle="1" w:styleId="CommentTextChar">
    <w:name w:val="Comment Text Char"/>
    <w:basedOn w:val="DefaultParagraphFont"/>
    <w:link w:val="CommentText"/>
    <w:uiPriority w:val="99"/>
    <w:rsid w:val="008A6F71"/>
    <w:rPr>
      <w:rFonts w:ascii="Arial" w:eastAsia="Arial" w:hAnsi="Arial" w:cs="Arial"/>
      <w:sz w:val="20"/>
      <w:szCs w:val="20"/>
      <w:lang w:val="en"/>
    </w:rPr>
  </w:style>
  <w:style w:type="character" w:styleId="CommentReference">
    <w:name w:val="annotation reference"/>
    <w:basedOn w:val="DefaultParagraphFont"/>
    <w:uiPriority w:val="99"/>
    <w:semiHidden/>
    <w:unhideWhenUsed/>
    <w:rsid w:val="008A6F71"/>
    <w:rPr>
      <w:sz w:val="16"/>
      <w:szCs w:val="16"/>
    </w:rPr>
  </w:style>
  <w:style w:type="paragraph" w:styleId="ListParagraph">
    <w:name w:val="List Paragraph"/>
    <w:basedOn w:val="Normal"/>
    <w:uiPriority w:val="34"/>
    <w:qFormat/>
    <w:rsid w:val="0057065E"/>
    <w:pPr>
      <w:ind w:left="720"/>
      <w:contextualSpacing/>
    </w:pPr>
  </w:style>
  <w:style w:type="paragraph" w:styleId="BalloonText">
    <w:name w:val="Balloon Text"/>
    <w:basedOn w:val="Normal"/>
    <w:link w:val="BalloonTextChar"/>
    <w:uiPriority w:val="99"/>
    <w:semiHidden/>
    <w:unhideWhenUsed/>
    <w:rsid w:val="00B42BC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42BC6"/>
    <w:rPr>
      <w:rFonts w:ascii="Times New Roman" w:hAnsi="Times New Roman" w:cs="Times New Roman"/>
      <w:sz w:val="18"/>
      <w:szCs w:val="18"/>
    </w:rPr>
  </w:style>
  <w:style w:type="paragraph" w:styleId="Revision">
    <w:name w:val="Revision"/>
    <w:hidden/>
    <w:uiPriority w:val="99"/>
    <w:semiHidden/>
    <w:rsid w:val="00716F44"/>
  </w:style>
  <w:style w:type="paragraph" w:styleId="CommentSubject">
    <w:name w:val="annotation subject"/>
    <w:basedOn w:val="CommentText"/>
    <w:next w:val="CommentText"/>
    <w:link w:val="CommentSubjectChar"/>
    <w:uiPriority w:val="99"/>
    <w:semiHidden/>
    <w:unhideWhenUsed/>
    <w:rsid w:val="00972952"/>
    <w:rPr>
      <w:rFonts w:asciiTheme="minorHAnsi" w:eastAsiaTheme="minorHAnsi" w:hAnsiTheme="minorHAnsi" w:cstheme="minorBidi"/>
      <w:b/>
      <w:bCs/>
      <w:lang w:val="en-US"/>
    </w:rPr>
  </w:style>
  <w:style w:type="character" w:customStyle="1" w:styleId="CommentSubjectChar">
    <w:name w:val="Comment Subject Char"/>
    <w:basedOn w:val="CommentTextChar"/>
    <w:link w:val="CommentSubject"/>
    <w:uiPriority w:val="99"/>
    <w:semiHidden/>
    <w:rsid w:val="00972952"/>
    <w:rPr>
      <w:rFonts w:ascii="Arial" w:eastAsia="Arial" w:hAnsi="Arial" w:cs="Arial"/>
      <w:b/>
      <w:bCs/>
      <w:sz w:val="20"/>
      <w:szCs w:val="20"/>
      <w:lang w:val="en"/>
    </w:rPr>
  </w:style>
  <w:style w:type="paragraph" w:styleId="Footer">
    <w:name w:val="footer"/>
    <w:basedOn w:val="Normal"/>
    <w:link w:val="FooterChar"/>
    <w:uiPriority w:val="99"/>
    <w:unhideWhenUsed/>
    <w:rsid w:val="00EA3445"/>
    <w:pPr>
      <w:tabs>
        <w:tab w:val="center" w:pos="4680"/>
        <w:tab w:val="right" w:pos="9360"/>
      </w:tabs>
    </w:pPr>
  </w:style>
  <w:style w:type="character" w:customStyle="1" w:styleId="FooterChar">
    <w:name w:val="Footer Char"/>
    <w:basedOn w:val="DefaultParagraphFont"/>
    <w:link w:val="Footer"/>
    <w:uiPriority w:val="99"/>
    <w:rsid w:val="00EA3445"/>
  </w:style>
  <w:style w:type="character" w:styleId="PageNumber">
    <w:name w:val="page number"/>
    <w:basedOn w:val="DefaultParagraphFont"/>
    <w:uiPriority w:val="99"/>
    <w:semiHidden/>
    <w:unhideWhenUsed/>
    <w:rsid w:val="00EA3445"/>
  </w:style>
  <w:style w:type="character" w:styleId="Hyperlink">
    <w:name w:val="Hyperlink"/>
    <w:basedOn w:val="DefaultParagraphFont"/>
    <w:uiPriority w:val="99"/>
    <w:unhideWhenUsed/>
    <w:rsid w:val="000B541C"/>
    <w:rPr>
      <w:color w:val="0563C1" w:themeColor="hyperlink"/>
      <w:u w:val="single"/>
    </w:rPr>
  </w:style>
  <w:style w:type="character" w:styleId="UnresolvedMention">
    <w:name w:val="Unresolved Mention"/>
    <w:basedOn w:val="DefaultParagraphFont"/>
    <w:uiPriority w:val="99"/>
    <w:semiHidden/>
    <w:unhideWhenUsed/>
    <w:rsid w:val="000B54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8065010">
      <w:bodyDiv w:val="1"/>
      <w:marLeft w:val="0"/>
      <w:marRight w:val="0"/>
      <w:marTop w:val="0"/>
      <w:marBottom w:val="0"/>
      <w:divBdr>
        <w:top w:val="none" w:sz="0" w:space="0" w:color="auto"/>
        <w:left w:val="none" w:sz="0" w:space="0" w:color="auto"/>
        <w:bottom w:val="none" w:sz="0" w:space="0" w:color="auto"/>
        <w:right w:val="none" w:sz="0" w:space="0" w:color="auto"/>
      </w:divBdr>
    </w:div>
    <w:div w:id="2105683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7</Pages>
  <Words>548</Words>
  <Characters>3129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Lea</dc:creator>
  <cp:keywords/>
  <dc:description/>
  <cp:lastModifiedBy>Irene Gallego Romero</cp:lastModifiedBy>
  <cp:revision>5</cp:revision>
  <cp:lastPrinted>2022-04-09T19:13:00Z</cp:lastPrinted>
  <dcterms:created xsi:type="dcterms:W3CDTF">2022-11-25T06:13:00Z</dcterms:created>
  <dcterms:modified xsi:type="dcterms:W3CDTF">2023-01-16T04:02:00Z</dcterms:modified>
</cp:coreProperties>
</file>