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EC0A" w14:textId="1AA7346D" w:rsidR="00581C31" w:rsidRDefault="002D0DBA" w:rsidP="002D0DBA">
      <w:pPr>
        <w:spacing w:after="0" w:line="240" w:lineRule="auto"/>
        <w:rPr>
          <w:b/>
          <w:bCs/>
          <w:u w:val="single"/>
        </w:rPr>
      </w:pPr>
      <w:r>
        <w:rPr>
          <w:b/>
          <w:bCs/>
          <w:u w:val="single"/>
        </w:rPr>
        <w:t>1</w:t>
      </w:r>
      <w:r w:rsidRPr="002D0DBA">
        <w:rPr>
          <w:b/>
          <w:bCs/>
          <w:u w:val="single"/>
          <w:vertAlign w:val="superscript"/>
        </w:rPr>
        <w:t>st</w:t>
      </w:r>
      <w:r>
        <w:rPr>
          <w:b/>
          <w:bCs/>
          <w:u w:val="single"/>
        </w:rPr>
        <w:t xml:space="preserve"> round</w:t>
      </w:r>
    </w:p>
    <w:p w14:paraId="1B92FC10" w14:textId="7BFA7E28" w:rsidR="002D0DBA" w:rsidRDefault="002D0DBA" w:rsidP="002D0DBA">
      <w:pPr>
        <w:spacing w:after="0" w:line="240" w:lineRule="auto"/>
        <w:rPr>
          <w:b/>
          <w:bCs/>
        </w:rPr>
      </w:pPr>
      <w:r>
        <w:rPr>
          <w:b/>
          <w:bCs/>
        </w:rPr>
        <w:t>Reviewer 1</w:t>
      </w:r>
    </w:p>
    <w:p w14:paraId="34329A85" w14:textId="77777777" w:rsidR="002D0DBA" w:rsidRPr="002D0DBA" w:rsidRDefault="002D0DBA" w:rsidP="002D0DBA">
      <w:pPr>
        <w:spacing w:after="0" w:line="240" w:lineRule="auto"/>
      </w:pPr>
      <w:r w:rsidRPr="002D0DBA">
        <w:t>Vaidya et al. have analysed DNA methylation (</w:t>
      </w:r>
      <w:proofErr w:type="spellStart"/>
      <w:r w:rsidRPr="002D0DBA">
        <w:t>DNAm</w:t>
      </w:r>
      <w:proofErr w:type="spellEnd"/>
      <w:r w:rsidRPr="002D0DBA">
        <w:t xml:space="preserve">) ageing-related changes in stem and non-stem mouse intestinal cells to test whether ageing-related </w:t>
      </w:r>
      <w:proofErr w:type="spellStart"/>
      <w:r w:rsidRPr="002D0DBA">
        <w:t>DNAm</w:t>
      </w:r>
      <w:proofErr w:type="spellEnd"/>
      <w:r w:rsidRPr="002D0DBA">
        <w:t xml:space="preserve"> drift is linked with stem cell division. The mechanism of stochastic </w:t>
      </w:r>
      <w:proofErr w:type="spellStart"/>
      <w:r w:rsidRPr="002D0DBA">
        <w:t>DNAm</w:t>
      </w:r>
      <w:proofErr w:type="spellEnd"/>
      <w:r w:rsidRPr="002D0DBA">
        <w:t xml:space="preserve"> drift is not yet precisely defined, and as well as general ageing analysis, they quantified entropy to explore this further.</w:t>
      </w:r>
    </w:p>
    <w:p w14:paraId="145EAAE0" w14:textId="77777777" w:rsidR="002D0DBA" w:rsidRPr="002D0DBA" w:rsidRDefault="002D0DBA" w:rsidP="002D0DBA">
      <w:pPr>
        <w:spacing w:after="0" w:line="240" w:lineRule="auto"/>
      </w:pPr>
      <w:r w:rsidRPr="002D0DBA">
        <w:t>Mice across the age range of 4, 12, 18, or 24 months were evaluated. FACS sorting was used to isolate stem cell and differentiated cells and 3 components of the tract were examined - upper (USI) &amp; lower (LSI) small intestine, and colon (COL).</w:t>
      </w:r>
    </w:p>
    <w:p w14:paraId="0ECDFC97" w14:textId="77777777" w:rsidR="002D0DBA" w:rsidRPr="002D0DBA" w:rsidRDefault="002D0DBA" w:rsidP="002D0DBA">
      <w:pPr>
        <w:spacing w:after="0" w:line="240" w:lineRule="auto"/>
      </w:pPr>
      <w:proofErr w:type="spellStart"/>
      <w:r w:rsidRPr="002D0DBA">
        <w:t>DNAm</w:t>
      </w:r>
      <w:proofErr w:type="spellEnd"/>
      <w:r w:rsidRPr="002D0DBA">
        <w:t xml:space="preserve"> analysis was via RRBS, with a minimum coverage of 20 read per CpG and a total of 180,496 CpG sites were detected across all samples. The authors identify by PCA that tissue-type was a more significant driver of variation than age. In initial analysis between the two timepoints of old and young, </w:t>
      </w:r>
      <w:proofErr w:type="spellStart"/>
      <w:r w:rsidRPr="002D0DBA">
        <w:t>DNAm</w:t>
      </w:r>
      <w:proofErr w:type="spellEnd"/>
      <w:r w:rsidRPr="002D0DBA">
        <w:t xml:space="preserve"> age-changes in both stem and non-stem cells were found to be highly correlated and were also seen to occur in the same </w:t>
      </w:r>
      <w:proofErr w:type="spellStart"/>
      <w:r w:rsidRPr="002D0DBA">
        <w:t>CpGs</w:t>
      </w:r>
      <w:proofErr w:type="spellEnd"/>
      <w:r w:rsidRPr="002D0DBA">
        <w:t xml:space="preserve"> in the 3 different components of the intestine.</w:t>
      </w:r>
    </w:p>
    <w:p w14:paraId="0F5FDC97" w14:textId="77777777" w:rsidR="002D0DBA" w:rsidRPr="002D0DBA" w:rsidRDefault="002D0DBA" w:rsidP="002D0DBA">
      <w:pPr>
        <w:spacing w:after="0" w:line="240" w:lineRule="auto"/>
      </w:pPr>
      <w:r w:rsidRPr="002D0DBA">
        <w:t xml:space="preserve">In an analysis across all 4 time-points (in 125,077 </w:t>
      </w:r>
      <w:proofErr w:type="spellStart"/>
      <w:r w:rsidRPr="002D0DBA">
        <w:t>CpGs</w:t>
      </w:r>
      <w:proofErr w:type="spellEnd"/>
      <w:r w:rsidRPr="002D0DBA">
        <w:t>), significant ageing-</w:t>
      </w:r>
      <w:proofErr w:type="spellStart"/>
      <w:r w:rsidRPr="002D0DBA">
        <w:t>CpGs</w:t>
      </w:r>
      <w:proofErr w:type="spellEnd"/>
      <w:r w:rsidRPr="002D0DBA">
        <w:t xml:space="preserve">, which were assessed by permutation, identified a strong hypermethylation signature. Non-promoter CpG islands were found to have 3.5x odds of </w:t>
      </w:r>
      <w:proofErr w:type="spellStart"/>
      <w:r w:rsidRPr="002D0DBA">
        <w:t>hypermethylating</w:t>
      </w:r>
      <w:proofErr w:type="spellEnd"/>
      <w:r w:rsidRPr="002D0DBA">
        <w:t xml:space="preserve"> with age. There were very few </w:t>
      </w:r>
      <w:proofErr w:type="spellStart"/>
      <w:r w:rsidRPr="002D0DBA">
        <w:t>CpGs</w:t>
      </w:r>
      <w:proofErr w:type="spellEnd"/>
      <w:r w:rsidRPr="002D0DBA">
        <w:t xml:space="preserve"> that were found to be common between ageing and tissue-related changes, and, thus, the authors concluded that these are distinct biological processes.</w:t>
      </w:r>
    </w:p>
    <w:p w14:paraId="6B9E3504" w14:textId="77777777" w:rsidR="002D0DBA" w:rsidRPr="002D0DBA" w:rsidRDefault="002D0DBA" w:rsidP="002D0DBA">
      <w:pPr>
        <w:spacing w:after="0" w:line="240" w:lineRule="auto"/>
      </w:pPr>
      <w:r w:rsidRPr="002D0DBA">
        <w:t>RNA-</w:t>
      </w:r>
      <w:proofErr w:type="spellStart"/>
      <w:r w:rsidRPr="002D0DBA">
        <w:t>seq</w:t>
      </w:r>
      <w:proofErr w:type="spellEnd"/>
      <w:r w:rsidRPr="002D0DBA">
        <w:t xml:space="preserve"> analysis in these same sets clustered by tissue, not age, and with few genes showing changes between the two age extremes. Overall, </w:t>
      </w:r>
      <w:proofErr w:type="spellStart"/>
      <w:r w:rsidRPr="002D0DBA">
        <w:t>DNAm</w:t>
      </w:r>
      <w:proofErr w:type="spellEnd"/>
      <w:r w:rsidRPr="002D0DBA">
        <w:t xml:space="preserve"> ageing changes were found to be broader than gene expression changes.</w:t>
      </w:r>
    </w:p>
    <w:p w14:paraId="2F64C215" w14:textId="77777777" w:rsidR="002D0DBA" w:rsidRPr="002D0DBA" w:rsidRDefault="002D0DBA" w:rsidP="002D0DBA">
      <w:pPr>
        <w:spacing w:after="0" w:line="240" w:lineRule="auto"/>
      </w:pPr>
      <w:r w:rsidRPr="002D0DBA">
        <w:t xml:space="preserve">Entropy was quantified by Jensen-Shannon Distance (JSD) in 10,366 loci (4 </w:t>
      </w:r>
      <w:proofErr w:type="spellStart"/>
      <w:r w:rsidRPr="002D0DBA">
        <w:t>CpGs</w:t>
      </w:r>
      <w:proofErr w:type="spellEnd"/>
      <w:r w:rsidRPr="002D0DBA">
        <w:t xml:space="preserve"> within 60 bp with minimum coverage 40 reads) detectable across all samples. These results clustered solely on age, with a strong correlation between old stem and old non-stem cells. Finally, the authors compared tissues with highest (intestine), high (liver, lung, spleen) versus low (heart, kidney, skeletal) stem cell division and identified ageing related </w:t>
      </w:r>
      <w:proofErr w:type="spellStart"/>
      <w:r w:rsidRPr="002D0DBA">
        <w:t>DNAm</w:t>
      </w:r>
      <w:proofErr w:type="spellEnd"/>
      <w:r w:rsidRPr="002D0DBA">
        <w:t xml:space="preserve"> entropy is principally an effect of stem cell division and highly tissue specific.</w:t>
      </w:r>
    </w:p>
    <w:p w14:paraId="47765B32" w14:textId="77777777" w:rsidR="002D0DBA" w:rsidRPr="002D0DBA" w:rsidRDefault="002D0DBA" w:rsidP="002D0DBA">
      <w:pPr>
        <w:spacing w:after="0" w:line="240" w:lineRule="auto"/>
      </w:pPr>
      <w:r w:rsidRPr="002D0DBA">
        <w:t>The paper's findings are interesting and will be of significance to the ageing and epigenomics community. My comments for the authors are listed below.</w:t>
      </w:r>
    </w:p>
    <w:p w14:paraId="22957684" w14:textId="77777777" w:rsidR="002D0DBA" w:rsidRPr="002D0DBA" w:rsidRDefault="002D0DBA" w:rsidP="002D0DBA">
      <w:pPr>
        <w:spacing w:after="0" w:line="240" w:lineRule="auto"/>
      </w:pPr>
    </w:p>
    <w:p w14:paraId="5AF06843" w14:textId="77777777" w:rsidR="002D0DBA" w:rsidRPr="002D0DBA" w:rsidRDefault="002D0DBA" w:rsidP="002D0DBA">
      <w:pPr>
        <w:spacing w:after="0" w:line="240" w:lineRule="auto"/>
      </w:pPr>
      <w:r w:rsidRPr="002D0DBA">
        <w:t>Major</w:t>
      </w:r>
    </w:p>
    <w:p w14:paraId="53DCC906" w14:textId="77777777" w:rsidR="002D0DBA" w:rsidRPr="002D0DBA" w:rsidRDefault="002D0DBA" w:rsidP="002D0DBA">
      <w:pPr>
        <w:spacing w:after="0" w:line="240" w:lineRule="auto"/>
      </w:pPr>
    </w:p>
    <w:p w14:paraId="5818E097" w14:textId="77777777" w:rsidR="002D0DBA" w:rsidRPr="002D0DBA" w:rsidRDefault="002D0DBA" w:rsidP="002D0DBA">
      <w:pPr>
        <w:spacing w:after="0" w:line="240" w:lineRule="auto"/>
      </w:pPr>
      <w:r w:rsidRPr="002D0DBA">
        <w:t>1. With the multiple analysis and sub-analyses, the manuscript becomes difficult to follow for the reader at times. Would benefit from the authors re-assessing readability with a fresh eye.</w:t>
      </w:r>
    </w:p>
    <w:p w14:paraId="4D6CF2E5" w14:textId="77777777" w:rsidR="002D0DBA" w:rsidRPr="002D0DBA" w:rsidRDefault="002D0DBA" w:rsidP="002D0DBA">
      <w:pPr>
        <w:spacing w:after="0" w:line="240" w:lineRule="auto"/>
      </w:pPr>
      <w:r w:rsidRPr="002D0DBA">
        <w:t xml:space="preserve">2. The threshold for RRBS was an appropriate minimum coverage level of 20 reads at each CpG, however, concordance increases with depths &gt;30 [1] - could the authors explore whether higher reads depths show consistency with a representative fraction of their current results? Particularly the effect of only requiring at least 75% of the samples to reach 20 read minimum of the </w:t>
      </w:r>
      <w:proofErr w:type="spellStart"/>
      <w:r w:rsidRPr="002D0DBA">
        <w:t>CpGs</w:t>
      </w:r>
      <w:proofErr w:type="spellEnd"/>
      <w:r w:rsidRPr="002D0DBA">
        <w:t xml:space="preserve"> included in the 4-age group analysis?</w:t>
      </w:r>
    </w:p>
    <w:p w14:paraId="67AF2690" w14:textId="77777777" w:rsidR="002D0DBA" w:rsidRPr="002D0DBA" w:rsidRDefault="002D0DBA" w:rsidP="002D0DBA">
      <w:pPr>
        <w:spacing w:after="0" w:line="240" w:lineRule="auto"/>
      </w:pPr>
      <w:r w:rsidRPr="002D0DBA">
        <w:t>3. It is stated 'significant with age (p-value &lt; 0.05)' on line 90 - is this corrected or nominal?</w:t>
      </w:r>
    </w:p>
    <w:p w14:paraId="45674751" w14:textId="77777777" w:rsidR="002D0DBA" w:rsidRPr="002D0DBA" w:rsidRDefault="002D0DBA" w:rsidP="002D0DBA">
      <w:pPr>
        <w:spacing w:after="0" w:line="240" w:lineRule="auto"/>
      </w:pPr>
      <w:r w:rsidRPr="002D0DBA">
        <w:t>4. Regarding the RNA-</w:t>
      </w:r>
      <w:proofErr w:type="spellStart"/>
      <w:r w:rsidRPr="002D0DBA">
        <w:t>seq</w:t>
      </w:r>
      <w:proofErr w:type="spellEnd"/>
      <w:r w:rsidRPr="002D0DBA">
        <w:t xml:space="preserve"> analysis and the non-promoter CpG island hypermethylation - was there any evidence of changes in expression of non-canonical isoforms with age?</w:t>
      </w:r>
    </w:p>
    <w:p w14:paraId="2627C292" w14:textId="77777777" w:rsidR="002D0DBA" w:rsidRPr="002D0DBA" w:rsidRDefault="002D0DBA" w:rsidP="002D0DBA">
      <w:pPr>
        <w:spacing w:after="0" w:line="240" w:lineRule="auto"/>
      </w:pPr>
      <w:r w:rsidRPr="002D0DBA">
        <w:t>5. Brief explanation should be included in the Results of what comprises the definition of the 10,366 loci in the Entropy results - so that the reader does not need to go trawling through methods to understand this.</w:t>
      </w:r>
    </w:p>
    <w:p w14:paraId="5E603434" w14:textId="77777777" w:rsidR="002D0DBA" w:rsidRPr="002D0DBA" w:rsidRDefault="002D0DBA" w:rsidP="002D0DBA">
      <w:pPr>
        <w:spacing w:after="0" w:line="240" w:lineRule="auto"/>
      </w:pPr>
      <w:r w:rsidRPr="002D0DBA">
        <w:t xml:space="preserve">6. Regarding the </w:t>
      </w:r>
      <w:proofErr w:type="spellStart"/>
      <w:r w:rsidRPr="002D0DBA">
        <w:t>DNAm</w:t>
      </w:r>
      <w:proofErr w:type="spellEnd"/>
      <w:r w:rsidRPr="002D0DBA">
        <w:t xml:space="preserve"> entropy calculated loci - how is this impacted on by CpG density - i.e., is the ageing signal being driven by dense or sparse CpG loci?</w:t>
      </w:r>
    </w:p>
    <w:p w14:paraId="2BBF8E93" w14:textId="77777777" w:rsidR="002D0DBA" w:rsidRPr="002D0DBA" w:rsidRDefault="002D0DBA" w:rsidP="002D0DBA">
      <w:pPr>
        <w:spacing w:after="0" w:line="240" w:lineRule="auto"/>
      </w:pPr>
      <w:r w:rsidRPr="002D0DBA">
        <w:t xml:space="preserve">7. This is not experimentally required for this paper - but authors should acknowledge in the Discussion that it would clearly be of significant interest if a consistent result was found with the </w:t>
      </w:r>
      <w:r w:rsidRPr="002D0DBA">
        <w:lastRenderedPageBreak/>
        <w:t xml:space="preserve">now available Illumina mouse </w:t>
      </w:r>
      <w:proofErr w:type="spellStart"/>
      <w:r w:rsidRPr="002D0DBA">
        <w:t>DNAm</w:t>
      </w:r>
      <w:proofErr w:type="spellEnd"/>
      <w:r w:rsidRPr="002D0DBA">
        <w:t xml:space="preserve"> array - which avoids all the vagaries of stochastic sequencing depth variation.</w:t>
      </w:r>
    </w:p>
    <w:p w14:paraId="6ECD7584" w14:textId="77777777" w:rsidR="002D0DBA" w:rsidRPr="002D0DBA" w:rsidRDefault="002D0DBA" w:rsidP="002D0DBA">
      <w:pPr>
        <w:spacing w:after="0" w:line="240" w:lineRule="auto"/>
      </w:pPr>
    </w:p>
    <w:p w14:paraId="5B223A2B" w14:textId="77777777" w:rsidR="002D0DBA" w:rsidRPr="002D0DBA" w:rsidRDefault="002D0DBA" w:rsidP="002D0DBA">
      <w:pPr>
        <w:spacing w:after="0" w:line="240" w:lineRule="auto"/>
      </w:pPr>
      <w:r w:rsidRPr="002D0DBA">
        <w:t>Minor</w:t>
      </w:r>
    </w:p>
    <w:p w14:paraId="4B1E6F25" w14:textId="77777777" w:rsidR="002D0DBA" w:rsidRPr="002D0DBA" w:rsidRDefault="002D0DBA" w:rsidP="002D0DBA">
      <w:pPr>
        <w:spacing w:after="0" w:line="240" w:lineRule="auto"/>
      </w:pPr>
      <w:r w:rsidRPr="002D0DBA">
        <w:t>1. Spelling '</w:t>
      </w:r>
      <w:proofErr w:type="spellStart"/>
      <w:r w:rsidRPr="002D0DBA">
        <w:t>og</w:t>
      </w:r>
      <w:proofErr w:type="spellEnd"/>
      <w:r w:rsidRPr="002D0DBA">
        <w:t>' line 139</w:t>
      </w:r>
    </w:p>
    <w:p w14:paraId="699AAB04" w14:textId="77777777" w:rsidR="002D0DBA" w:rsidRPr="002D0DBA" w:rsidRDefault="002D0DBA" w:rsidP="002D0DBA">
      <w:pPr>
        <w:spacing w:after="0" w:line="240" w:lineRule="auto"/>
      </w:pPr>
      <w:r w:rsidRPr="002D0DBA">
        <w:t>2. Spelling 'pattens' line 195</w:t>
      </w:r>
    </w:p>
    <w:p w14:paraId="6D9FAAB7" w14:textId="77777777" w:rsidR="002D0DBA" w:rsidRPr="002D0DBA" w:rsidRDefault="002D0DBA" w:rsidP="002D0DBA">
      <w:pPr>
        <w:spacing w:after="0" w:line="240" w:lineRule="auto"/>
      </w:pPr>
    </w:p>
    <w:p w14:paraId="21652EC3" w14:textId="77777777" w:rsidR="002D0DBA" w:rsidRPr="002D0DBA" w:rsidRDefault="002D0DBA" w:rsidP="002D0DBA">
      <w:pPr>
        <w:spacing w:after="0" w:line="240" w:lineRule="auto"/>
      </w:pPr>
    </w:p>
    <w:p w14:paraId="53C6CA0D" w14:textId="3F9CDA2C" w:rsidR="002D0DBA" w:rsidRDefault="002D0DBA" w:rsidP="00A13E01">
      <w:pPr>
        <w:pStyle w:val="ListParagraph"/>
        <w:numPr>
          <w:ilvl w:val="0"/>
          <w:numId w:val="1"/>
        </w:numPr>
        <w:spacing w:after="0" w:line="240" w:lineRule="auto"/>
      </w:pPr>
      <w:r w:rsidRPr="002D0DBA">
        <w:t xml:space="preserve">Sun, X., et al., A comprehensive evaluation of alignment software for reduced representation </w:t>
      </w:r>
      <w:proofErr w:type="spellStart"/>
      <w:r w:rsidRPr="002D0DBA">
        <w:t>bisulfite</w:t>
      </w:r>
      <w:proofErr w:type="spellEnd"/>
      <w:r w:rsidRPr="002D0DBA">
        <w:t xml:space="preserve"> sequencing data. Bioinformatics, 2018. 34(16): p. 2715-2723.</w:t>
      </w:r>
    </w:p>
    <w:p w14:paraId="343064EE" w14:textId="7FAE6711" w:rsidR="00A13E01" w:rsidRDefault="00A13E01" w:rsidP="00A13E01">
      <w:pPr>
        <w:spacing w:after="0" w:line="240" w:lineRule="auto"/>
        <w:rPr>
          <w:b/>
          <w:bCs/>
        </w:rPr>
      </w:pPr>
    </w:p>
    <w:p w14:paraId="60B4EE3C" w14:textId="6DFD1293" w:rsidR="00A13E01" w:rsidRDefault="00A13E01" w:rsidP="00A13E01">
      <w:pPr>
        <w:spacing w:after="0" w:line="240" w:lineRule="auto"/>
        <w:rPr>
          <w:b/>
          <w:bCs/>
        </w:rPr>
      </w:pPr>
      <w:r>
        <w:rPr>
          <w:b/>
          <w:bCs/>
        </w:rPr>
        <w:t>Reviewer 2</w:t>
      </w:r>
    </w:p>
    <w:p w14:paraId="0B5A221E" w14:textId="77777777" w:rsidR="003076E2" w:rsidRDefault="003076E2" w:rsidP="003076E2">
      <w:pPr>
        <w:spacing w:after="0" w:line="240" w:lineRule="auto"/>
      </w:pPr>
      <w:r>
        <w:t>Vaidya et al. follow their hypothesis that age-associated DNA methylation is a process of methylation drift that is linked to stem cell division. They suggest that while DNA methylation overall is primarily tissue-specific, DNA methylation entropy is exclusively an aging phenomenon. Furthermore, they indicated that most age-related DNA methylation drift should be attributed to adult stem cell replication. While the idea is interesting and relevant, several technical aspects are difficult to follow. Overall, a better validation might be needed to support their statements.</w:t>
      </w:r>
    </w:p>
    <w:p w14:paraId="1BDB887B" w14:textId="77777777" w:rsidR="003076E2" w:rsidRDefault="003076E2" w:rsidP="003076E2">
      <w:pPr>
        <w:spacing w:after="0" w:line="240" w:lineRule="auto"/>
      </w:pPr>
      <w:r>
        <w:t>I have the following specific comments:</w:t>
      </w:r>
    </w:p>
    <w:p w14:paraId="500F9745" w14:textId="77777777" w:rsidR="003076E2" w:rsidRDefault="003076E2" w:rsidP="003076E2">
      <w:pPr>
        <w:spacing w:after="0" w:line="240" w:lineRule="auto"/>
      </w:pPr>
      <w:r>
        <w:t xml:space="preserve">1) Tissue specific differences were </w:t>
      </w:r>
      <w:proofErr w:type="spellStart"/>
      <w:r>
        <w:t>analyzed</w:t>
      </w:r>
      <w:proofErr w:type="spellEnd"/>
      <w:r>
        <w:t xml:space="preserve"> on epithelial cells from colon and small intestine - these closely related cell types/tissues may not be ideal to generalize for tissue-specific differences. Since the authors also </w:t>
      </w:r>
      <w:proofErr w:type="spellStart"/>
      <w:r>
        <w:t>analyzed</w:t>
      </w:r>
      <w:proofErr w:type="spellEnd"/>
      <w:r>
        <w:t xml:space="preserve"> many other tissues it would be better to consider these for the analysis, too.</w:t>
      </w:r>
    </w:p>
    <w:p w14:paraId="012B21F0" w14:textId="77777777" w:rsidR="003076E2" w:rsidRDefault="003076E2" w:rsidP="003076E2">
      <w:pPr>
        <w:spacing w:after="0" w:line="240" w:lineRule="auto"/>
      </w:pPr>
      <w:r>
        <w:t xml:space="preserve">2) The number of biological </w:t>
      </w:r>
      <w:proofErr w:type="gramStart"/>
      <w:r>
        <w:t>replica</w:t>
      </w:r>
      <w:proofErr w:type="gramEnd"/>
      <w:r>
        <w:t xml:space="preserve"> should be better indicated in the manuscript. Furthermore, four mouse samples were pooled for RRBS. Is it conceivable that mixing of samples impacts on the JSD if there are interindividual differences?</w:t>
      </w:r>
    </w:p>
    <w:p w14:paraId="6EC1AEEE" w14:textId="77777777" w:rsidR="003076E2" w:rsidRDefault="003076E2" w:rsidP="003076E2">
      <w:pPr>
        <w:spacing w:after="0" w:line="240" w:lineRule="auto"/>
      </w:pPr>
      <w:r>
        <w:t xml:space="preserve">3) The concept of JSD needs to be much better clarified in the manuscript - particularly since this is the most innovative aspect. Looking at other studies I got the impression that JSD is typically higher at </w:t>
      </w:r>
      <w:proofErr w:type="spellStart"/>
      <w:r>
        <w:t>hemimethylated</w:t>
      </w:r>
      <w:proofErr w:type="spellEnd"/>
      <w:r>
        <w:t xml:space="preserve"> sites (peaking at 50% methylation level) whereas it is generally lower at none or highly methylated sites. If so, this needs to be better clarified and taken into consideration. It is known that age-related </w:t>
      </w:r>
      <w:proofErr w:type="spellStart"/>
      <w:r>
        <w:t>CpGs</w:t>
      </w:r>
      <w:proofErr w:type="spellEnd"/>
      <w:r>
        <w:t xml:space="preserve"> are often </w:t>
      </w:r>
      <w:proofErr w:type="spellStart"/>
      <w:r>
        <w:t>hemimethylated</w:t>
      </w:r>
      <w:proofErr w:type="spellEnd"/>
      <w:r>
        <w:t>, while tissue-specific DNA methylation may be more at the extremes. This might at least contribute to the observed discrepancy in JSD.</w:t>
      </w:r>
    </w:p>
    <w:p w14:paraId="1760C9E4" w14:textId="77777777" w:rsidR="003076E2" w:rsidRDefault="003076E2" w:rsidP="003076E2">
      <w:pPr>
        <w:spacing w:after="0" w:line="240" w:lineRule="auto"/>
      </w:pPr>
      <w:r>
        <w:t>4) The reference distribution for calculation of JSD should be better clarified.</w:t>
      </w:r>
    </w:p>
    <w:p w14:paraId="772DDE5B" w14:textId="77777777" w:rsidR="003076E2" w:rsidRDefault="003076E2" w:rsidP="003076E2">
      <w:pPr>
        <w:spacing w:after="0" w:line="240" w:lineRule="auto"/>
      </w:pPr>
      <w:r>
        <w:t>5) It is unclear how tissue renewal rates were measured (</w:t>
      </w:r>
      <w:proofErr w:type="gramStart"/>
      <w:r>
        <w:t>e.g.</w:t>
      </w:r>
      <w:proofErr w:type="gramEnd"/>
      <w:r>
        <w:t xml:space="preserve"> in Figure 5c). Blood is a tissue with enormous turnover. I am surprised to find the tissue renewal rate/30% for blood at the lower edge of all tissues.</w:t>
      </w:r>
    </w:p>
    <w:p w14:paraId="35B8418B" w14:textId="77777777" w:rsidR="003076E2" w:rsidRDefault="003076E2" w:rsidP="003076E2">
      <w:pPr>
        <w:spacing w:after="0" w:line="240" w:lineRule="auto"/>
      </w:pPr>
      <w:r>
        <w:t>6) On the other hand, there is a bigger hierarchy in the hematopoietic system between the quiescent long-term repopulating hematopoietic stem cells and the various intermediate faster proliferating progenitor cells. Separation in stem cells and none-stem cells might be too simplistic for many tissues (that even comprise multiple cell types).</w:t>
      </w:r>
    </w:p>
    <w:p w14:paraId="78B74E54" w14:textId="77777777" w:rsidR="003076E2" w:rsidRDefault="003076E2" w:rsidP="003076E2">
      <w:pPr>
        <w:spacing w:after="0" w:line="240" w:lineRule="auto"/>
      </w:pPr>
      <w:r>
        <w:t>7) Colon stem cells in Figure 5 seem to be on the same line as non-stem cells. This might argue against a clear finding toward their hypothesis. Why are renewal rates anticipated similar in stem cells and non-stem cells? Why does Figure 5a only depict COL and not SI?</w:t>
      </w:r>
    </w:p>
    <w:p w14:paraId="2B44EEBE" w14:textId="77777777" w:rsidR="003076E2" w:rsidRDefault="003076E2" w:rsidP="003076E2">
      <w:pPr>
        <w:spacing w:after="0" w:line="240" w:lineRule="auto"/>
      </w:pPr>
      <w:r>
        <w:t>8) It is well known that even non-proliferative tissues, such as brain, have extensive age-associated DNA methylation. As indicated, this has been shown by many functional signatures. Furthermore, multi-tissue clocks have been successfully established. It therefore appears surprising that their data suggest very little overlap in aging changes between distantly related tissues and between tissues that have very different stem cell proliferation rates.</w:t>
      </w:r>
    </w:p>
    <w:p w14:paraId="0E87BD2D" w14:textId="77777777" w:rsidR="003076E2" w:rsidRDefault="003076E2" w:rsidP="003076E2">
      <w:pPr>
        <w:spacing w:after="0" w:line="240" w:lineRule="auto"/>
      </w:pPr>
      <w:r>
        <w:t xml:space="preserve">9) The threefold change was observed in both stem and non-stem cells of 24 months (Figure 5a). How do they conclude that this is due to stem cell division (line 212 as well as line 249-250)? As it </w:t>
      </w:r>
      <w:r>
        <w:lastRenderedPageBreak/>
        <w:t>stands, there appear to be hardly conclusive results how stem cell division or cell division rate are related to the epigenetic drift.</w:t>
      </w:r>
    </w:p>
    <w:p w14:paraId="08712C23" w14:textId="77777777" w:rsidR="003076E2" w:rsidRDefault="003076E2" w:rsidP="003076E2">
      <w:pPr>
        <w:spacing w:after="0" w:line="240" w:lineRule="auto"/>
      </w:pPr>
    </w:p>
    <w:p w14:paraId="78B6E472" w14:textId="77777777" w:rsidR="003076E2" w:rsidRDefault="003076E2" w:rsidP="003076E2">
      <w:pPr>
        <w:spacing w:after="0" w:line="240" w:lineRule="auto"/>
      </w:pPr>
      <w:r>
        <w:t>Minor:</w:t>
      </w:r>
    </w:p>
    <w:p w14:paraId="1B66F04A" w14:textId="77777777" w:rsidR="003076E2" w:rsidRDefault="003076E2" w:rsidP="003076E2">
      <w:pPr>
        <w:spacing w:after="0" w:line="240" w:lineRule="auto"/>
      </w:pPr>
      <w:r>
        <w:t>10) The GEO ID has not yet been provided.</w:t>
      </w:r>
    </w:p>
    <w:p w14:paraId="571CF88F" w14:textId="77777777" w:rsidR="003076E2" w:rsidRDefault="003076E2" w:rsidP="003076E2">
      <w:pPr>
        <w:spacing w:after="0" w:line="240" w:lineRule="auto"/>
      </w:pPr>
      <w:r>
        <w:t>11) The conclusion of lines 78-80 is not fully supported by the corresponding figures.</w:t>
      </w:r>
    </w:p>
    <w:p w14:paraId="0D787033" w14:textId="77777777" w:rsidR="003076E2" w:rsidRDefault="003076E2" w:rsidP="003076E2">
      <w:pPr>
        <w:spacing w:after="0" w:line="240" w:lineRule="auto"/>
      </w:pPr>
      <w:r>
        <w:t>12) Please better clarify if the results in Figure 2 are for stem cells or non-stem cells.</w:t>
      </w:r>
    </w:p>
    <w:p w14:paraId="60751DBB" w14:textId="77777777" w:rsidR="003076E2" w:rsidRDefault="003076E2" w:rsidP="003076E2">
      <w:pPr>
        <w:spacing w:after="0" w:line="240" w:lineRule="auto"/>
      </w:pPr>
      <w:r>
        <w:t xml:space="preserve">13) In Supplementary Figure 1, the x-axis seems to be </w:t>
      </w:r>
      <w:proofErr w:type="spellStart"/>
      <w:r>
        <w:t>mislabeled</w:t>
      </w:r>
      <w:proofErr w:type="spellEnd"/>
      <w:r>
        <w:t>: instead of % Methylation change (old-young), it should probably be (</w:t>
      </w:r>
      <w:proofErr w:type="spellStart"/>
      <w:r>
        <w:t>nonstem</w:t>
      </w:r>
      <w:proofErr w:type="spellEnd"/>
      <w:r>
        <w:t>-stem).</w:t>
      </w:r>
    </w:p>
    <w:p w14:paraId="20BE7D3B" w14:textId="0FC84D24" w:rsidR="00A13E01" w:rsidRDefault="003076E2" w:rsidP="003076E2">
      <w:pPr>
        <w:spacing w:after="0" w:line="240" w:lineRule="auto"/>
      </w:pPr>
      <w:r>
        <w:t>14) Abstract line 32 should be Jensen</w:t>
      </w:r>
    </w:p>
    <w:p w14:paraId="12440831" w14:textId="56FAF66C" w:rsidR="00EC511A" w:rsidRDefault="00EC511A" w:rsidP="003076E2">
      <w:pPr>
        <w:spacing w:after="0" w:line="240" w:lineRule="auto"/>
      </w:pPr>
    </w:p>
    <w:p w14:paraId="74CC7708" w14:textId="51AE66BC" w:rsidR="00EC511A" w:rsidRDefault="00EC511A" w:rsidP="003076E2">
      <w:pPr>
        <w:spacing w:after="0" w:line="240" w:lineRule="auto"/>
        <w:rPr>
          <w:b/>
          <w:bCs/>
        </w:rPr>
      </w:pPr>
      <w:r>
        <w:rPr>
          <w:b/>
          <w:bCs/>
        </w:rPr>
        <w:t>Authors’ response</w:t>
      </w:r>
    </w:p>
    <w:p w14:paraId="6338D2D8" w14:textId="77777777" w:rsidR="006F3AA8" w:rsidRDefault="006F3AA8" w:rsidP="006F3AA8">
      <w:pPr>
        <w:rPr>
          <w:rFonts w:ascii="Arial" w:hAnsi="Arial" w:cs="Arial"/>
          <w:sz w:val="20"/>
          <w:szCs w:val="20"/>
        </w:rPr>
      </w:pPr>
      <w:r>
        <w:rPr>
          <w:rFonts w:ascii="Arial" w:hAnsi="Arial" w:cs="Arial"/>
          <w:sz w:val="20"/>
          <w:szCs w:val="20"/>
        </w:rPr>
        <w:t>We thank the reviewers for their careful reading of the manuscript and their constructive comments that helped clarify the findings. We have extensively revised the manuscript in response to these comments and provide a point-by-point response below, along with a summary of the changes made to the text.</w:t>
      </w:r>
    </w:p>
    <w:p w14:paraId="15FD8E60" w14:textId="77777777" w:rsidR="006F3AA8" w:rsidRDefault="006F3AA8" w:rsidP="006F3AA8">
      <w:pPr>
        <w:rPr>
          <w:rFonts w:ascii="Arial" w:hAnsi="Arial" w:cs="Arial"/>
          <w:sz w:val="20"/>
          <w:szCs w:val="20"/>
        </w:rPr>
      </w:pPr>
    </w:p>
    <w:p w14:paraId="3B4BAD8D" w14:textId="77777777" w:rsidR="006F3AA8" w:rsidRDefault="006F3AA8" w:rsidP="006F3AA8">
      <w:pPr>
        <w:rPr>
          <w:rFonts w:ascii="Arial" w:hAnsi="Arial" w:cs="Arial"/>
          <w:sz w:val="20"/>
          <w:szCs w:val="20"/>
        </w:rPr>
      </w:pPr>
      <w:r>
        <w:rPr>
          <w:rFonts w:ascii="Arial" w:hAnsi="Arial" w:cs="Arial"/>
          <w:sz w:val="20"/>
          <w:szCs w:val="20"/>
        </w:rPr>
        <w:t>Reviewer # 1(Reviewer Comment to the Author):</w:t>
      </w:r>
    </w:p>
    <w:p w14:paraId="614DC84C" w14:textId="77777777" w:rsidR="006F3AA8" w:rsidRDefault="006F3AA8" w:rsidP="006F3AA8">
      <w:pPr>
        <w:rPr>
          <w:rFonts w:ascii="Arial" w:hAnsi="Arial" w:cs="Arial"/>
          <w:sz w:val="20"/>
          <w:szCs w:val="20"/>
        </w:rPr>
      </w:pPr>
    </w:p>
    <w:p w14:paraId="0009EFCB" w14:textId="77777777" w:rsidR="006F3AA8" w:rsidRDefault="006F3AA8" w:rsidP="006F3AA8">
      <w:pPr>
        <w:rPr>
          <w:rFonts w:ascii="Arial" w:hAnsi="Arial" w:cs="Arial"/>
          <w:color w:val="FF0000"/>
          <w:sz w:val="20"/>
          <w:szCs w:val="20"/>
        </w:rPr>
      </w:pPr>
      <w:r>
        <w:rPr>
          <w:rFonts w:ascii="Arial" w:hAnsi="Arial" w:cs="Arial"/>
          <w:color w:val="FF0000"/>
          <w:sz w:val="20"/>
          <w:szCs w:val="20"/>
        </w:rPr>
        <w:t>1. With the multiple analysis and sub-analyses, the manuscript becomes difficult to follow for the reader at times. Would benefit from the authors re-assessing readability with a fresh eye. –</w:t>
      </w:r>
    </w:p>
    <w:p w14:paraId="1840EC9B" w14:textId="77777777" w:rsidR="006F3AA8" w:rsidRDefault="006F3AA8" w:rsidP="006F3AA8">
      <w:pPr>
        <w:rPr>
          <w:rFonts w:ascii="Arial" w:hAnsi="Arial" w:cs="Arial"/>
          <w:color w:val="FF0000"/>
          <w:sz w:val="20"/>
          <w:szCs w:val="20"/>
        </w:rPr>
      </w:pPr>
    </w:p>
    <w:p w14:paraId="0DC1B015" w14:textId="77777777" w:rsidR="006F3AA8" w:rsidRDefault="006F3AA8" w:rsidP="006F3AA8">
      <w:pPr>
        <w:rPr>
          <w:rFonts w:ascii="Arial" w:hAnsi="Arial" w:cs="Arial"/>
          <w:color w:val="000000" w:themeColor="text1"/>
          <w:sz w:val="20"/>
          <w:szCs w:val="20"/>
        </w:rPr>
      </w:pPr>
      <w:r>
        <w:rPr>
          <w:rFonts w:ascii="Arial" w:hAnsi="Arial" w:cs="Arial"/>
          <w:color w:val="000000" w:themeColor="text1"/>
          <w:sz w:val="20"/>
          <w:szCs w:val="20"/>
        </w:rPr>
        <w:t xml:space="preserve">We have carefully revised the manuscript and have added more supplementary figures and explanations where necessary. </w:t>
      </w:r>
    </w:p>
    <w:p w14:paraId="5A8CD87B" w14:textId="77777777" w:rsidR="006F3AA8" w:rsidRDefault="006F3AA8" w:rsidP="006F3AA8">
      <w:pPr>
        <w:rPr>
          <w:rFonts w:ascii="Arial" w:hAnsi="Arial" w:cs="Arial"/>
          <w:sz w:val="20"/>
          <w:szCs w:val="20"/>
        </w:rPr>
      </w:pPr>
    </w:p>
    <w:p w14:paraId="6859DFEF" w14:textId="77777777" w:rsidR="006F3AA8" w:rsidRDefault="006F3AA8" w:rsidP="006F3AA8">
      <w:pPr>
        <w:rPr>
          <w:rFonts w:ascii="Arial" w:hAnsi="Arial" w:cs="Arial"/>
          <w:sz w:val="20"/>
          <w:szCs w:val="20"/>
        </w:rPr>
      </w:pPr>
    </w:p>
    <w:p w14:paraId="5AF0C81D" w14:textId="77777777" w:rsidR="006F3AA8" w:rsidRDefault="006F3AA8" w:rsidP="006F3AA8">
      <w:pPr>
        <w:rPr>
          <w:rFonts w:ascii="Arial" w:hAnsi="Arial" w:cs="Arial"/>
          <w:color w:val="FF0000"/>
          <w:sz w:val="20"/>
          <w:szCs w:val="20"/>
          <w:shd w:val="clear" w:color="auto" w:fill="FFFFFF"/>
        </w:rPr>
      </w:pPr>
      <w:r>
        <w:rPr>
          <w:rFonts w:ascii="Arial" w:hAnsi="Arial" w:cs="Arial"/>
          <w:color w:val="FF0000"/>
          <w:sz w:val="20"/>
          <w:szCs w:val="20"/>
          <w:shd w:val="clear" w:color="auto" w:fill="FFFFFF"/>
        </w:rPr>
        <w:t xml:space="preserve">2. The threshold for RRBS was an appropriate minimum coverage level of 20 reads at each CpG, however, concordance increases with depths &gt;30 [1] - could the authors explore whether higher reads depths show consistency with a representative fraction of their current results? Particularly the effect of only requiring at least 75% of the samples to reach 20 read minimum of the </w:t>
      </w:r>
      <w:proofErr w:type="spellStart"/>
      <w:r>
        <w:rPr>
          <w:rFonts w:ascii="Arial" w:hAnsi="Arial" w:cs="Arial"/>
          <w:color w:val="FF0000"/>
          <w:sz w:val="20"/>
          <w:szCs w:val="20"/>
          <w:shd w:val="clear" w:color="auto" w:fill="FFFFFF"/>
        </w:rPr>
        <w:t>CpGs</w:t>
      </w:r>
      <w:proofErr w:type="spellEnd"/>
      <w:r>
        <w:rPr>
          <w:rFonts w:ascii="Arial" w:hAnsi="Arial" w:cs="Arial"/>
          <w:color w:val="FF0000"/>
          <w:sz w:val="20"/>
          <w:szCs w:val="20"/>
          <w:shd w:val="clear" w:color="auto" w:fill="FFFFFF"/>
        </w:rPr>
        <w:t xml:space="preserve"> included in the 4-age group analysis?</w:t>
      </w:r>
    </w:p>
    <w:p w14:paraId="6239D6C7" w14:textId="77777777" w:rsidR="006F3AA8" w:rsidRDefault="006F3AA8" w:rsidP="006F3AA8">
      <w:pPr>
        <w:rPr>
          <w:rFonts w:ascii="Arial" w:hAnsi="Arial" w:cs="Arial"/>
          <w:color w:val="000033"/>
          <w:sz w:val="20"/>
          <w:szCs w:val="20"/>
          <w:shd w:val="clear" w:color="auto" w:fill="FFFFFF"/>
        </w:rPr>
      </w:pPr>
    </w:p>
    <w:p w14:paraId="5FF16CC1" w14:textId="77777777" w:rsidR="006F3AA8" w:rsidRDefault="006F3AA8" w:rsidP="006F3AA8">
      <w:pPr>
        <w:rPr>
          <w:rFonts w:ascii="Arial" w:hAnsi="Arial" w:cs="Arial"/>
          <w:b/>
          <w:bCs/>
          <w:i/>
          <w:iCs/>
          <w:color w:val="000033"/>
          <w:sz w:val="20"/>
          <w:szCs w:val="20"/>
          <w:u w:val="single"/>
          <w:shd w:val="clear" w:color="auto" w:fill="FFFFFF"/>
        </w:rPr>
      </w:pPr>
      <w:r>
        <w:rPr>
          <w:rFonts w:ascii="Arial" w:hAnsi="Arial" w:cs="Arial"/>
          <w:b/>
          <w:bCs/>
          <w:color w:val="000033"/>
          <w:sz w:val="20"/>
          <w:szCs w:val="20"/>
          <w:shd w:val="clear" w:color="auto" w:fill="FFFFFF"/>
        </w:rPr>
        <w:t xml:space="preserve">Response: We ran the analysis for differential methylation with coverage &gt;30 and permutation where at least 75% of CpG sites had coverage &gt;30 and results are shown below. As seen from the new figures below there is no change in the outcome of the analysis (no methylation change in stem vs non-stem tissues in young animals, ~5-6% changes in methylated CpG sites with aging in both stem and non-stem tissues, high concordance between aging changes in stem cells and those in non-stem cells; see table below). However, using a coverage &gt; 30 reduces the number of CpG sites </w:t>
      </w:r>
      <w:proofErr w:type="spellStart"/>
      <w:r>
        <w:rPr>
          <w:rFonts w:ascii="Arial" w:hAnsi="Arial" w:cs="Arial"/>
          <w:b/>
          <w:bCs/>
          <w:color w:val="000033"/>
          <w:sz w:val="20"/>
          <w:szCs w:val="20"/>
          <w:shd w:val="clear" w:color="auto" w:fill="FFFFFF"/>
        </w:rPr>
        <w:t>analyzed</w:t>
      </w:r>
      <w:proofErr w:type="spellEnd"/>
      <w:r>
        <w:rPr>
          <w:rFonts w:ascii="Arial" w:hAnsi="Arial" w:cs="Arial"/>
          <w:b/>
          <w:bCs/>
          <w:color w:val="000033"/>
          <w:sz w:val="20"/>
          <w:szCs w:val="20"/>
          <w:shd w:val="clear" w:color="auto" w:fill="FFFFFF"/>
        </w:rPr>
        <w:t xml:space="preserve"> from 125,077 to 70,547 resulting in a 43% reduction in the number of sites </w:t>
      </w:r>
      <w:proofErr w:type="spellStart"/>
      <w:r>
        <w:rPr>
          <w:rFonts w:ascii="Arial" w:hAnsi="Arial" w:cs="Arial"/>
          <w:b/>
          <w:bCs/>
          <w:color w:val="000033"/>
          <w:sz w:val="20"/>
          <w:szCs w:val="20"/>
          <w:shd w:val="clear" w:color="auto" w:fill="FFFFFF"/>
        </w:rPr>
        <w:t>analyzed</w:t>
      </w:r>
      <w:proofErr w:type="spellEnd"/>
      <w:r>
        <w:rPr>
          <w:rFonts w:ascii="Arial" w:hAnsi="Arial" w:cs="Arial"/>
          <w:b/>
          <w:bCs/>
          <w:color w:val="000033"/>
          <w:sz w:val="20"/>
          <w:szCs w:val="20"/>
          <w:shd w:val="clear" w:color="auto" w:fill="FFFFFF"/>
        </w:rPr>
        <w:t xml:space="preserve">. As a result, we prefer to keep the original analysis at 20 reads but provide </w:t>
      </w:r>
      <w:r>
        <w:rPr>
          <w:rFonts w:ascii="Arial" w:hAnsi="Arial" w:cs="Arial"/>
          <w:b/>
          <w:bCs/>
          <w:i/>
          <w:iCs/>
          <w:color w:val="000033"/>
          <w:sz w:val="20"/>
          <w:szCs w:val="20"/>
          <w:u w:val="single"/>
          <w:shd w:val="clear" w:color="auto" w:fill="FFFFFF"/>
        </w:rPr>
        <w:t>the analysis at 30 reads in the supplementary figure 2, and on lines 146-151.</w:t>
      </w:r>
    </w:p>
    <w:p w14:paraId="4BE6077F" w14:textId="77777777" w:rsidR="006F3AA8" w:rsidRDefault="006F3AA8" w:rsidP="006F3AA8">
      <w:pPr>
        <w:rPr>
          <w:rFonts w:ascii="Arial" w:hAnsi="Arial" w:cs="Arial"/>
          <w:color w:val="000033"/>
          <w:sz w:val="20"/>
          <w:szCs w:val="20"/>
          <w:shd w:val="clear" w:color="auto" w:fill="FFFFFF"/>
        </w:rPr>
      </w:pPr>
    </w:p>
    <w:p w14:paraId="52BA75BE" w14:textId="77777777" w:rsidR="006F3AA8" w:rsidRDefault="006F3AA8" w:rsidP="006F3AA8">
      <w:pPr>
        <w:rPr>
          <w:rFonts w:ascii="Arial" w:hAnsi="Arial" w:cs="Arial"/>
          <w:color w:val="000033"/>
          <w:sz w:val="20"/>
          <w:szCs w:val="20"/>
          <w:shd w:val="clear" w:color="auto" w:fill="FFFFFF"/>
        </w:rPr>
      </w:pPr>
    </w:p>
    <w:p w14:paraId="5643D55C" w14:textId="77777777" w:rsidR="006F3AA8" w:rsidRDefault="006F3AA8" w:rsidP="006F3AA8">
      <w:pPr>
        <w:keepNext/>
        <w:rPr>
          <w:rFonts w:ascii="Arial" w:hAnsi="Arial" w:cs="Arial"/>
          <w:sz w:val="20"/>
          <w:szCs w:val="20"/>
        </w:rPr>
      </w:pPr>
    </w:p>
    <w:p w14:paraId="035D1460" w14:textId="77777777" w:rsidR="006F3AA8" w:rsidRDefault="006F3AA8" w:rsidP="006F3AA8">
      <w:pPr>
        <w:pStyle w:val="Caption"/>
        <w:rPr>
          <w:rFonts w:ascii="Arial" w:hAnsi="Arial" w:cs="Arial"/>
          <w:sz w:val="20"/>
          <w:szCs w:val="20"/>
        </w:rPr>
      </w:pPr>
      <w:r>
        <w:rPr>
          <w:rFonts w:ascii="Arial" w:hAnsi="Arial" w:cs="Arial"/>
          <w:sz w:val="20"/>
          <w:szCs w:val="20"/>
        </w:rPr>
        <w:t>Supplementary figure 2: Analysis of stem vs non-stem cell aging at read coverage &gt;30</w:t>
      </w:r>
    </w:p>
    <w:p w14:paraId="24E35435" w14:textId="15A41113" w:rsidR="006F3AA8" w:rsidRDefault="006F3AA8" w:rsidP="006F3AA8">
      <w:pPr>
        <w:rPr>
          <w:rFonts w:ascii="Arial" w:hAnsi="Arial" w:cs="Arial"/>
          <w:sz w:val="20"/>
          <w:szCs w:val="20"/>
        </w:rPr>
      </w:pPr>
      <w:r>
        <w:rPr>
          <w:rFonts w:ascii="Arial" w:hAnsi="Arial" w:cs="Arial"/>
          <w:noProof/>
          <w:sz w:val="20"/>
          <w:szCs w:val="20"/>
        </w:rPr>
        <w:lastRenderedPageBreak/>
        <w:drawing>
          <wp:inline distT="0" distB="0" distL="0" distR="0" wp14:anchorId="43191098" wp14:editId="1887325E">
            <wp:extent cx="5731510" cy="2719070"/>
            <wp:effectExtent l="0" t="0" r="2540" b="508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gram&#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t="47963"/>
                    <a:stretch>
                      <a:fillRect/>
                    </a:stretch>
                  </pic:blipFill>
                  <pic:spPr bwMode="auto">
                    <a:xfrm>
                      <a:off x="0" y="0"/>
                      <a:ext cx="5731510" cy="2719070"/>
                    </a:xfrm>
                    <a:prstGeom prst="rect">
                      <a:avLst/>
                    </a:prstGeom>
                    <a:noFill/>
                    <a:ln>
                      <a:noFill/>
                    </a:ln>
                  </pic:spPr>
                </pic:pic>
              </a:graphicData>
            </a:graphic>
          </wp:inline>
        </w:drawing>
      </w:r>
    </w:p>
    <w:p w14:paraId="40224AF9" w14:textId="6AE91C32" w:rsidR="006F3AA8" w:rsidRDefault="006F3AA8" w:rsidP="006F3AA8">
      <w:pPr>
        <w:rPr>
          <w:rFonts w:ascii="Arial" w:hAnsi="Arial" w:cs="Arial"/>
          <w:sz w:val="20"/>
          <w:szCs w:val="20"/>
        </w:rPr>
      </w:pPr>
      <w:r>
        <w:rPr>
          <w:rFonts w:ascii="Arial" w:hAnsi="Arial" w:cs="Arial"/>
          <w:noProof/>
          <w:sz w:val="20"/>
          <w:szCs w:val="20"/>
        </w:rPr>
        <w:drawing>
          <wp:inline distT="0" distB="0" distL="0" distR="0" wp14:anchorId="339E6705" wp14:editId="26998752">
            <wp:extent cx="5731510" cy="163893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638935"/>
                    </a:xfrm>
                    <a:prstGeom prst="rect">
                      <a:avLst/>
                    </a:prstGeom>
                    <a:noFill/>
                    <a:ln>
                      <a:noFill/>
                    </a:ln>
                  </pic:spPr>
                </pic:pic>
              </a:graphicData>
            </a:graphic>
          </wp:inline>
        </w:drawing>
      </w:r>
    </w:p>
    <w:p w14:paraId="7EA30480" w14:textId="77777777" w:rsidR="006F3AA8" w:rsidRDefault="006F3AA8" w:rsidP="006F3AA8">
      <w:pPr>
        <w:rPr>
          <w:rFonts w:ascii="Arial" w:hAnsi="Arial" w:cs="Arial"/>
          <w:b/>
          <w:bCs/>
          <w:sz w:val="20"/>
          <w:szCs w:val="20"/>
        </w:rPr>
      </w:pPr>
      <w:r>
        <w:rPr>
          <w:rFonts w:ascii="Arial" w:hAnsi="Arial" w:cs="Arial"/>
          <w:b/>
          <w:bCs/>
          <w:sz w:val="20"/>
          <w:szCs w:val="20"/>
        </w:rPr>
        <w:t>Table comparing the change in results between coverage 20 and 30:</w:t>
      </w:r>
    </w:p>
    <w:p w14:paraId="4EF09EBB" w14:textId="77777777" w:rsidR="006F3AA8" w:rsidRDefault="006F3AA8" w:rsidP="006F3AA8">
      <w:pPr>
        <w:rPr>
          <w:rFonts w:ascii="Arial" w:hAnsi="Arial" w:cs="Arial"/>
          <w:sz w:val="20"/>
          <w:szCs w:val="20"/>
        </w:rPr>
      </w:pPr>
    </w:p>
    <w:tbl>
      <w:tblPr>
        <w:tblStyle w:val="TableGrid"/>
        <w:tblW w:w="9585" w:type="dxa"/>
        <w:tblInd w:w="0" w:type="dxa"/>
        <w:tblLayout w:type="fixed"/>
        <w:tblLook w:val="04A0" w:firstRow="1" w:lastRow="0" w:firstColumn="1" w:lastColumn="0" w:noHBand="0" w:noVBand="1"/>
      </w:tblPr>
      <w:tblGrid>
        <w:gridCol w:w="2808"/>
        <w:gridCol w:w="1710"/>
        <w:gridCol w:w="1635"/>
        <w:gridCol w:w="9"/>
        <w:gridCol w:w="1784"/>
        <w:gridCol w:w="1630"/>
        <w:gridCol w:w="9"/>
      </w:tblGrid>
      <w:tr w:rsidR="006F3AA8" w14:paraId="1C0BA728" w14:textId="77777777" w:rsidTr="006F3AA8">
        <w:tc>
          <w:tcPr>
            <w:tcW w:w="2809" w:type="dxa"/>
            <w:tcBorders>
              <w:top w:val="single" w:sz="4" w:space="0" w:color="auto"/>
              <w:left w:val="single" w:sz="4" w:space="0" w:color="auto"/>
              <w:bottom w:val="single" w:sz="4" w:space="0" w:color="auto"/>
              <w:right w:val="single" w:sz="4" w:space="0" w:color="auto"/>
            </w:tcBorders>
          </w:tcPr>
          <w:p w14:paraId="00064C12" w14:textId="77777777" w:rsidR="006F3AA8" w:rsidRDefault="006F3AA8">
            <w:pPr>
              <w:jc w:val="center"/>
              <w:rPr>
                <w:rFonts w:ascii="Arial" w:hAnsi="Arial" w:cs="Arial"/>
                <w:sz w:val="16"/>
                <w:szCs w:val="16"/>
              </w:rPr>
            </w:pPr>
          </w:p>
        </w:tc>
        <w:tc>
          <w:tcPr>
            <w:tcW w:w="3354" w:type="dxa"/>
            <w:gridSpan w:val="3"/>
            <w:tcBorders>
              <w:top w:val="single" w:sz="4" w:space="0" w:color="auto"/>
              <w:left w:val="single" w:sz="4" w:space="0" w:color="auto"/>
              <w:bottom w:val="single" w:sz="4" w:space="0" w:color="auto"/>
              <w:right w:val="single" w:sz="4" w:space="0" w:color="auto"/>
            </w:tcBorders>
            <w:hideMark/>
          </w:tcPr>
          <w:p w14:paraId="0CA103BE" w14:textId="77777777" w:rsidR="006F3AA8" w:rsidRDefault="006F3AA8">
            <w:pPr>
              <w:jc w:val="center"/>
              <w:rPr>
                <w:rFonts w:ascii="Arial" w:hAnsi="Arial" w:cs="Arial"/>
                <w:b/>
                <w:bCs/>
                <w:sz w:val="16"/>
                <w:szCs w:val="16"/>
              </w:rPr>
            </w:pPr>
            <w:r>
              <w:rPr>
                <w:rFonts w:ascii="Arial" w:hAnsi="Arial" w:cs="Arial"/>
                <w:b/>
                <w:bCs/>
                <w:sz w:val="16"/>
                <w:szCs w:val="16"/>
              </w:rPr>
              <w:t>Coverage 20</w:t>
            </w:r>
          </w:p>
        </w:tc>
        <w:tc>
          <w:tcPr>
            <w:tcW w:w="3423" w:type="dxa"/>
            <w:gridSpan w:val="3"/>
            <w:tcBorders>
              <w:top w:val="single" w:sz="4" w:space="0" w:color="auto"/>
              <w:left w:val="single" w:sz="4" w:space="0" w:color="auto"/>
              <w:bottom w:val="single" w:sz="4" w:space="0" w:color="auto"/>
              <w:right w:val="single" w:sz="4" w:space="0" w:color="auto"/>
            </w:tcBorders>
            <w:hideMark/>
          </w:tcPr>
          <w:p w14:paraId="18194228" w14:textId="77777777" w:rsidR="006F3AA8" w:rsidRDefault="006F3AA8">
            <w:pPr>
              <w:jc w:val="center"/>
              <w:rPr>
                <w:rFonts w:ascii="Arial" w:hAnsi="Arial" w:cs="Arial"/>
                <w:b/>
                <w:bCs/>
                <w:sz w:val="16"/>
                <w:szCs w:val="16"/>
              </w:rPr>
            </w:pPr>
            <w:r>
              <w:rPr>
                <w:rFonts w:ascii="Arial" w:hAnsi="Arial" w:cs="Arial"/>
                <w:b/>
                <w:bCs/>
                <w:sz w:val="16"/>
                <w:szCs w:val="16"/>
              </w:rPr>
              <w:t>Coverage 30</w:t>
            </w:r>
          </w:p>
        </w:tc>
      </w:tr>
      <w:tr w:rsidR="006F3AA8" w14:paraId="64E10E7C" w14:textId="77777777" w:rsidTr="006F3AA8">
        <w:trPr>
          <w:gridAfter w:val="1"/>
          <w:wAfter w:w="9" w:type="dxa"/>
        </w:trPr>
        <w:tc>
          <w:tcPr>
            <w:tcW w:w="2809" w:type="dxa"/>
            <w:tcBorders>
              <w:top w:val="single" w:sz="4" w:space="0" w:color="auto"/>
              <w:left w:val="single" w:sz="4" w:space="0" w:color="auto"/>
              <w:bottom w:val="single" w:sz="4" w:space="0" w:color="auto"/>
              <w:right w:val="single" w:sz="4" w:space="0" w:color="auto"/>
            </w:tcBorders>
          </w:tcPr>
          <w:p w14:paraId="06187AC7" w14:textId="77777777" w:rsidR="006F3AA8" w:rsidRDefault="006F3AA8">
            <w:pPr>
              <w:jc w:val="center"/>
              <w:rPr>
                <w:rFonts w:ascii="Arial" w:hAnsi="Arial" w:cs="Arial"/>
                <w:sz w:val="16"/>
                <w:szCs w:val="16"/>
              </w:rPr>
            </w:pPr>
          </w:p>
        </w:tc>
        <w:tc>
          <w:tcPr>
            <w:tcW w:w="1710" w:type="dxa"/>
            <w:tcBorders>
              <w:top w:val="single" w:sz="4" w:space="0" w:color="auto"/>
              <w:left w:val="single" w:sz="4" w:space="0" w:color="auto"/>
              <w:bottom w:val="single" w:sz="4" w:space="0" w:color="auto"/>
              <w:right w:val="single" w:sz="4" w:space="0" w:color="auto"/>
            </w:tcBorders>
            <w:hideMark/>
          </w:tcPr>
          <w:p w14:paraId="742ACC01" w14:textId="77777777" w:rsidR="006F3AA8" w:rsidRDefault="006F3AA8">
            <w:pPr>
              <w:jc w:val="center"/>
              <w:rPr>
                <w:rFonts w:ascii="Arial" w:hAnsi="Arial" w:cs="Arial"/>
                <w:b/>
                <w:bCs/>
                <w:sz w:val="16"/>
                <w:szCs w:val="16"/>
              </w:rPr>
            </w:pPr>
            <w:r>
              <w:rPr>
                <w:rFonts w:ascii="Arial" w:hAnsi="Arial" w:cs="Arial"/>
                <w:b/>
                <w:bCs/>
                <w:sz w:val="16"/>
                <w:szCs w:val="16"/>
              </w:rPr>
              <w:t>Hypermethylation</w:t>
            </w:r>
          </w:p>
        </w:tc>
        <w:tc>
          <w:tcPr>
            <w:tcW w:w="1635" w:type="dxa"/>
            <w:tcBorders>
              <w:top w:val="single" w:sz="4" w:space="0" w:color="auto"/>
              <w:left w:val="single" w:sz="4" w:space="0" w:color="auto"/>
              <w:bottom w:val="single" w:sz="4" w:space="0" w:color="auto"/>
              <w:right w:val="single" w:sz="4" w:space="0" w:color="auto"/>
            </w:tcBorders>
            <w:hideMark/>
          </w:tcPr>
          <w:p w14:paraId="28E1268B" w14:textId="77777777" w:rsidR="006F3AA8" w:rsidRDefault="006F3AA8">
            <w:pPr>
              <w:jc w:val="center"/>
              <w:rPr>
                <w:rFonts w:ascii="Arial" w:hAnsi="Arial" w:cs="Arial"/>
                <w:b/>
                <w:bCs/>
                <w:sz w:val="16"/>
                <w:szCs w:val="16"/>
              </w:rPr>
            </w:pPr>
            <w:r>
              <w:rPr>
                <w:rFonts w:ascii="Arial" w:hAnsi="Arial" w:cs="Arial"/>
                <w:b/>
                <w:bCs/>
                <w:sz w:val="16"/>
                <w:szCs w:val="16"/>
              </w:rPr>
              <w:t>Hypomethylation</w:t>
            </w:r>
          </w:p>
        </w:tc>
        <w:tc>
          <w:tcPr>
            <w:tcW w:w="1793" w:type="dxa"/>
            <w:gridSpan w:val="2"/>
            <w:tcBorders>
              <w:top w:val="single" w:sz="4" w:space="0" w:color="auto"/>
              <w:left w:val="single" w:sz="4" w:space="0" w:color="auto"/>
              <w:bottom w:val="single" w:sz="4" w:space="0" w:color="auto"/>
              <w:right w:val="single" w:sz="4" w:space="0" w:color="auto"/>
            </w:tcBorders>
            <w:hideMark/>
          </w:tcPr>
          <w:p w14:paraId="609076CA" w14:textId="77777777" w:rsidR="006F3AA8" w:rsidRDefault="006F3AA8">
            <w:pPr>
              <w:jc w:val="center"/>
              <w:rPr>
                <w:rFonts w:ascii="Arial" w:hAnsi="Arial" w:cs="Arial"/>
                <w:b/>
                <w:bCs/>
                <w:sz w:val="16"/>
                <w:szCs w:val="16"/>
              </w:rPr>
            </w:pPr>
            <w:r>
              <w:rPr>
                <w:rFonts w:ascii="Arial" w:hAnsi="Arial" w:cs="Arial"/>
                <w:b/>
                <w:bCs/>
                <w:sz w:val="16"/>
                <w:szCs w:val="16"/>
              </w:rPr>
              <w:t>Hypermethylation</w:t>
            </w:r>
          </w:p>
        </w:tc>
        <w:tc>
          <w:tcPr>
            <w:tcW w:w="1630" w:type="dxa"/>
            <w:tcBorders>
              <w:top w:val="single" w:sz="4" w:space="0" w:color="auto"/>
              <w:left w:val="single" w:sz="4" w:space="0" w:color="auto"/>
              <w:bottom w:val="single" w:sz="4" w:space="0" w:color="auto"/>
              <w:right w:val="single" w:sz="4" w:space="0" w:color="auto"/>
            </w:tcBorders>
            <w:hideMark/>
          </w:tcPr>
          <w:p w14:paraId="212A0A7D" w14:textId="77777777" w:rsidR="006F3AA8" w:rsidRDefault="006F3AA8">
            <w:pPr>
              <w:jc w:val="center"/>
              <w:rPr>
                <w:rFonts w:ascii="Arial" w:hAnsi="Arial" w:cs="Arial"/>
                <w:b/>
                <w:bCs/>
                <w:sz w:val="16"/>
                <w:szCs w:val="16"/>
              </w:rPr>
            </w:pPr>
            <w:r>
              <w:rPr>
                <w:rFonts w:ascii="Arial" w:hAnsi="Arial" w:cs="Arial"/>
                <w:b/>
                <w:bCs/>
                <w:sz w:val="16"/>
                <w:szCs w:val="16"/>
              </w:rPr>
              <w:t>Hypomethylation</w:t>
            </w:r>
          </w:p>
        </w:tc>
      </w:tr>
      <w:tr w:rsidR="006F3AA8" w14:paraId="2ADD1979" w14:textId="77777777" w:rsidTr="006F3AA8">
        <w:trPr>
          <w:gridAfter w:val="1"/>
          <w:wAfter w:w="9" w:type="dxa"/>
        </w:trPr>
        <w:tc>
          <w:tcPr>
            <w:tcW w:w="2809" w:type="dxa"/>
            <w:tcBorders>
              <w:top w:val="single" w:sz="4" w:space="0" w:color="auto"/>
              <w:left w:val="single" w:sz="4" w:space="0" w:color="auto"/>
              <w:bottom w:val="single" w:sz="4" w:space="0" w:color="auto"/>
              <w:right w:val="single" w:sz="4" w:space="0" w:color="auto"/>
            </w:tcBorders>
            <w:hideMark/>
          </w:tcPr>
          <w:p w14:paraId="28F5AA47" w14:textId="77777777" w:rsidR="006F3AA8" w:rsidRDefault="006F3AA8">
            <w:pPr>
              <w:jc w:val="center"/>
              <w:rPr>
                <w:rFonts w:ascii="Arial" w:hAnsi="Arial" w:cs="Arial"/>
                <w:b/>
                <w:bCs/>
                <w:sz w:val="16"/>
                <w:szCs w:val="16"/>
              </w:rPr>
            </w:pPr>
            <w:r>
              <w:rPr>
                <w:rFonts w:ascii="Arial" w:hAnsi="Arial" w:cs="Arial"/>
                <w:b/>
                <w:bCs/>
                <w:sz w:val="16"/>
                <w:szCs w:val="16"/>
              </w:rPr>
              <w:t xml:space="preserve">Stem vs </w:t>
            </w:r>
            <w:proofErr w:type="gramStart"/>
            <w:r>
              <w:rPr>
                <w:rFonts w:ascii="Arial" w:hAnsi="Arial" w:cs="Arial"/>
                <w:b/>
                <w:bCs/>
                <w:sz w:val="16"/>
                <w:szCs w:val="16"/>
              </w:rPr>
              <w:t>Non-stem</w:t>
            </w:r>
            <w:proofErr w:type="gramEnd"/>
            <w:r>
              <w:rPr>
                <w:rFonts w:ascii="Arial" w:hAnsi="Arial" w:cs="Arial"/>
                <w:b/>
                <w:bCs/>
                <w:sz w:val="16"/>
                <w:szCs w:val="16"/>
              </w:rPr>
              <w:t xml:space="preserve"> (4 month)</w:t>
            </w:r>
          </w:p>
        </w:tc>
        <w:tc>
          <w:tcPr>
            <w:tcW w:w="1710" w:type="dxa"/>
            <w:tcBorders>
              <w:top w:val="single" w:sz="4" w:space="0" w:color="auto"/>
              <w:left w:val="single" w:sz="4" w:space="0" w:color="auto"/>
              <w:bottom w:val="single" w:sz="4" w:space="0" w:color="auto"/>
              <w:right w:val="single" w:sz="4" w:space="0" w:color="auto"/>
            </w:tcBorders>
            <w:hideMark/>
          </w:tcPr>
          <w:p w14:paraId="7392299A" w14:textId="77777777" w:rsidR="006F3AA8" w:rsidRDefault="006F3AA8">
            <w:pPr>
              <w:jc w:val="center"/>
              <w:rPr>
                <w:rFonts w:ascii="Arial" w:hAnsi="Arial" w:cs="Arial"/>
                <w:sz w:val="16"/>
                <w:szCs w:val="16"/>
              </w:rPr>
            </w:pPr>
            <w:r>
              <w:rPr>
                <w:rFonts w:ascii="Arial" w:hAnsi="Arial" w:cs="Arial"/>
                <w:sz w:val="16"/>
                <w:szCs w:val="16"/>
              </w:rPr>
              <w:t>0%</w:t>
            </w:r>
          </w:p>
        </w:tc>
        <w:tc>
          <w:tcPr>
            <w:tcW w:w="1635" w:type="dxa"/>
            <w:tcBorders>
              <w:top w:val="single" w:sz="4" w:space="0" w:color="auto"/>
              <w:left w:val="single" w:sz="4" w:space="0" w:color="auto"/>
              <w:bottom w:val="single" w:sz="4" w:space="0" w:color="auto"/>
              <w:right w:val="single" w:sz="4" w:space="0" w:color="auto"/>
            </w:tcBorders>
            <w:hideMark/>
          </w:tcPr>
          <w:p w14:paraId="4952E18C" w14:textId="77777777" w:rsidR="006F3AA8" w:rsidRDefault="006F3AA8">
            <w:pPr>
              <w:jc w:val="center"/>
              <w:rPr>
                <w:rFonts w:ascii="Arial" w:hAnsi="Arial" w:cs="Arial"/>
                <w:sz w:val="16"/>
                <w:szCs w:val="16"/>
              </w:rPr>
            </w:pPr>
            <w:r>
              <w:rPr>
                <w:rFonts w:ascii="Arial" w:hAnsi="Arial" w:cs="Arial"/>
                <w:sz w:val="16"/>
                <w:szCs w:val="16"/>
              </w:rPr>
              <w:t>0%</w:t>
            </w:r>
          </w:p>
        </w:tc>
        <w:tc>
          <w:tcPr>
            <w:tcW w:w="1793" w:type="dxa"/>
            <w:gridSpan w:val="2"/>
            <w:tcBorders>
              <w:top w:val="single" w:sz="4" w:space="0" w:color="auto"/>
              <w:left w:val="single" w:sz="4" w:space="0" w:color="auto"/>
              <w:bottom w:val="single" w:sz="4" w:space="0" w:color="auto"/>
              <w:right w:val="single" w:sz="4" w:space="0" w:color="auto"/>
            </w:tcBorders>
            <w:hideMark/>
          </w:tcPr>
          <w:p w14:paraId="0BA38138" w14:textId="77777777" w:rsidR="006F3AA8" w:rsidRDefault="006F3AA8">
            <w:pPr>
              <w:jc w:val="center"/>
              <w:rPr>
                <w:rFonts w:ascii="Arial" w:hAnsi="Arial" w:cs="Arial"/>
                <w:sz w:val="16"/>
                <w:szCs w:val="16"/>
              </w:rPr>
            </w:pPr>
            <w:r>
              <w:rPr>
                <w:rFonts w:ascii="Arial" w:hAnsi="Arial" w:cs="Arial"/>
                <w:sz w:val="16"/>
                <w:szCs w:val="16"/>
              </w:rPr>
              <w:t>0%</w:t>
            </w:r>
          </w:p>
        </w:tc>
        <w:tc>
          <w:tcPr>
            <w:tcW w:w="1630" w:type="dxa"/>
            <w:tcBorders>
              <w:top w:val="single" w:sz="4" w:space="0" w:color="auto"/>
              <w:left w:val="single" w:sz="4" w:space="0" w:color="auto"/>
              <w:bottom w:val="single" w:sz="4" w:space="0" w:color="auto"/>
              <w:right w:val="single" w:sz="4" w:space="0" w:color="auto"/>
            </w:tcBorders>
            <w:hideMark/>
          </w:tcPr>
          <w:p w14:paraId="1AA0EE27" w14:textId="77777777" w:rsidR="006F3AA8" w:rsidRDefault="006F3AA8">
            <w:pPr>
              <w:jc w:val="center"/>
              <w:rPr>
                <w:rFonts w:ascii="Arial" w:hAnsi="Arial" w:cs="Arial"/>
                <w:sz w:val="16"/>
                <w:szCs w:val="16"/>
              </w:rPr>
            </w:pPr>
            <w:r>
              <w:rPr>
                <w:rFonts w:ascii="Arial" w:hAnsi="Arial" w:cs="Arial"/>
                <w:sz w:val="16"/>
                <w:szCs w:val="16"/>
              </w:rPr>
              <w:t>0%</w:t>
            </w:r>
          </w:p>
        </w:tc>
      </w:tr>
      <w:tr w:rsidR="006F3AA8" w14:paraId="2A8A42AE" w14:textId="77777777" w:rsidTr="006F3AA8">
        <w:trPr>
          <w:gridAfter w:val="1"/>
          <w:wAfter w:w="9" w:type="dxa"/>
        </w:trPr>
        <w:tc>
          <w:tcPr>
            <w:tcW w:w="2809" w:type="dxa"/>
            <w:tcBorders>
              <w:top w:val="single" w:sz="4" w:space="0" w:color="auto"/>
              <w:left w:val="single" w:sz="4" w:space="0" w:color="auto"/>
              <w:bottom w:val="single" w:sz="4" w:space="0" w:color="auto"/>
              <w:right w:val="single" w:sz="4" w:space="0" w:color="auto"/>
            </w:tcBorders>
            <w:hideMark/>
          </w:tcPr>
          <w:p w14:paraId="7F26FF7C" w14:textId="77777777" w:rsidR="006F3AA8" w:rsidRDefault="006F3AA8">
            <w:pPr>
              <w:jc w:val="center"/>
              <w:rPr>
                <w:rFonts w:ascii="Arial" w:hAnsi="Arial" w:cs="Arial"/>
                <w:b/>
                <w:bCs/>
                <w:sz w:val="16"/>
                <w:szCs w:val="16"/>
              </w:rPr>
            </w:pPr>
            <w:r>
              <w:rPr>
                <w:rFonts w:ascii="Arial" w:hAnsi="Arial" w:cs="Arial"/>
                <w:b/>
                <w:bCs/>
                <w:sz w:val="16"/>
                <w:szCs w:val="16"/>
              </w:rPr>
              <w:t xml:space="preserve">Stem vs </w:t>
            </w:r>
            <w:proofErr w:type="gramStart"/>
            <w:r>
              <w:rPr>
                <w:rFonts w:ascii="Arial" w:hAnsi="Arial" w:cs="Arial"/>
                <w:b/>
                <w:bCs/>
                <w:sz w:val="16"/>
                <w:szCs w:val="16"/>
              </w:rPr>
              <w:t>Non-stem</w:t>
            </w:r>
            <w:proofErr w:type="gramEnd"/>
            <w:r>
              <w:rPr>
                <w:rFonts w:ascii="Arial" w:hAnsi="Arial" w:cs="Arial"/>
                <w:b/>
                <w:bCs/>
                <w:sz w:val="16"/>
                <w:szCs w:val="16"/>
              </w:rPr>
              <w:t xml:space="preserve"> (4 month)</w:t>
            </w:r>
          </w:p>
        </w:tc>
        <w:tc>
          <w:tcPr>
            <w:tcW w:w="1710" w:type="dxa"/>
            <w:tcBorders>
              <w:top w:val="single" w:sz="4" w:space="0" w:color="auto"/>
              <w:left w:val="single" w:sz="4" w:space="0" w:color="auto"/>
              <w:bottom w:val="single" w:sz="4" w:space="0" w:color="auto"/>
              <w:right w:val="single" w:sz="4" w:space="0" w:color="auto"/>
            </w:tcBorders>
            <w:hideMark/>
          </w:tcPr>
          <w:p w14:paraId="162431A9" w14:textId="77777777" w:rsidR="006F3AA8" w:rsidRDefault="006F3AA8">
            <w:pPr>
              <w:jc w:val="center"/>
              <w:rPr>
                <w:rFonts w:ascii="Arial" w:hAnsi="Arial" w:cs="Arial"/>
                <w:sz w:val="16"/>
                <w:szCs w:val="16"/>
              </w:rPr>
            </w:pPr>
            <w:r>
              <w:rPr>
                <w:rFonts w:ascii="Arial" w:hAnsi="Arial" w:cs="Arial"/>
                <w:sz w:val="16"/>
                <w:szCs w:val="16"/>
              </w:rPr>
              <w:t>0.2%</w:t>
            </w:r>
          </w:p>
        </w:tc>
        <w:tc>
          <w:tcPr>
            <w:tcW w:w="1635" w:type="dxa"/>
            <w:tcBorders>
              <w:top w:val="single" w:sz="4" w:space="0" w:color="auto"/>
              <w:left w:val="single" w:sz="4" w:space="0" w:color="auto"/>
              <w:bottom w:val="single" w:sz="4" w:space="0" w:color="auto"/>
              <w:right w:val="single" w:sz="4" w:space="0" w:color="auto"/>
            </w:tcBorders>
            <w:hideMark/>
          </w:tcPr>
          <w:p w14:paraId="0591CC62" w14:textId="77777777" w:rsidR="006F3AA8" w:rsidRDefault="006F3AA8">
            <w:pPr>
              <w:jc w:val="center"/>
              <w:rPr>
                <w:rFonts w:ascii="Arial" w:hAnsi="Arial" w:cs="Arial"/>
                <w:sz w:val="16"/>
                <w:szCs w:val="16"/>
              </w:rPr>
            </w:pPr>
            <w:r>
              <w:rPr>
                <w:rFonts w:ascii="Arial" w:hAnsi="Arial" w:cs="Arial"/>
                <w:sz w:val="16"/>
                <w:szCs w:val="16"/>
              </w:rPr>
              <w:t>0.2%</w:t>
            </w:r>
          </w:p>
        </w:tc>
        <w:tc>
          <w:tcPr>
            <w:tcW w:w="1793" w:type="dxa"/>
            <w:gridSpan w:val="2"/>
            <w:tcBorders>
              <w:top w:val="single" w:sz="4" w:space="0" w:color="auto"/>
              <w:left w:val="single" w:sz="4" w:space="0" w:color="auto"/>
              <w:bottom w:val="single" w:sz="4" w:space="0" w:color="auto"/>
              <w:right w:val="single" w:sz="4" w:space="0" w:color="auto"/>
            </w:tcBorders>
            <w:hideMark/>
          </w:tcPr>
          <w:p w14:paraId="455A709E" w14:textId="77777777" w:rsidR="006F3AA8" w:rsidRDefault="006F3AA8">
            <w:pPr>
              <w:jc w:val="center"/>
              <w:rPr>
                <w:rFonts w:ascii="Arial" w:hAnsi="Arial" w:cs="Arial"/>
                <w:sz w:val="16"/>
                <w:szCs w:val="16"/>
              </w:rPr>
            </w:pPr>
            <w:r>
              <w:rPr>
                <w:rFonts w:ascii="Arial" w:hAnsi="Arial" w:cs="Arial"/>
                <w:sz w:val="16"/>
                <w:szCs w:val="16"/>
              </w:rPr>
              <w:t>0.2%</w:t>
            </w:r>
          </w:p>
        </w:tc>
        <w:tc>
          <w:tcPr>
            <w:tcW w:w="1630" w:type="dxa"/>
            <w:tcBorders>
              <w:top w:val="single" w:sz="4" w:space="0" w:color="auto"/>
              <w:left w:val="single" w:sz="4" w:space="0" w:color="auto"/>
              <w:bottom w:val="single" w:sz="4" w:space="0" w:color="auto"/>
              <w:right w:val="single" w:sz="4" w:space="0" w:color="auto"/>
            </w:tcBorders>
            <w:hideMark/>
          </w:tcPr>
          <w:p w14:paraId="399F2CE6" w14:textId="77777777" w:rsidR="006F3AA8" w:rsidRDefault="006F3AA8">
            <w:pPr>
              <w:jc w:val="center"/>
              <w:rPr>
                <w:rFonts w:ascii="Arial" w:hAnsi="Arial" w:cs="Arial"/>
                <w:sz w:val="16"/>
                <w:szCs w:val="16"/>
              </w:rPr>
            </w:pPr>
            <w:r>
              <w:rPr>
                <w:rFonts w:ascii="Arial" w:hAnsi="Arial" w:cs="Arial"/>
                <w:sz w:val="16"/>
                <w:szCs w:val="16"/>
              </w:rPr>
              <w:t>0.2%</w:t>
            </w:r>
          </w:p>
        </w:tc>
      </w:tr>
      <w:tr w:rsidR="006F3AA8" w14:paraId="115EBAEA" w14:textId="77777777" w:rsidTr="006F3AA8">
        <w:trPr>
          <w:gridAfter w:val="1"/>
          <w:wAfter w:w="9" w:type="dxa"/>
        </w:trPr>
        <w:tc>
          <w:tcPr>
            <w:tcW w:w="2809" w:type="dxa"/>
            <w:tcBorders>
              <w:top w:val="single" w:sz="4" w:space="0" w:color="auto"/>
              <w:left w:val="single" w:sz="4" w:space="0" w:color="auto"/>
              <w:bottom w:val="single" w:sz="4" w:space="0" w:color="auto"/>
              <w:right w:val="single" w:sz="4" w:space="0" w:color="auto"/>
            </w:tcBorders>
            <w:hideMark/>
          </w:tcPr>
          <w:p w14:paraId="152CDFDC" w14:textId="77777777" w:rsidR="006F3AA8" w:rsidRDefault="006F3AA8">
            <w:pPr>
              <w:jc w:val="center"/>
              <w:rPr>
                <w:rFonts w:ascii="Arial" w:hAnsi="Arial" w:cs="Arial"/>
                <w:b/>
                <w:bCs/>
                <w:sz w:val="16"/>
                <w:szCs w:val="16"/>
              </w:rPr>
            </w:pPr>
            <w:r>
              <w:rPr>
                <w:rFonts w:ascii="Arial" w:hAnsi="Arial" w:cs="Arial"/>
                <w:b/>
                <w:bCs/>
                <w:sz w:val="16"/>
                <w:szCs w:val="16"/>
              </w:rPr>
              <w:t>24-month vs 4-month (stem cells)</w:t>
            </w:r>
          </w:p>
        </w:tc>
        <w:tc>
          <w:tcPr>
            <w:tcW w:w="1710" w:type="dxa"/>
            <w:tcBorders>
              <w:top w:val="single" w:sz="4" w:space="0" w:color="auto"/>
              <w:left w:val="single" w:sz="4" w:space="0" w:color="auto"/>
              <w:bottom w:val="single" w:sz="4" w:space="0" w:color="auto"/>
              <w:right w:val="single" w:sz="4" w:space="0" w:color="auto"/>
            </w:tcBorders>
            <w:hideMark/>
          </w:tcPr>
          <w:p w14:paraId="7594BBCF" w14:textId="77777777" w:rsidR="006F3AA8" w:rsidRDefault="006F3AA8">
            <w:pPr>
              <w:jc w:val="center"/>
              <w:rPr>
                <w:rFonts w:ascii="Arial" w:hAnsi="Arial" w:cs="Arial"/>
                <w:sz w:val="16"/>
                <w:szCs w:val="16"/>
              </w:rPr>
            </w:pPr>
            <w:r>
              <w:rPr>
                <w:rFonts w:ascii="Arial" w:hAnsi="Arial" w:cs="Arial"/>
                <w:sz w:val="16"/>
                <w:szCs w:val="16"/>
              </w:rPr>
              <w:t>3%</w:t>
            </w:r>
          </w:p>
        </w:tc>
        <w:tc>
          <w:tcPr>
            <w:tcW w:w="1635" w:type="dxa"/>
            <w:tcBorders>
              <w:top w:val="single" w:sz="4" w:space="0" w:color="auto"/>
              <w:left w:val="single" w:sz="4" w:space="0" w:color="auto"/>
              <w:bottom w:val="single" w:sz="4" w:space="0" w:color="auto"/>
              <w:right w:val="single" w:sz="4" w:space="0" w:color="auto"/>
            </w:tcBorders>
            <w:hideMark/>
          </w:tcPr>
          <w:p w14:paraId="65F5D993" w14:textId="77777777" w:rsidR="006F3AA8" w:rsidRDefault="006F3AA8">
            <w:pPr>
              <w:jc w:val="center"/>
              <w:rPr>
                <w:rFonts w:ascii="Arial" w:hAnsi="Arial" w:cs="Arial"/>
                <w:sz w:val="16"/>
                <w:szCs w:val="16"/>
              </w:rPr>
            </w:pPr>
            <w:r>
              <w:rPr>
                <w:rFonts w:ascii="Arial" w:hAnsi="Arial" w:cs="Arial"/>
                <w:sz w:val="16"/>
                <w:szCs w:val="16"/>
              </w:rPr>
              <w:t>1.1%</w:t>
            </w:r>
          </w:p>
        </w:tc>
        <w:tc>
          <w:tcPr>
            <w:tcW w:w="1793" w:type="dxa"/>
            <w:gridSpan w:val="2"/>
            <w:tcBorders>
              <w:top w:val="single" w:sz="4" w:space="0" w:color="auto"/>
              <w:left w:val="single" w:sz="4" w:space="0" w:color="auto"/>
              <w:bottom w:val="single" w:sz="4" w:space="0" w:color="auto"/>
              <w:right w:val="single" w:sz="4" w:space="0" w:color="auto"/>
            </w:tcBorders>
            <w:hideMark/>
          </w:tcPr>
          <w:p w14:paraId="23A8D377" w14:textId="77777777" w:rsidR="006F3AA8" w:rsidRDefault="006F3AA8">
            <w:pPr>
              <w:jc w:val="center"/>
              <w:rPr>
                <w:rFonts w:ascii="Arial" w:hAnsi="Arial" w:cs="Arial"/>
                <w:sz w:val="16"/>
                <w:szCs w:val="16"/>
              </w:rPr>
            </w:pPr>
            <w:r>
              <w:rPr>
                <w:rFonts w:ascii="Arial" w:hAnsi="Arial" w:cs="Arial"/>
                <w:sz w:val="16"/>
                <w:szCs w:val="16"/>
              </w:rPr>
              <w:t>4.3%</w:t>
            </w:r>
          </w:p>
        </w:tc>
        <w:tc>
          <w:tcPr>
            <w:tcW w:w="1630" w:type="dxa"/>
            <w:tcBorders>
              <w:top w:val="single" w:sz="4" w:space="0" w:color="auto"/>
              <w:left w:val="single" w:sz="4" w:space="0" w:color="auto"/>
              <w:bottom w:val="single" w:sz="4" w:space="0" w:color="auto"/>
              <w:right w:val="single" w:sz="4" w:space="0" w:color="auto"/>
            </w:tcBorders>
            <w:hideMark/>
          </w:tcPr>
          <w:p w14:paraId="1EC547C3" w14:textId="77777777" w:rsidR="006F3AA8" w:rsidRDefault="006F3AA8">
            <w:pPr>
              <w:jc w:val="center"/>
              <w:rPr>
                <w:rFonts w:ascii="Arial" w:hAnsi="Arial" w:cs="Arial"/>
                <w:sz w:val="16"/>
                <w:szCs w:val="16"/>
              </w:rPr>
            </w:pPr>
            <w:r>
              <w:rPr>
                <w:rFonts w:ascii="Arial" w:hAnsi="Arial" w:cs="Arial"/>
                <w:sz w:val="16"/>
                <w:szCs w:val="16"/>
              </w:rPr>
              <w:t>2%</w:t>
            </w:r>
          </w:p>
        </w:tc>
      </w:tr>
      <w:tr w:rsidR="006F3AA8" w14:paraId="219080AA" w14:textId="77777777" w:rsidTr="006F3AA8">
        <w:trPr>
          <w:gridAfter w:val="1"/>
          <w:wAfter w:w="9" w:type="dxa"/>
        </w:trPr>
        <w:tc>
          <w:tcPr>
            <w:tcW w:w="2809" w:type="dxa"/>
            <w:tcBorders>
              <w:top w:val="single" w:sz="4" w:space="0" w:color="auto"/>
              <w:left w:val="single" w:sz="4" w:space="0" w:color="auto"/>
              <w:bottom w:val="single" w:sz="4" w:space="0" w:color="auto"/>
              <w:right w:val="single" w:sz="4" w:space="0" w:color="auto"/>
            </w:tcBorders>
            <w:hideMark/>
          </w:tcPr>
          <w:p w14:paraId="7A3569E3" w14:textId="77777777" w:rsidR="006F3AA8" w:rsidRDefault="006F3AA8">
            <w:pPr>
              <w:jc w:val="center"/>
              <w:rPr>
                <w:rFonts w:ascii="Arial" w:hAnsi="Arial" w:cs="Arial"/>
                <w:b/>
                <w:bCs/>
                <w:sz w:val="16"/>
                <w:szCs w:val="16"/>
              </w:rPr>
            </w:pPr>
            <w:r>
              <w:rPr>
                <w:rFonts w:ascii="Arial" w:hAnsi="Arial" w:cs="Arial"/>
                <w:b/>
                <w:bCs/>
                <w:sz w:val="16"/>
                <w:szCs w:val="16"/>
              </w:rPr>
              <w:t>24-month vs 4-month (</w:t>
            </w:r>
            <w:proofErr w:type="gramStart"/>
            <w:r>
              <w:rPr>
                <w:rFonts w:ascii="Arial" w:hAnsi="Arial" w:cs="Arial"/>
                <w:b/>
                <w:bCs/>
                <w:sz w:val="16"/>
                <w:szCs w:val="16"/>
              </w:rPr>
              <w:t>Non-stem</w:t>
            </w:r>
            <w:proofErr w:type="gramEnd"/>
            <w:r>
              <w:rPr>
                <w:rFonts w:ascii="Arial" w:hAnsi="Arial" w:cs="Arial"/>
                <w:b/>
                <w:bCs/>
                <w:sz w:val="16"/>
                <w:szCs w:val="16"/>
              </w:rPr>
              <w:t xml:space="preserve"> cells)</w:t>
            </w:r>
          </w:p>
        </w:tc>
        <w:tc>
          <w:tcPr>
            <w:tcW w:w="1710" w:type="dxa"/>
            <w:tcBorders>
              <w:top w:val="single" w:sz="4" w:space="0" w:color="auto"/>
              <w:left w:val="single" w:sz="4" w:space="0" w:color="auto"/>
              <w:bottom w:val="single" w:sz="4" w:space="0" w:color="auto"/>
              <w:right w:val="single" w:sz="4" w:space="0" w:color="auto"/>
            </w:tcBorders>
            <w:hideMark/>
          </w:tcPr>
          <w:p w14:paraId="6E2C2339" w14:textId="77777777" w:rsidR="006F3AA8" w:rsidRDefault="006F3AA8">
            <w:pPr>
              <w:jc w:val="center"/>
              <w:rPr>
                <w:rFonts w:ascii="Arial" w:hAnsi="Arial" w:cs="Arial"/>
                <w:sz w:val="16"/>
                <w:szCs w:val="16"/>
              </w:rPr>
            </w:pPr>
            <w:r>
              <w:rPr>
                <w:rFonts w:ascii="Arial" w:hAnsi="Arial" w:cs="Arial"/>
                <w:sz w:val="16"/>
                <w:szCs w:val="16"/>
              </w:rPr>
              <w:t>2.8%</w:t>
            </w:r>
          </w:p>
        </w:tc>
        <w:tc>
          <w:tcPr>
            <w:tcW w:w="1635" w:type="dxa"/>
            <w:tcBorders>
              <w:top w:val="single" w:sz="4" w:space="0" w:color="auto"/>
              <w:left w:val="single" w:sz="4" w:space="0" w:color="auto"/>
              <w:bottom w:val="single" w:sz="4" w:space="0" w:color="auto"/>
              <w:right w:val="single" w:sz="4" w:space="0" w:color="auto"/>
            </w:tcBorders>
            <w:hideMark/>
          </w:tcPr>
          <w:p w14:paraId="2E5021FE" w14:textId="77777777" w:rsidR="006F3AA8" w:rsidRDefault="006F3AA8">
            <w:pPr>
              <w:jc w:val="center"/>
              <w:rPr>
                <w:rFonts w:ascii="Arial" w:hAnsi="Arial" w:cs="Arial"/>
                <w:sz w:val="16"/>
                <w:szCs w:val="16"/>
              </w:rPr>
            </w:pPr>
            <w:r>
              <w:rPr>
                <w:rFonts w:ascii="Arial" w:hAnsi="Arial" w:cs="Arial"/>
                <w:sz w:val="16"/>
                <w:szCs w:val="16"/>
              </w:rPr>
              <w:t>0.9%</w:t>
            </w:r>
          </w:p>
        </w:tc>
        <w:tc>
          <w:tcPr>
            <w:tcW w:w="1793" w:type="dxa"/>
            <w:gridSpan w:val="2"/>
            <w:tcBorders>
              <w:top w:val="single" w:sz="4" w:space="0" w:color="auto"/>
              <w:left w:val="single" w:sz="4" w:space="0" w:color="auto"/>
              <w:bottom w:val="single" w:sz="4" w:space="0" w:color="auto"/>
              <w:right w:val="single" w:sz="4" w:space="0" w:color="auto"/>
            </w:tcBorders>
            <w:hideMark/>
          </w:tcPr>
          <w:p w14:paraId="5334D07C" w14:textId="77777777" w:rsidR="006F3AA8" w:rsidRDefault="006F3AA8">
            <w:pPr>
              <w:jc w:val="center"/>
              <w:rPr>
                <w:rFonts w:ascii="Arial" w:hAnsi="Arial" w:cs="Arial"/>
                <w:sz w:val="16"/>
                <w:szCs w:val="16"/>
              </w:rPr>
            </w:pPr>
            <w:r>
              <w:rPr>
                <w:rFonts w:ascii="Arial" w:hAnsi="Arial" w:cs="Arial"/>
                <w:sz w:val="16"/>
                <w:szCs w:val="16"/>
              </w:rPr>
              <w:t>3.6%</w:t>
            </w:r>
          </w:p>
        </w:tc>
        <w:tc>
          <w:tcPr>
            <w:tcW w:w="1630" w:type="dxa"/>
            <w:tcBorders>
              <w:top w:val="single" w:sz="4" w:space="0" w:color="auto"/>
              <w:left w:val="single" w:sz="4" w:space="0" w:color="auto"/>
              <w:bottom w:val="single" w:sz="4" w:space="0" w:color="auto"/>
              <w:right w:val="single" w:sz="4" w:space="0" w:color="auto"/>
            </w:tcBorders>
            <w:hideMark/>
          </w:tcPr>
          <w:p w14:paraId="2C2EFC44" w14:textId="77777777" w:rsidR="006F3AA8" w:rsidRDefault="006F3AA8">
            <w:pPr>
              <w:jc w:val="center"/>
              <w:rPr>
                <w:rFonts w:ascii="Arial" w:hAnsi="Arial" w:cs="Arial"/>
                <w:sz w:val="16"/>
                <w:szCs w:val="16"/>
              </w:rPr>
            </w:pPr>
            <w:r>
              <w:rPr>
                <w:rFonts w:ascii="Arial" w:hAnsi="Arial" w:cs="Arial"/>
                <w:sz w:val="16"/>
                <w:szCs w:val="16"/>
              </w:rPr>
              <w:t>1.4%</w:t>
            </w:r>
          </w:p>
        </w:tc>
      </w:tr>
    </w:tbl>
    <w:p w14:paraId="3FA4C9EE" w14:textId="77777777" w:rsidR="006F3AA8" w:rsidRDefault="006F3AA8" w:rsidP="006F3AA8">
      <w:pPr>
        <w:jc w:val="center"/>
        <w:rPr>
          <w:rFonts w:ascii="Arial" w:eastAsia="Times New Roman" w:hAnsi="Arial" w:cs="Arial"/>
          <w:sz w:val="20"/>
          <w:szCs w:val="20"/>
          <w:lang w:val="en-US"/>
        </w:rPr>
      </w:pPr>
    </w:p>
    <w:tbl>
      <w:tblPr>
        <w:tblStyle w:val="TableGrid"/>
        <w:tblW w:w="0" w:type="auto"/>
        <w:tblInd w:w="0" w:type="dxa"/>
        <w:tblLook w:val="04A0" w:firstRow="1" w:lastRow="0" w:firstColumn="1" w:lastColumn="0" w:noHBand="0" w:noVBand="1"/>
      </w:tblPr>
      <w:tblGrid>
        <w:gridCol w:w="2994"/>
        <w:gridCol w:w="3011"/>
        <w:gridCol w:w="3011"/>
      </w:tblGrid>
      <w:tr w:rsidR="006F3AA8" w14:paraId="279B1702" w14:textId="77777777" w:rsidTr="006F3AA8">
        <w:tc>
          <w:tcPr>
            <w:tcW w:w="3116" w:type="dxa"/>
            <w:tcBorders>
              <w:top w:val="single" w:sz="4" w:space="0" w:color="auto"/>
              <w:left w:val="single" w:sz="4" w:space="0" w:color="auto"/>
              <w:bottom w:val="single" w:sz="4" w:space="0" w:color="auto"/>
              <w:right w:val="single" w:sz="4" w:space="0" w:color="auto"/>
            </w:tcBorders>
          </w:tcPr>
          <w:p w14:paraId="2FE396F0" w14:textId="77777777" w:rsidR="006F3AA8" w:rsidRDefault="006F3AA8">
            <w:pPr>
              <w:jc w:val="center"/>
              <w:rPr>
                <w:rFonts w:ascii="Arial" w:hAnsi="Arial" w:cs="Arial"/>
                <w:sz w:val="16"/>
                <w:szCs w:val="16"/>
              </w:rPr>
            </w:pPr>
          </w:p>
        </w:tc>
        <w:tc>
          <w:tcPr>
            <w:tcW w:w="3117" w:type="dxa"/>
            <w:tcBorders>
              <w:top w:val="single" w:sz="4" w:space="0" w:color="auto"/>
              <w:left w:val="single" w:sz="4" w:space="0" w:color="auto"/>
              <w:bottom w:val="single" w:sz="4" w:space="0" w:color="auto"/>
              <w:right w:val="single" w:sz="4" w:space="0" w:color="auto"/>
            </w:tcBorders>
            <w:hideMark/>
          </w:tcPr>
          <w:p w14:paraId="4922491B" w14:textId="77777777" w:rsidR="006F3AA8" w:rsidRDefault="006F3AA8">
            <w:pPr>
              <w:jc w:val="center"/>
              <w:rPr>
                <w:rFonts w:ascii="Arial" w:hAnsi="Arial" w:cs="Arial"/>
                <w:sz w:val="16"/>
                <w:szCs w:val="16"/>
              </w:rPr>
            </w:pPr>
            <w:r>
              <w:rPr>
                <w:rFonts w:ascii="Arial" w:hAnsi="Arial" w:cs="Arial"/>
                <w:sz w:val="16"/>
                <w:szCs w:val="16"/>
              </w:rPr>
              <w:t>Coverage 20 (Spearman coefficient)</w:t>
            </w:r>
          </w:p>
        </w:tc>
        <w:tc>
          <w:tcPr>
            <w:tcW w:w="3117" w:type="dxa"/>
            <w:tcBorders>
              <w:top w:val="single" w:sz="4" w:space="0" w:color="auto"/>
              <w:left w:val="single" w:sz="4" w:space="0" w:color="auto"/>
              <w:bottom w:val="single" w:sz="4" w:space="0" w:color="auto"/>
              <w:right w:val="single" w:sz="4" w:space="0" w:color="auto"/>
            </w:tcBorders>
            <w:hideMark/>
          </w:tcPr>
          <w:p w14:paraId="435B7B6F" w14:textId="77777777" w:rsidR="006F3AA8" w:rsidRDefault="006F3AA8">
            <w:pPr>
              <w:jc w:val="center"/>
              <w:rPr>
                <w:rFonts w:ascii="Arial" w:hAnsi="Arial" w:cs="Arial"/>
                <w:sz w:val="16"/>
                <w:szCs w:val="16"/>
              </w:rPr>
            </w:pPr>
            <w:r>
              <w:rPr>
                <w:rFonts w:ascii="Arial" w:hAnsi="Arial" w:cs="Arial"/>
                <w:sz w:val="16"/>
                <w:szCs w:val="16"/>
              </w:rPr>
              <w:t>Coverage 30 (Spearman coefficient)</w:t>
            </w:r>
          </w:p>
        </w:tc>
      </w:tr>
      <w:tr w:rsidR="006F3AA8" w14:paraId="579E23BA" w14:textId="77777777" w:rsidTr="006F3AA8">
        <w:tc>
          <w:tcPr>
            <w:tcW w:w="3116" w:type="dxa"/>
            <w:tcBorders>
              <w:top w:val="single" w:sz="4" w:space="0" w:color="auto"/>
              <w:left w:val="single" w:sz="4" w:space="0" w:color="auto"/>
              <w:bottom w:val="single" w:sz="4" w:space="0" w:color="auto"/>
              <w:right w:val="single" w:sz="4" w:space="0" w:color="auto"/>
            </w:tcBorders>
            <w:hideMark/>
          </w:tcPr>
          <w:p w14:paraId="03CE7EB9" w14:textId="77777777" w:rsidR="006F3AA8" w:rsidRDefault="006F3AA8">
            <w:pPr>
              <w:jc w:val="center"/>
              <w:rPr>
                <w:rFonts w:ascii="Arial" w:hAnsi="Arial" w:cs="Arial"/>
                <w:b/>
                <w:bCs/>
                <w:sz w:val="16"/>
                <w:szCs w:val="16"/>
              </w:rPr>
            </w:pPr>
            <w:r>
              <w:rPr>
                <w:rFonts w:ascii="Arial" w:hAnsi="Arial" w:cs="Arial"/>
                <w:b/>
                <w:bCs/>
                <w:sz w:val="16"/>
                <w:szCs w:val="16"/>
              </w:rPr>
              <w:t>Stem vs. Non-Stem (USI)</w:t>
            </w:r>
          </w:p>
        </w:tc>
        <w:tc>
          <w:tcPr>
            <w:tcW w:w="3117" w:type="dxa"/>
            <w:tcBorders>
              <w:top w:val="single" w:sz="4" w:space="0" w:color="auto"/>
              <w:left w:val="single" w:sz="4" w:space="0" w:color="auto"/>
              <w:bottom w:val="single" w:sz="4" w:space="0" w:color="auto"/>
              <w:right w:val="single" w:sz="4" w:space="0" w:color="auto"/>
            </w:tcBorders>
            <w:hideMark/>
          </w:tcPr>
          <w:p w14:paraId="23E02E44" w14:textId="77777777" w:rsidR="006F3AA8" w:rsidRDefault="006F3AA8">
            <w:pPr>
              <w:jc w:val="center"/>
              <w:rPr>
                <w:rFonts w:ascii="Arial" w:hAnsi="Arial" w:cs="Arial"/>
                <w:sz w:val="16"/>
                <w:szCs w:val="16"/>
              </w:rPr>
            </w:pPr>
            <w:r>
              <w:rPr>
                <w:rFonts w:ascii="Arial" w:hAnsi="Arial" w:cs="Arial"/>
                <w:sz w:val="16"/>
                <w:szCs w:val="16"/>
              </w:rPr>
              <w:t>r = 0.86</w:t>
            </w:r>
          </w:p>
        </w:tc>
        <w:tc>
          <w:tcPr>
            <w:tcW w:w="3117" w:type="dxa"/>
            <w:tcBorders>
              <w:top w:val="single" w:sz="4" w:space="0" w:color="auto"/>
              <w:left w:val="single" w:sz="4" w:space="0" w:color="auto"/>
              <w:bottom w:val="single" w:sz="4" w:space="0" w:color="auto"/>
              <w:right w:val="single" w:sz="4" w:space="0" w:color="auto"/>
            </w:tcBorders>
            <w:hideMark/>
          </w:tcPr>
          <w:p w14:paraId="6A5B9CE0" w14:textId="77777777" w:rsidR="006F3AA8" w:rsidRDefault="006F3AA8">
            <w:pPr>
              <w:jc w:val="center"/>
              <w:rPr>
                <w:rFonts w:ascii="Arial" w:hAnsi="Arial" w:cs="Arial"/>
                <w:sz w:val="16"/>
                <w:szCs w:val="16"/>
              </w:rPr>
            </w:pPr>
            <w:r>
              <w:rPr>
                <w:rFonts w:ascii="Arial" w:hAnsi="Arial" w:cs="Arial"/>
                <w:sz w:val="16"/>
                <w:szCs w:val="16"/>
              </w:rPr>
              <w:t>r = 0.88</w:t>
            </w:r>
          </w:p>
        </w:tc>
      </w:tr>
      <w:tr w:rsidR="006F3AA8" w14:paraId="4108E239" w14:textId="77777777" w:rsidTr="006F3AA8">
        <w:tc>
          <w:tcPr>
            <w:tcW w:w="3116" w:type="dxa"/>
            <w:tcBorders>
              <w:top w:val="single" w:sz="4" w:space="0" w:color="auto"/>
              <w:left w:val="single" w:sz="4" w:space="0" w:color="auto"/>
              <w:bottom w:val="single" w:sz="4" w:space="0" w:color="auto"/>
              <w:right w:val="single" w:sz="4" w:space="0" w:color="auto"/>
            </w:tcBorders>
            <w:hideMark/>
          </w:tcPr>
          <w:p w14:paraId="68CD750D" w14:textId="77777777" w:rsidR="006F3AA8" w:rsidRDefault="006F3AA8">
            <w:pPr>
              <w:jc w:val="center"/>
              <w:rPr>
                <w:rFonts w:ascii="Arial" w:hAnsi="Arial" w:cs="Arial"/>
                <w:b/>
                <w:bCs/>
                <w:sz w:val="16"/>
                <w:szCs w:val="16"/>
              </w:rPr>
            </w:pPr>
            <w:r>
              <w:rPr>
                <w:rFonts w:ascii="Arial" w:hAnsi="Arial" w:cs="Arial"/>
                <w:b/>
                <w:bCs/>
                <w:sz w:val="16"/>
                <w:szCs w:val="16"/>
              </w:rPr>
              <w:t>Stem vs. Non-Stem (LSI)</w:t>
            </w:r>
          </w:p>
        </w:tc>
        <w:tc>
          <w:tcPr>
            <w:tcW w:w="3117" w:type="dxa"/>
            <w:tcBorders>
              <w:top w:val="single" w:sz="4" w:space="0" w:color="auto"/>
              <w:left w:val="single" w:sz="4" w:space="0" w:color="auto"/>
              <w:bottom w:val="single" w:sz="4" w:space="0" w:color="auto"/>
              <w:right w:val="single" w:sz="4" w:space="0" w:color="auto"/>
            </w:tcBorders>
            <w:hideMark/>
          </w:tcPr>
          <w:p w14:paraId="2D1075CD" w14:textId="77777777" w:rsidR="006F3AA8" w:rsidRDefault="006F3AA8">
            <w:pPr>
              <w:jc w:val="center"/>
              <w:rPr>
                <w:rFonts w:ascii="Arial" w:hAnsi="Arial" w:cs="Arial"/>
                <w:sz w:val="16"/>
                <w:szCs w:val="16"/>
              </w:rPr>
            </w:pPr>
            <w:r>
              <w:rPr>
                <w:rFonts w:ascii="Arial" w:hAnsi="Arial" w:cs="Arial"/>
                <w:sz w:val="16"/>
                <w:szCs w:val="16"/>
              </w:rPr>
              <w:t>r = 0.84</w:t>
            </w:r>
          </w:p>
        </w:tc>
        <w:tc>
          <w:tcPr>
            <w:tcW w:w="3117" w:type="dxa"/>
            <w:tcBorders>
              <w:top w:val="single" w:sz="4" w:space="0" w:color="auto"/>
              <w:left w:val="single" w:sz="4" w:space="0" w:color="auto"/>
              <w:bottom w:val="single" w:sz="4" w:space="0" w:color="auto"/>
              <w:right w:val="single" w:sz="4" w:space="0" w:color="auto"/>
            </w:tcBorders>
            <w:hideMark/>
          </w:tcPr>
          <w:p w14:paraId="6B83F989" w14:textId="77777777" w:rsidR="006F3AA8" w:rsidRDefault="006F3AA8">
            <w:pPr>
              <w:jc w:val="center"/>
              <w:rPr>
                <w:rFonts w:ascii="Arial" w:hAnsi="Arial" w:cs="Arial"/>
                <w:sz w:val="16"/>
                <w:szCs w:val="16"/>
              </w:rPr>
            </w:pPr>
            <w:r>
              <w:rPr>
                <w:rFonts w:ascii="Arial" w:hAnsi="Arial" w:cs="Arial"/>
                <w:sz w:val="16"/>
                <w:szCs w:val="16"/>
              </w:rPr>
              <w:t>r = 0.85</w:t>
            </w:r>
          </w:p>
        </w:tc>
      </w:tr>
      <w:tr w:rsidR="006F3AA8" w14:paraId="125F4EA9" w14:textId="77777777" w:rsidTr="006F3AA8">
        <w:trPr>
          <w:trHeight w:val="53"/>
        </w:trPr>
        <w:tc>
          <w:tcPr>
            <w:tcW w:w="3116" w:type="dxa"/>
            <w:tcBorders>
              <w:top w:val="single" w:sz="4" w:space="0" w:color="auto"/>
              <w:left w:val="single" w:sz="4" w:space="0" w:color="auto"/>
              <w:bottom w:val="single" w:sz="4" w:space="0" w:color="auto"/>
              <w:right w:val="single" w:sz="4" w:space="0" w:color="auto"/>
            </w:tcBorders>
            <w:hideMark/>
          </w:tcPr>
          <w:p w14:paraId="0CDB7C74" w14:textId="77777777" w:rsidR="006F3AA8" w:rsidRDefault="006F3AA8">
            <w:pPr>
              <w:jc w:val="center"/>
              <w:rPr>
                <w:rFonts w:ascii="Arial" w:hAnsi="Arial" w:cs="Arial"/>
                <w:b/>
                <w:bCs/>
                <w:sz w:val="16"/>
                <w:szCs w:val="16"/>
              </w:rPr>
            </w:pPr>
            <w:r>
              <w:rPr>
                <w:rFonts w:ascii="Arial" w:hAnsi="Arial" w:cs="Arial"/>
                <w:b/>
                <w:bCs/>
                <w:sz w:val="16"/>
                <w:szCs w:val="16"/>
              </w:rPr>
              <w:t>Stem vs. Non-Stem (COL)</w:t>
            </w:r>
          </w:p>
        </w:tc>
        <w:tc>
          <w:tcPr>
            <w:tcW w:w="3117" w:type="dxa"/>
            <w:tcBorders>
              <w:top w:val="single" w:sz="4" w:space="0" w:color="auto"/>
              <w:left w:val="single" w:sz="4" w:space="0" w:color="auto"/>
              <w:bottom w:val="single" w:sz="4" w:space="0" w:color="auto"/>
              <w:right w:val="single" w:sz="4" w:space="0" w:color="auto"/>
            </w:tcBorders>
            <w:hideMark/>
          </w:tcPr>
          <w:p w14:paraId="5B421627" w14:textId="77777777" w:rsidR="006F3AA8" w:rsidRDefault="006F3AA8">
            <w:pPr>
              <w:jc w:val="center"/>
              <w:rPr>
                <w:rFonts w:ascii="Arial" w:hAnsi="Arial" w:cs="Arial"/>
                <w:sz w:val="16"/>
                <w:szCs w:val="16"/>
              </w:rPr>
            </w:pPr>
            <w:r>
              <w:rPr>
                <w:rFonts w:ascii="Arial" w:hAnsi="Arial" w:cs="Arial"/>
                <w:sz w:val="16"/>
                <w:szCs w:val="16"/>
              </w:rPr>
              <w:t>r = 0.86</w:t>
            </w:r>
          </w:p>
        </w:tc>
        <w:tc>
          <w:tcPr>
            <w:tcW w:w="3117" w:type="dxa"/>
            <w:tcBorders>
              <w:top w:val="single" w:sz="4" w:space="0" w:color="auto"/>
              <w:left w:val="single" w:sz="4" w:space="0" w:color="auto"/>
              <w:bottom w:val="single" w:sz="4" w:space="0" w:color="auto"/>
              <w:right w:val="single" w:sz="4" w:space="0" w:color="auto"/>
            </w:tcBorders>
            <w:hideMark/>
          </w:tcPr>
          <w:p w14:paraId="1158AFDC" w14:textId="77777777" w:rsidR="006F3AA8" w:rsidRDefault="006F3AA8">
            <w:pPr>
              <w:jc w:val="center"/>
              <w:rPr>
                <w:rFonts w:ascii="Arial" w:hAnsi="Arial" w:cs="Arial"/>
                <w:sz w:val="16"/>
                <w:szCs w:val="16"/>
              </w:rPr>
            </w:pPr>
            <w:r>
              <w:rPr>
                <w:rFonts w:ascii="Arial" w:hAnsi="Arial" w:cs="Arial"/>
                <w:sz w:val="16"/>
                <w:szCs w:val="16"/>
              </w:rPr>
              <w:t>r = 0.91</w:t>
            </w:r>
          </w:p>
        </w:tc>
      </w:tr>
    </w:tbl>
    <w:p w14:paraId="6D5964A9" w14:textId="77777777" w:rsidR="006F3AA8" w:rsidRDefault="006F3AA8" w:rsidP="006F3AA8">
      <w:pPr>
        <w:rPr>
          <w:rFonts w:ascii="Arial" w:eastAsia="Times New Roman" w:hAnsi="Arial" w:cs="Arial"/>
          <w:sz w:val="20"/>
          <w:szCs w:val="20"/>
          <w:lang w:val="en-US"/>
        </w:rPr>
      </w:pPr>
    </w:p>
    <w:p w14:paraId="19779B3D" w14:textId="77777777" w:rsidR="006F3AA8" w:rsidRDefault="006F3AA8" w:rsidP="006F3AA8">
      <w:pPr>
        <w:rPr>
          <w:rFonts w:ascii="Arial" w:hAnsi="Arial" w:cs="Arial"/>
          <w:color w:val="FF0000"/>
          <w:sz w:val="20"/>
          <w:szCs w:val="20"/>
          <w:shd w:val="clear" w:color="auto" w:fill="FFFFFF"/>
        </w:rPr>
      </w:pPr>
      <w:r>
        <w:rPr>
          <w:rFonts w:ascii="Arial" w:hAnsi="Arial" w:cs="Arial"/>
          <w:color w:val="FF0000"/>
          <w:sz w:val="20"/>
          <w:szCs w:val="20"/>
          <w:shd w:val="clear" w:color="auto" w:fill="FFFFFF"/>
        </w:rPr>
        <w:t>3.It is stated 'significant with age (p-value &lt; 0.05)' on line 90 - is this corrected or nominal?</w:t>
      </w:r>
    </w:p>
    <w:p w14:paraId="1C8B1FBF" w14:textId="77777777" w:rsidR="006F3AA8" w:rsidRDefault="006F3AA8" w:rsidP="006F3AA8">
      <w:pPr>
        <w:rPr>
          <w:rFonts w:ascii="Arial" w:hAnsi="Arial" w:cs="Arial"/>
          <w:color w:val="000033"/>
          <w:sz w:val="20"/>
          <w:szCs w:val="20"/>
          <w:shd w:val="clear" w:color="auto" w:fill="FFFFFF"/>
        </w:rPr>
      </w:pPr>
    </w:p>
    <w:p w14:paraId="204D98C9" w14:textId="77777777" w:rsidR="006F3AA8" w:rsidRDefault="006F3AA8" w:rsidP="006F3AA8">
      <w:pPr>
        <w:rPr>
          <w:rFonts w:ascii="Arial" w:hAnsi="Arial" w:cs="Arial"/>
          <w:b/>
          <w:bCs/>
          <w:i/>
          <w:iCs/>
          <w:color w:val="000033"/>
          <w:sz w:val="20"/>
          <w:szCs w:val="20"/>
          <w:shd w:val="clear" w:color="auto" w:fill="FFFFFF"/>
        </w:rPr>
      </w:pPr>
      <w:r>
        <w:rPr>
          <w:rFonts w:ascii="Arial" w:hAnsi="Arial" w:cs="Arial"/>
          <w:b/>
          <w:bCs/>
          <w:color w:val="000033"/>
          <w:sz w:val="20"/>
          <w:szCs w:val="20"/>
          <w:shd w:val="clear" w:color="auto" w:fill="FFFFFF"/>
        </w:rPr>
        <w:t>Response: The p-value&lt; 0.05 refers to the FDR (&lt; 0.05) corrected p-value that was used for most analysis except for the permutation analysis that uses an empirical p-value. However, upon closer reading of the paper we decided that the said analysis was redundant and have removed it from the manuscript.</w:t>
      </w:r>
    </w:p>
    <w:p w14:paraId="5BEB2BE9" w14:textId="77777777" w:rsidR="006F3AA8" w:rsidRDefault="006F3AA8" w:rsidP="006F3AA8">
      <w:pPr>
        <w:rPr>
          <w:rFonts w:ascii="Arial" w:hAnsi="Arial" w:cs="Arial"/>
          <w:color w:val="FF0000"/>
          <w:sz w:val="20"/>
          <w:szCs w:val="20"/>
          <w:shd w:val="clear" w:color="auto" w:fill="FFFFFF"/>
        </w:rPr>
      </w:pPr>
    </w:p>
    <w:p w14:paraId="68008221" w14:textId="77777777" w:rsidR="006F3AA8" w:rsidRDefault="006F3AA8" w:rsidP="006F3AA8">
      <w:pPr>
        <w:rPr>
          <w:rFonts w:ascii="Arial" w:hAnsi="Arial" w:cs="Arial"/>
          <w:color w:val="FF0000"/>
          <w:sz w:val="20"/>
          <w:szCs w:val="20"/>
          <w:shd w:val="clear" w:color="auto" w:fill="FFFFFF"/>
        </w:rPr>
      </w:pPr>
      <w:r>
        <w:rPr>
          <w:rFonts w:ascii="Arial" w:hAnsi="Arial" w:cs="Arial"/>
          <w:color w:val="FF0000"/>
          <w:sz w:val="20"/>
          <w:szCs w:val="20"/>
          <w:shd w:val="clear" w:color="auto" w:fill="FFFFFF"/>
        </w:rPr>
        <w:t>4.Regarding the RNA-</w:t>
      </w:r>
      <w:proofErr w:type="spellStart"/>
      <w:r>
        <w:rPr>
          <w:rFonts w:ascii="Arial" w:hAnsi="Arial" w:cs="Arial"/>
          <w:color w:val="FF0000"/>
          <w:sz w:val="20"/>
          <w:szCs w:val="20"/>
          <w:shd w:val="clear" w:color="auto" w:fill="FFFFFF"/>
        </w:rPr>
        <w:t>seq</w:t>
      </w:r>
      <w:proofErr w:type="spellEnd"/>
      <w:r>
        <w:rPr>
          <w:rFonts w:ascii="Arial" w:hAnsi="Arial" w:cs="Arial"/>
          <w:color w:val="FF0000"/>
          <w:sz w:val="20"/>
          <w:szCs w:val="20"/>
          <w:shd w:val="clear" w:color="auto" w:fill="FFFFFF"/>
        </w:rPr>
        <w:t xml:space="preserve"> analysis and the non-promoter CpG island hypermethylation - was there any evidence of changes in expression of non-canonical isoforms with age?</w:t>
      </w:r>
    </w:p>
    <w:p w14:paraId="768D08D2" w14:textId="77777777" w:rsidR="006F3AA8" w:rsidRDefault="006F3AA8" w:rsidP="006F3AA8">
      <w:pPr>
        <w:rPr>
          <w:rFonts w:ascii="Arial" w:hAnsi="Arial" w:cs="Arial"/>
          <w:b/>
          <w:bCs/>
          <w:color w:val="000033"/>
          <w:sz w:val="20"/>
          <w:szCs w:val="20"/>
          <w:shd w:val="clear" w:color="auto" w:fill="FFFFFF"/>
        </w:rPr>
      </w:pPr>
    </w:p>
    <w:p w14:paraId="1B986284" w14:textId="77777777" w:rsidR="006F3AA8" w:rsidRDefault="006F3AA8" w:rsidP="006F3AA8">
      <w:pPr>
        <w:rPr>
          <w:rFonts w:ascii="Arial" w:hAnsi="Arial" w:cs="Arial"/>
          <w:b/>
          <w:bCs/>
          <w:color w:val="000033"/>
          <w:sz w:val="20"/>
          <w:szCs w:val="20"/>
          <w:shd w:val="clear" w:color="auto" w:fill="FFFFFF"/>
        </w:rPr>
      </w:pPr>
      <w:r>
        <w:rPr>
          <w:rFonts w:ascii="Arial" w:hAnsi="Arial" w:cs="Arial"/>
          <w:b/>
          <w:bCs/>
          <w:color w:val="000033"/>
          <w:sz w:val="20"/>
          <w:szCs w:val="20"/>
          <w:shd w:val="clear" w:color="auto" w:fill="FFFFFF"/>
        </w:rPr>
        <w:t>We looked at non-canonical isoform changes between RNA-</w:t>
      </w:r>
      <w:proofErr w:type="spellStart"/>
      <w:r>
        <w:rPr>
          <w:rFonts w:ascii="Arial" w:hAnsi="Arial" w:cs="Arial"/>
          <w:b/>
          <w:bCs/>
          <w:color w:val="000033"/>
          <w:sz w:val="20"/>
          <w:szCs w:val="20"/>
          <w:shd w:val="clear" w:color="auto" w:fill="FFFFFF"/>
        </w:rPr>
        <w:t>seq</w:t>
      </w:r>
      <w:proofErr w:type="spellEnd"/>
      <w:r>
        <w:rPr>
          <w:rFonts w:ascii="Arial" w:hAnsi="Arial" w:cs="Arial"/>
          <w:b/>
          <w:bCs/>
          <w:color w:val="000033"/>
          <w:sz w:val="20"/>
          <w:szCs w:val="20"/>
          <w:shd w:val="clear" w:color="auto" w:fill="FFFFFF"/>
        </w:rPr>
        <w:t xml:space="preserve"> samples of different ages and did not find any genes that expresses non-canonical isoforms with age. However, we have a limited number of RNA-</w:t>
      </w:r>
      <w:proofErr w:type="spellStart"/>
      <w:r>
        <w:rPr>
          <w:rFonts w:ascii="Arial" w:hAnsi="Arial" w:cs="Arial"/>
          <w:b/>
          <w:bCs/>
          <w:color w:val="000033"/>
          <w:sz w:val="20"/>
          <w:szCs w:val="20"/>
          <w:shd w:val="clear" w:color="auto" w:fill="FFFFFF"/>
        </w:rPr>
        <w:t>seq</w:t>
      </w:r>
      <w:proofErr w:type="spellEnd"/>
      <w:r>
        <w:rPr>
          <w:rFonts w:ascii="Arial" w:hAnsi="Arial" w:cs="Arial"/>
          <w:b/>
          <w:bCs/>
          <w:color w:val="000033"/>
          <w:sz w:val="20"/>
          <w:szCs w:val="20"/>
          <w:shd w:val="clear" w:color="auto" w:fill="FFFFFF"/>
        </w:rPr>
        <w:t xml:space="preserve"> samples per age so we might not have enough power to properly conduct this analysis. </w:t>
      </w:r>
      <w:r>
        <w:rPr>
          <w:rFonts w:ascii="Arial" w:hAnsi="Arial" w:cs="Arial"/>
          <w:b/>
          <w:bCs/>
          <w:i/>
          <w:iCs/>
          <w:color w:val="000033"/>
          <w:sz w:val="20"/>
          <w:szCs w:val="20"/>
          <w:u w:val="single"/>
          <w:shd w:val="clear" w:color="auto" w:fill="FFFFFF"/>
        </w:rPr>
        <w:t>This is now mentioned in the text on line 180-181 and was added to methods section as well</w:t>
      </w:r>
      <w:r>
        <w:rPr>
          <w:rFonts w:ascii="Arial" w:hAnsi="Arial" w:cs="Arial"/>
          <w:b/>
          <w:bCs/>
          <w:i/>
          <w:iCs/>
          <w:color w:val="000033"/>
          <w:sz w:val="20"/>
          <w:szCs w:val="20"/>
          <w:shd w:val="clear" w:color="auto" w:fill="FFFFFF"/>
        </w:rPr>
        <w:t xml:space="preserve">. </w:t>
      </w:r>
      <w:r>
        <w:rPr>
          <w:rFonts w:ascii="Arial" w:hAnsi="Arial" w:cs="Arial"/>
          <w:b/>
          <w:bCs/>
          <w:color w:val="000033"/>
          <w:sz w:val="20"/>
          <w:szCs w:val="20"/>
          <w:shd w:val="clear" w:color="auto" w:fill="FFFFFF"/>
        </w:rPr>
        <w:t>The figure for the analysis is shown below but due to constrains by genome biology on the number of supplements we will not including it in the paper</w:t>
      </w:r>
    </w:p>
    <w:p w14:paraId="4008301B" w14:textId="77777777" w:rsidR="006F3AA8" w:rsidRDefault="006F3AA8" w:rsidP="006F3AA8">
      <w:pPr>
        <w:rPr>
          <w:rFonts w:ascii="Arial" w:hAnsi="Arial" w:cs="Arial"/>
          <w:b/>
          <w:bCs/>
          <w:color w:val="000033"/>
          <w:sz w:val="20"/>
          <w:szCs w:val="20"/>
          <w:shd w:val="clear" w:color="auto" w:fill="FFFFFF"/>
        </w:rPr>
      </w:pPr>
    </w:p>
    <w:p w14:paraId="152A4099" w14:textId="08684043" w:rsidR="006F3AA8" w:rsidRDefault="006F3AA8" w:rsidP="006F3AA8">
      <w:pPr>
        <w:rPr>
          <w:rFonts w:ascii="Arial" w:hAnsi="Arial" w:cs="Arial"/>
          <w:b/>
          <w:bCs/>
          <w:color w:val="000033"/>
          <w:sz w:val="20"/>
          <w:szCs w:val="20"/>
          <w:shd w:val="clear" w:color="auto" w:fill="FFFFFF"/>
        </w:rPr>
      </w:pPr>
      <w:r>
        <w:rPr>
          <w:rFonts w:ascii="Arial" w:hAnsi="Arial" w:cs="Arial"/>
          <w:b/>
          <w:noProof/>
          <w:color w:val="000033"/>
          <w:sz w:val="20"/>
          <w:szCs w:val="20"/>
          <w:shd w:val="clear" w:color="auto" w:fill="FFFFFF"/>
        </w:rPr>
        <w:drawing>
          <wp:inline distT="0" distB="0" distL="0" distR="0" wp14:anchorId="5EE2EF73" wp14:editId="55786FDC">
            <wp:extent cx="5731510" cy="126555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265555"/>
                    </a:xfrm>
                    <a:prstGeom prst="rect">
                      <a:avLst/>
                    </a:prstGeom>
                    <a:noFill/>
                    <a:ln>
                      <a:noFill/>
                    </a:ln>
                  </pic:spPr>
                </pic:pic>
              </a:graphicData>
            </a:graphic>
          </wp:inline>
        </w:drawing>
      </w:r>
    </w:p>
    <w:p w14:paraId="10FCD752" w14:textId="77777777" w:rsidR="006F3AA8" w:rsidRDefault="006F3AA8" w:rsidP="006F3AA8">
      <w:pPr>
        <w:rPr>
          <w:rFonts w:ascii="Arial" w:hAnsi="Arial" w:cs="Arial"/>
          <w:b/>
          <w:bCs/>
          <w:color w:val="000033"/>
          <w:sz w:val="20"/>
          <w:szCs w:val="20"/>
          <w:shd w:val="clear" w:color="auto" w:fill="FFFFFF"/>
        </w:rPr>
      </w:pPr>
      <w:r>
        <w:rPr>
          <w:rFonts w:ascii="Arial" w:hAnsi="Arial" w:cs="Arial"/>
          <w:b/>
          <w:bCs/>
          <w:color w:val="000033"/>
          <w:sz w:val="20"/>
          <w:szCs w:val="20"/>
          <w:shd w:val="clear" w:color="auto" w:fill="FFFFFF"/>
        </w:rPr>
        <w:t xml:space="preserve">Figure legend: </w:t>
      </w:r>
      <w:r>
        <w:rPr>
          <w:rFonts w:ascii="Arial" w:hAnsi="Arial" w:cs="Arial"/>
          <w:sz w:val="20"/>
          <w:szCs w:val="20"/>
        </w:rPr>
        <w:t>MA plots showing the difference in proportions of isoforms per gene vs average expression in 24-month vs 4-month upper small intestine, lower small intestine, and colon samples. Across tissues there were very few genes that showed a significant (FDR &lt; 0.05) difference in isoform usage between 24-month vs 4-month samples.</w:t>
      </w:r>
    </w:p>
    <w:p w14:paraId="4EDD1EEF" w14:textId="77777777" w:rsidR="006F3AA8" w:rsidRDefault="006F3AA8" w:rsidP="006F3AA8">
      <w:pPr>
        <w:rPr>
          <w:rFonts w:ascii="Arial" w:hAnsi="Arial" w:cs="Arial"/>
          <w:b/>
          <w:bCs/>
          <w:color w:val="000033"/>
          <w:sz w:val="20"/>
          <w:szCs w:val="20"/>
          <w:shd w:val="clear" w:color="auto" w:fill="FFFFFF"/>
        </w:rPr>
      </w:pPr>
    </w:p>
    <w:p w14:paraId="13F88EDE" w14:textId="77777777" w:rsidR="006F3AA8" w:rsidRDefault="006F3AA8" w:rsidP="006F3AA8">
      <w:pPr>
        <w:rPr>
          <w:rFonts w:ascii="Arial" w:hAnsi="Arial" w:cs="Arial"/>
          <w:color w:val="FF0000"/>
          <w:sz w:val="20"/>
          <w:szCs w:val="20"/>
        </w:rPr>
      </w:pPr>
      <w:r>
        <w:rPr>
          <w:rFonts w:ascii="Arial" w:hAnsi="Arial" w:cs="Arial"/>
          <w:color w:val="FF0000"/>
          <w:sz w:val="20"/>
          <w:szCs w:val="20"/>
          <w:shd w:val="clear" w:color="auto" w:fill="FFFFFF"/>
        </w:rPr>
        <w:t>5. Brief explanation should be included in the Results of what comprises the definition of the 10,366 loci in the Entropy results - so that the reader does not need to go trawling through methods to understand this.</w:t>
      </w:r>
    </w:p>
    <w:p w14:paraId="418D9E89" w14:textId="77777777" w:rsidR="006F3AA8" w:rsidRDefault="006F3AA8" w:rsidP="006F3AA8">
      <w:pPr>
        <w:rPr>
          <w:rFonts w:ascii="Arial" w:hAnsi="Arial" w:cs="Arial"/>
          <w:b/>
          <w:bCs/>
          <w:color w:val="000033"/>
          <w:sz w:val="20"/>
          <w:szCs w:val="20"/>
          <w:shd w:val="clear" w:color="auto" w:fill="FFFFFF"/>
        </w:rPr>
      </w:pPr>
      <w:bookmarkStart w:id="0" w:name="OLE_LINK1"/>
    </w:p>
    <w:p w14:paraId="7107B6F9" w14:textId="77777777" w:rsidR="006F3AA8" w:rsidRDefault="006F3AA8" w:rsidP="006F3AA8">
      <w:pPr>
        <w:rPr>
          <w:rFonts w:ascii="Arial" w:hAnsi="Arial" w:cs="Arial"/>
          <w:b/>
          <w:bCs/>
          <w:sz w:val="20"/>
          <w:szCs w:val="20"/>
        </w:rPr>
      </w:pPr>
      <w:r>
        <w:rPr>
          <w:rFonts w:ascii="Arial" w:hAnsi="Arial" w:cs="Arial"/>
          <w:b/>
          <w:bCs/>
          <w:color w:val="000033"/>
          <w:sz w:val="20"/>
          <w:szCs w:val="20"/>
          <w:shd w:val="clear" w:color="auto" w:fill="FFFFFF"/>
        </w:rPr>
        <w:t xml:space="preserve">We apologize for not being clear in the manuscript. </w:t>
      </w:r>
      <w:bookmarkEnd w:id="0"/>
      <w:r>
        <w:rPr>
          <w:rFonts w:ascii="Arial" w:hAnsi="Arial" w:cs="Arial"/>
          <w:b/>
          <w:bCs/>
          <w:color w:val="000033"/>
          <w:sz w:val="20"/>
          <w:szCs w:val="20"/>
          <w:shd w:val="clear" w:color="auto" w:fill="FFFFFF"/>
        </w:rPr>
        <w:t>The number 10,366 refers to the</w:t>
      </w:r>
      <w:r>
        <w:rPr>
          <w:rFonts w:ascii="Arial" w:hAnsi="Arial" w:cs="Arial"/>
          <w:sz w:val="20"/>
          <w:szCs w:val="20"/>
        </w:rPr>
        <w:t xml:space="preserve"> </w:t>
      </w:r>
      <w:r>
        <w:rPr>
          <w:rFonts w:ascii="Arial" w:hAnsi="Arial" w:cs="Arial"/>
          <w:b/>
          <w:bCs/>
          <w:sz w:val="20"/>
          <w:szCs w:val="20"/>
        </w:rPr>
        <w:t xml:space="preserve">number of unique loci detected across all samples with a coverage greater than 40. For the PCA analysis we used 270 loci detected in all 44 samples which includes stem and </w:t>
      </w:r>
      <w:proofErr w:type="spellStart"/>
      <w:r>
        <w:rPr>
          <w:rFonts w:ascii="Arial" w:hAnsi="Arial" w:cs="Arial"/>
          <w:b/>
          <w:bCs/>
          <w:sz w:val="20"/>
          <w:szCs w:val="20"/>
        </w:rPr>
        <w:t>nonstem</w:t>
      </w:r>
      <w:proofErr w:type="spellEnd"/>
      <w:r>
        <w:rPr>
          <w:rFonts w:ascii="Arial" w:hAnsi="Arial" w:cs="Arial"/>
          <w:b/>
          <w:bCs/>
          <w:sz w:val="20"/>
          <w:szCs w:val="20"/>
        </w:rPr>
        <w:t xml:space="preserve"> cell samples of all ages (4,12,18 and 24 months). This was due to the nature of PCA analysis requiring all loci be present in all samples. However, for most of the other analysis, we did not require that loci be detected across all samples, thus there was a considerably larger number of loci in the other analysis. </w:t>
      </w:r>
      <w:r>
        <w:rPr>
          <w:rFonts w:ascii="Arial" w:hAnsi="Arial" w:cs="Arial"/>
          <w:b/>
          <w:bCs/>
          <w:i/>
          <w:iCs/>
          <w:color w:val="000033"/>
          <w:sz w:val="20"/>
          <w:szCs w:val="20"/>
          <w:u w:val="single"/>
          <w:shd w:val="clear" w:color="auto" w:fill="FFFFFF"/>
        </w:rPr>
        <w:t>This has now been corrected in the text on line 199-200</w:t>
      </w:r>
      <w:r>
        <w:rPr>
          <w:rFonts w:ascii="Arial" w:hAnsi="Arial" w:cs="Arial"/>
          <w:b/>
          <w:bCs/>
          <w:i/>
          <w:iCs/>
          <w:color w:val="000033"/>
          <w:sz w:val="20"/>
          <w:szCs w:val="20"/>
          <w:shd w:val="clear" w:color="auto" w:fill="FFFFFF"/>
        </w:rPr>
        <w:t>.</w:t>
      </w:r>
    </w:p>
    <w:p w14:paraId="50035A0E" w14:textId="77777777" w:rsidR="006F3AA8" w:rsidRDefault="006F3AA8" w:rsidP="006F3AA8">
      <w:pPr>
        <w:rPr>
          <w:rFonts w:ascii="Arial" w:hAnsi="Arial" w:cs="Arial"/>
          <w:b/>
          <w:bCs/>
          <w:sz w:val="20"/>
          <w:szCs w:val="20"/>
        </w:rPr>
      </w:pPr>
    </w:p>
    <w:p w14:paraId="2BA29EA2" w14:textId="77777777" w:rsidR="006F3AA8" w:rsidRDefault="006F3AA8" w:rsidP="006F3AA8">
      <w:pPr>
        <w:rPr>
          <w:rFonts w:ascii="Arial" w:hAnsi="Arial" w:cs="Arial"/>
          <w:b/>
          <w:bCs/>
          <w:color w:val="000033"/>
          <w:sz w:val="20"/>
          <w:szCs w:val="20"/>
          <w:shd w:val="clear" w:color="auto" w:fill="FFFFFF"/>
        </w:rPr>
      </w:pPr>
    </w:p>
    <w:p w14:paraId="18AC74A3" w14:textId="77777777" w:rsidR="006F3AA8" w:rsidRDefault="006F3AA8" w:rsidP="006F3AA8">
      <w:pPr>
        <w:rPr>
          <w:rFonts w:ascii="Arial" w:hAnsi="Arial" w:cs="Arial"/>
          <w:color w:val="FF0000"/>
          <w:sz w:val="20"/>
          <w:szCs w:val="20"/>
          <w:shd w:val="clear" w:color="auto" w:fill="FFFFFF"/>
        </w:rPr>
      </w:pPr>
      <w:r>
        <w:rPr>
          <w:rFonts w:ascii="Arial" w:hAnsi="Arial" w:cs="Arial"/>
          <w:color w:val="FF0000"/>
          <w:sz w:val="20"/>
          <w:szCs w:val="20"/>
          <w:shd w:val="clear" w:color="auto" w:fill="FFFFFF"/>
        </w:rPr>
        <w:t xml:space="preserve">6.Regarding the </w:t>
      </w:r>
      <w:proofErr w:type="spellStart"/>
      <w:r>
        <w:rPr>
          <w:rFonts w:ascii="Arial" w:hAnsi="Arial" w:cs="Arial"/>
          <w:color w:val="FF0000"/>
          <w:sz w:val="20"/>
          <w:szCs w:val="20"/>
          <w:shd w:val="clear" w:color="auto" w:fill="FFFFFF"/>
        </w:rPr>
        <w:t>DNAm</w:t>
      </w:r>
      <w:proofErr w:type="spellEnd"/>
      <w:r>
        <w:rPr>
          <w:rFonts w:ascii="Arial" w:hAnsi="Arial" w:cs="Arial"/>
          <w:color w:val="FF0000"/>
          <w:sz w:val="20"/>
          <w:szCs w:val="20"/>
          <w:shd w:val="clear" w:color="auto" w:fill="FFFFFF"/>
        </w:rPr>
        <w:t xml:space="preserve"> entropy calculated loci - how is this impacted on by CpG density - i.e., is the ageing signal being driven by dense or sparse CpG </w:t>
      </w:r>
      <w:proofErr w:type="gramStart"/>
      <w:r>
        <w:rPr>
          <w:rFonts w:ascii="Arial" w:hAnsi="Arial" w:cs="Arial"/>
          <w:color w:val="FF0000"/>
          <w:sz w:val="20"/>
          <w:szCs w:val="20"/>
          <w:shd w:val="clear" w:color="auto" w:fill="FFFFFF"/>
        </w:rPr>
        <w:t>loci?-</w:t>
      </w:r>
      <w:proofErr w:type="gramEnd"/>
      <w:r>
        <w:rPr>
          <w:rFonts w:ascii="Arial" w:hAnsi="Arial" w:cs="Arial"/>
          <w:color w:val="FF0000"/>
          <w:sz w:val="20"/>
          <w:szCs w:val="20"/>
          <w:shd w:val="clear" w:color="auto" w:fill="FFFFFF"/>
        </w:rPr>
        <w:t xml:space="preserve"> look at CpG island vs non island??</w:t>
      </w:r>
    </w:p>
    <w:p w14:paraId="2B034524" w14:textId="77777777" w:rsidR="006F3AA8" w:rsidRDefault="006F3AA8" w:rsidP="006F3AA8">
      <w:pPr>
        <w:rPr>
          <w:rFonts w:ascii="Arial" w:hAnsi="Arial" w:cs="Arial"/>
          <w:b/>
          <w:bCs/>
          <w:sz w:val="20"/>
          <w:szCs w:val="20"/>
        </w:rPr>
      </w:pPr>
    </w:p>
    <w:p w14:paraId="37804B33" w14:textId="77777777" w:rsidR="006F3AA8" w:rsidRDefault="006F3AA8" w:rsidP="006F3AA8">
      <w:pPr>
        <w:rPr>
          <w:rFonts w:ascii="Arial" w:hAnsi="Arial" w:cs="Arial"/>
          <w:b/>
          <w:bCs/>
          <w:i/>
          <w:iCs/>
          <w:color w:val="000033"/>
          <w:sz w:val="20"/>
          <w:szCs w:val="20"/>
          <w:u w:val="single"/>
          <w:shd w:val="clear" w:color="auto" w:fill="FFFFFF"/>
        </w:rPr>
      </w:pPr>
      <w:r>
        <w:rPr>
          <w:rFonts w:ascii="Arial" w:hAnsi="Arial" w:cs="Arial"/>
          <w:b/>
          <w:bCs/>
          <w:color w:val="000033"/>
          <w:sz w:val="20"/>
          <w:szCs w:val="20"/>
          <w:shd w:val="clear" w:color="auto" w:fill="FFFFFF"/>
        </w:rPr>
        <w:t xml:space="preserve">Response: In our data set 69% of the loci </w:t>
      </w:r>
      <w:proofErr w:type="spellStart"/>
      <w:r>
        <w:rPr>
          <w:rFonts w:ascii="Arial" w:hAnsi="Arial" w:cs="Arial"/>
          <w:b/>
          <w:bCs/>
          <w:color w:val="000033"/>
          <w:sz w:val="20"/>
          <w:szCs w:val="20"/>
          <w:shd w:val="clear" w:color="auto" w:fill="FFFFFF"/>
        </w:rPr>
        <w:t>analyzed</w:t>
      </w:r>
      <w:proofErr w:type="spellEnd"/>
      <w:r>
        <w:rPr>
          <w:rFonts w:ascii="Arial" w:hAnsi="Arial" w:cs="Arial"/>
          <w:b/>
          <w:bCs/>
          <w:color w:val="000033"/>
          <w:sz w:val="20"/>
          <w:szCs w:val="20"/>
          <w:shd w:val="clear" w:color="auto" w:fill="FFFFFF"/>
        </w:rPr>
        <w:t xml:space="preserve"> for entropy </w:t>
      </w:r>
      <w:proofErr w:type="gramStart"/>
      <w:r>
        <w:rPr>
          <w:rFonts w:ascii="Arial" w:hAnsi="Arial" w:cs="Arial"/>
          <w:b/>
          <w:bCs/>
          <w:color w:val="000033"/>
          <w:sz w:val="20"/>
          <w:szCs w:val="20"/>
          <w:shd w:val="clear" w:color="auto" w:fill="FFFFFF"/>
        </w:rPr>
        <w:t>are located in</w:t>
      </w:r>
      <w:proofErr w:type="gramEnd"/>
      <w:r>
        <w:rPr>
          <w:rFonts w:ascii="Arial" w:hAnsi="Arial" w:cs="Arial"/>
          <w:b/>
          <w:bCs/>
          <w:color w:val="000033"/>
          <w:sz w:val="20"/>
          <w:szCs w:val="20"/>
          <w:shd w:val="clear" w:color="auto" w:fill="FFFFFF"/>
        </w:rPr>
        <w:t xml:space="preserve"> </w:t>
      </w:r>
      <w:proofErr w:type="spellStart"/>
      <w:r>
        <w:rPr>
          <w:rFonts w:ascii="Arial" w:hAnsi="Arial" w:cs="Arial"/>
          <w:b/>
          <w:bCs/>
          <w:color w:val="000033"/>
          <w:sz w:val="20"/>
          <w:szCs w:val="20"/>
          <w:shd w:val="clear" w:color="auto" w:fill="FFFFFF"/>
        </w:rPr>
        <w:t>nonCpG</w:t>
      </w:r>
      <w:proofErr w:type="spellEnd"/>
      <w:r>
        <w:rPr>
          <w:rFonts w:ascii="Arial" w:hAnsi="Arial" w:cs="Arial"/>
          <w:b/>
          <w:bCs/>
          <w:color w:val="000033"/>
          <w:sz w:val="20"/>
          <w:szCs w:val="20"/>
          <w:shd w:val="clear" w:color="auto" w:fill="FFFFFF"/>
        </w:rPr>
        <w:t xml:space="preserve">-islands and 31% of the loci are located inside CpG-islands. We divided our analysis into CpG-island and non CpG-island and ran PCA analyses. Results show that both CpG-islands and non CpG-islands clustered with respect to age only. Further </w:t>
      </w:r>
      <w:proofErr w:type="spellStart"/>
      <w:r>
        <w:rPr>
          <w:rFonts w:ascii="Arial" w:hAnsi="Arial" w:cs="Arial"/>
          <w:b/>
          <w:bCs/>
          <w:color w:val="000033"/>
          <w:sz w:val="20"/>
          <w:szCs w:val="20"/>
          <w:shd w:val="clear" w:color="auto" w:fill="FFFFFF"/>
        </w:rPr>
        <w:t>analyzing</w:t>
      </w:r>
      <w:proofErr w:type="spellEnd"/>
      <w:r>
        <w:rPr>
          <w:rFonts w:ascii="Arial" w:hAnsi="Arial" w:cs="Arial"/>
          <w:b/>
          <w:bCs/>
          <w:color w:val="000033"/>
          <w:sz w:val="20"/>
          <w:szCs w:val="20"/>
          <w:shd w:val="clear" w:color="auto" w:fill="FFFFFF"/>
        </w:rPr>
        <w:t xml:space="preserve"> entropy change with age in CpG islands versus non-CpG islands we looked at change in methylation on the y-axis versus change in JSD on the left and CpG islands show more change in methylation and JSD with age when compared to non-CpG island. </w:t>
      </w:r>
      <w:r>
        <w:rPr>
          <w:rFonts w:ascii="Arial" w:hAnsi="Arial" w:cs="Arial"/>
          <w:b/>
          <w:bCs/>
          <w:i/>
          <w:iCs/>
          <w:color w:val="000033"/>
          <w:sz w:val="20"/>
          <w:szCs w:val="20"/>
          <w:u w:val="single"/>
          <w:shd w:val="clear" w:color="auto" w:fill="FFFFFF"/>
        </w:rPr>
        <w:t>This will be added as supplementary figure no 8 and addressed in the paper on lines 221-229.</w:t>
      </w:r>
    </w:p>
    <w:p w14:paraId="4FD1A431" w14:textId="77777777" w:rsidR="006F3AA8" w:rsidRDefault="006F3AA8" w:rsidP="006F3AA8">
      <w:pPr>
        <w:rPr>
          <w:rFonts w:ascii="Arial" w:hAnsi="Arial" w:cs="Arial"/>
          <w:b/>
          <w:bCs/>
          <w:color w:val="000033"/>
          <w:sz w:val="20"/>
          <w:szCs w:val="20"/>
          <w:shd w:val="clear" w:color="auto" w:fill="FFFFFF"/>
        </w:rPr>
      </w:pPr>
    </w:p>
    <w:p w14:paraId="3894BC46" w14:textId="1E0CC480" w:rsidR="006F3AA8" w:rsidRDefault="006F3AA8" w:rsidP="006F3AA8">
      <w:pPr>
        <w:rPr>
          <w:rFonts w:ascii="Arial" w:hAnsi="Arial" w:cs="Arial"/>
          <w:b/>
          <w:bCs/>
          <w:color w:val="000033"/>
          <w:sz w:val="20"/>
          <w:szCs w:val="20"/>
          <w:shd w:val="clear" w:color="auto" w:fill="FFFFFF"/>
        </w:rPr>
      </w:pPr>
      <w:r>
        <w:rPr>
          <w:rFonts w:ascii="Arial" w:hAnsi="Arial" w:cs="Arial"/>
          <w:b/>
          <w:noProof/>
          <w:color w:val="000033"/>
          <w:sz w:val="20"/>
          <w:szCs w:val="20"/>
          <w:shd w:val="clear" w:color="auto" w:fill="FFFFFF"/>
        </w:rPr>
        <w:lastRenderedPageBreak/>
        <w:drawing>
          <wp:inline distT="0" distB="0" distL="0" distR="0" wp14:anchorId="4308F74D" wp14:editId="73DDC649">
            <wp:extent cx="5731510" cy="6142990"/>
            <wp:effectExtent l="0" t="0" r="2540" b="0"/>
            <wp:docPr id="10" name="Picture 10"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lenda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6142990"/>
                    </a:xfrm>
                    <a:prstGeom prst="rect">
                      <a:avLst/>
                    </a:prstGeom>
                    <a:noFill/>
                    <a:ln>
                      <a:noFill/>
                    </a:ln>
                  </pic:spPr>
                </pic:pic>
              </a:graphicData>
            </a:graphic>
          </wp:inline>
        </w:drawing>
      </w:r>
    </w:p>
    <w:p w14:paraId="3D07A66B" w14:textId="77777777" w:rsidR="006F3AA8" w:rsidRDefault="006F3AA8" w:rsidP="006F3AA8">
      <w:pPr>
        <w:rPr>
          <w:rFonts w:ascii="Arial" w:hAnsi="Arial" w:cs="Arial"/>
          <w:b/>
          <w:bCs/>
          <w:sz w:val="16"/>
          <w:szCs w:val="16"/>
        </w:rPr>
      </w:pPr>
    </w:p>
    <w:p w14:paraId="69881A4E" w14:textId="77777777" w:rsidR="006F3AA8" w:rsidRDefault="006F3AA8" w:rsidP="006F3AA8">
      <w:pPr>
        <w:rPr>
          <w:rFonts w:ascii="Arial" w:hAnsi="Arial" w:cs="Arial"/>
          <w:sz w:val="16"/>
          <w:szCs w:val="16"/>
        </w:rPr>
      </w:pPr>
      <w:r>
        <w:rPr>
          <w:rFonts w:ascii="Arial" w:hAnsi="Arial" w:cs="Arial"/>
          <w:b/>
          <w:bCs/>
          <w:sz w:val="16"/>
          <w:szCs w:val="16"/>
        </w:rPr>
        <w:t xml:space="preserve">Figure legend: </w:t>
      </w:r>
      <w:r>
        <w:rPr>
          <w:rFonts w:ascii="Arial" w:hAnsi="Arial" w:cs="Arial"/>
          <w:sz w:val="16"/>
          <w:szCs w:val="16"/>
        </w:rPr>
        <w:t xml:space="preserve">Change in entropy in CpG islands vs </w:t>
      </w:r>
      <w:proofErr w:type="spellStart"/>
      <w:r>
        <w:rPr>
          <w:rFonts w:ascii="Arial" w:hAnsi="Arial" w:cs="Arial"/>
          <w:sz w:val="16"/>
          <w:szCs w:val="16"/>
        </w:rPr>
        <w:t>nonCpG</w:t>
      </w:r>
      <w:proofErr w:type="spellEnd"/>
      <w:r>
        <w:rPr>
          <w:rFonts w:ascii="Arial" w:hAnsi="Arial" w:cs="Arial"/>
          <w:sz w:val="16"/>
          <w:szCs w:val="16"/>
        </w:rPr>
        <w:t xml:space="preserve"> islands. (</w:t>
      </w:r>
      <w:r>
        <w:rPr>
          <w:rFonts w:ascii="Arial" w:hAnsi="Arial" w:cs="Arial"/>
          <w:b/>
          <w:bCs/>
          <w:sz w:val="16"/>
          <w:szCs w:val="16"/>
        </w:rPr>
        <w:t>a-b</w:t>
      </w:r>
      <w:r>
        <w:rPr>
          <w:rFonts w:ascii="Arial" w:hAnsi="Arial" w:cs="Arial"/>
          <w:sz w:val="16"/>
          <w:szCs w:val="16"/>
        </w:rPr>
        <w:t>) PCA plots constructed using Jensen-Shannon Distances (JSDs) for loci with coverage &gt; 40 in CpG islands (</w:t>
      </w:r>
      <w:r>
        <w:rPr>
          <w:rFonts w:ascii="Arial" w:hAnsi="Arial" w:cs="Arial"/>
          <w:b/>
          <w:bCs/>
          <w:sz w:val="16"/>
          <w:szCs w:val="16"/>
        </w:rPr>
        <w:t>a</w:t>
      </w:r>
      <w:r>
        <w:rPr>
          <w:rFonts w:ascii="Arial" w:hAnsi="Arial" w:cs="Arial"/>
          <w:sz w:val="16"/>
          <w:szCs w:val="16"/>
        </w:rPr>
        <w:t xml:space="preserve">) and </w:t>
      </w:r>
      <w:proofErr w:type="spellStart"/>
      <w:r>
        <w:rPr>
          <w:rFonts w:ascii="Arial" w:hAnsi="Arial" w:cs="Arial"/>
          <w:sz w:val="16"/>
          <w:szCs w:val="16"/>
        </w:rPr>
        <w:t>nonCpG</w:t>
      </w:r>
      <w:proofErr w:type="spellEnd"/>
      <w:r>
        <w:rPr>
          <w:rFonts w:ascii="Arial" w:hAnsi="Arial" w:cs="Arial"/>
          <w:sz w:val="16"/>
          <w:szCs w:val="16"/>
        </w:rPr>
        <w:t xml:space="preserve"> islands (</w:t>
      </w:r>
      <w:r>
        <w:rPr>
          <w:rFonts w:ascii="Arial" w:hAnsi="Arial" w:cs="Arial"/>
          <w:b/>
          <w:bCs/>
          <w:sz w:val="16"/>
          <w:szCs w:val="16"/>
        </w:rPr>
        <w:t>b</w:t>
      </w:r>
      <w:r>
        <w:rPr>
          <w:rFonts w:ascii="Arial" w:hAnsi="Arial" w:cs="Arial"/>
          <w:sz w:val="16"/>
          <w:szCs w:val="16"/>
        </w:rPr>
        <w:t xml:space="preserve">). Scatterplots showing the change in Jensen-Shannon Distance (JSD) on the x-axis vs change in methylation on y-axis in between stem cells and </w:t>
      </w:r>
      <w:proofErr w:type="spellStart"/>
      <w:r>
        <w:rPr>
          <w:rFonts w:ascii="Arial" w:hAnsi="Arial" w:cs="Arial"/>
          <w:sz w:val="16"/>
          <w:szCs w:val="16"/>
        </w:rPr>
        <w:t>nonstem</w:t>
      </w:r>
      <w:proofErr w:type="spellEnd"/>
      <w:r>
        <w:rPr>
          <w:rFonts w:ascii="Arial" w:hAnsi="Arial" w:cs="Arial"/>
          <w:sz w:val="16"/>
          <w:szCs w:val="16"/>
        </w:rPr>
        <w:t xml:space="preserve"> cells in small intestine and colon in CpG islands (left) vs non CpG islands(right). (</w:t>
      </w:r>
      <w:r>
        <w:rPr>
          <w:rFonts w:ascii="Arial" w:hAnsi="Arial" w:cs="Arial"/>
          <w:b/>
          <w:bCs/>
          <w:sz w:val="16"/>
          <w:szCs w:val="16"/>
        </w:rPr>
        <w:t>c-d</w:t>
      </w:r>
      <w:r>
        <w:rPr>
          <w:rFonts w:ascii="Arial" w:hAnsi="Arial" w:cs="Arial"/>
          <w:sz w:val="16"/>
          <w:szCs w:val="16"/>
        </w:rPr>
        <w:t>) Colon, (</w:t>
      </w:r>
      <w:r>
        <w:rPr>
          <w:rFonts w:ascii="Arial" w:hAnsi="Arial" w:cs="Arial"/>
          <w:b/>
          <w:bCs/>
          <w:sz w:val="16"/>
          <w:szCs w:val="16"/>
        </w:rPr>
        <w:t>e-f</w:t>
      </w:r>
      <w:r>
        <w:rPr>
          <w:rFonts w:ascii="Arial" w:hAnsi="Arial" w:cs="Arial"/>
          <w:sz w:val="16"/>
          <w:szCs w:val="16"/>
        </w:rPr>
        <w:t>) Upper small intestine and (</w:t>
      </w:r>
      <w:r>
        <w:rPr>
          <w:rFonts w:ascii="Arial" w:hAnsi="Arial" w:cs="Arial"/>
          <w:b/>
          <w:bCs/>
          <w:sz w:val="16"/>
          <w:szCs w:val="16"/>
        </w:rPr>
        <w:t>g-h</w:t>
      </w:r>
      <w:r>
        <w:rPr>
          <w:rFonts w:ascii="Arial" w:hAnsi="Arial" w:cs="Arial"/>
          <w:sz w:val="16"/>
          <w:szCs w:val="16"/>
        </w:rPr>
        <w:t>) Lower small intestine.</w:t>
      </w:r>
    </w:p>
    <w:p w14:paraId="25660E76" w14:textId="77777777" w:rsidR="006F3AA8" w:rsidRDefault="006F3AA8" w:rsidP="006F3AA8">
      <w:pPr>
        <w:rPr>
          <w:rFonts w:ascii="Arial" w:hAnsi="Arial" w:cs="Arial"/>
          <w:b/>
          <w:bCs/>
          <w:sz w:val="20"/>
          <w:szCs w:val="20"/>
        </w:rPr>
      </w:pPr>
    </w:p>
    <w:p w14:paraId="57457C76" w14:textId="77777777" w:rsidR="006F3AA8" w:rsidRDefault="006F3AA8" w:rsidP="006F3AA8">
      <w:pPr>
        <w:rPr>
          <w:rFonts w:ascii="Arial" w:hAnsi="Arial" w:cs="Arial"/>
          <w:b/>
          <w:bCs/>
          <w:sz w:val="20"/>
          <w:szCs w:val="20"/>
        </w:rPr>
      </w:pPr>
    </w:p>
    <w:p w14:paraId="1FC4B288" w14:textId="77777777" w:rsidR="006F3AA8" w:rsidRDefault="006F3AA8" w:rsidP="006F3AA8">
      <w:pPr>
        <w:rPr>
          <w:rFonts w:ascii="Arial" w:hAnsi="Arial" w:cs="Arial"/>
          <w:color w:val="FF0000"/>
          <w:sz w:val="20"/>
          <w:szCs w:val="20"/>
          <w:shd w:val="clear" w:color="auto" w:fill="FFFFFF"/>
        </w:rPr>
      </w:pPr>
      <w:r>
        <w:rPr>
          <w:rFonts w:ascii="Arial" w:hAnsi="Arial" w:cs="Arial"/>
          <w:color w:val="FF0000"/>
          <w:sz w:val="20"/>
          <w:szCs w:val="20"/>
          <w:shd w:val="clear" w:color="auto" w:fill="FFFFFF"/>
        </w:rPr>
        <w:t xml:space="preserve">7. This is not experimentally required for this paper - but authors should acknowledge in the Discussion that it would clearly be of significant interest if a consistent result was found with the now available Illumina mouse </w:t>
      </w:r>
      <w:proofErr w:type="spellStart"/>
      <w:r>
        <w:rPr>
          <w:rFonts w:ascii="Arial" w:hAnsi="Arial" w:cs="Arial"/>
          <w:color w:val="FF0000"/>
          <w:sz w:val="20"/>
          <w:szCs w:val="20"/>
          <w:shd w:val="clear" w:color="auto" w:fill="FFFFFF"/>
        </w:rPr>
        <w:t>DNAm</w:t>
      </w:r>
      <w:proofErr w:type="spellEnd"/>
      <w:r>
        <w:rPr>
          <w:rFonts w:ascii="Arial" w:hAnsi="Arial" w:cs="Arial"/>
          <w:color w:val="FF0000"/>
          <w:sz w:val="20"/>
          <w:szCs w:val="20"/>
          <w:shd w:val="clear" w:color="auto" w:fill="FFFFFF"/>
        </w:rPr>
        <w:t xml:space="preserve"> array - which avoids all the vagaries of stochastic sequencing depth </w:t>
      </w:r>
      <w:proofErr w:type="gramStart"/>
      <w:r>
        <w:rPr>
          <w:rFonts w:ascii="Arial" w:hAnsi="Arial" w:cs="Arial"/>
          <w:color w:val="FF0000"/>
          <w:sz w:val="20"/>
          <w:szCs w:val="20"/>
          <w:shd w:val="clear" w:color="auto" w:fill="FFFFFF"/>
        </w:rPr>
        <w:t>variation.-</w:t>
      </w:r>
      <w:proofErr w:type="gramEnd"/>
      <w:r>
        <w:rPr>
          <w:rFonts w:ascii="Arial" w:hAnsi="Arial" w:cs="Arial"/>
          <w:color w:val="FF0000"/>
          <w:sz w:val="20"/>
          <w:szCs w:val="20"/>
          <w:shd w:val="clear" w:color="auto" w:fill="FFFFFF"/>
        </w:rPr>
        <w:t>??</w:t>
      </w:r>
    </w:p>
    <w:p w14:paraId="5801C1F4" w14:textId="77777777" w:rsidR="006F3AA8" w:rsidRDefault="006F3AA8" w:rsidP="006F3AA8">
      <w:pPr>
        <w:rPr>
          <w:rFonts w:ascii="Arial" w:hAnsi="Arial" w:cs="Arial"/>
          <w:color w:val="000033"/>
          <w:sz w:val="20"/>
          <w:szCs w:val="20"/>
          <w:shd w:val="clear" w:color="auto" w:fill="FFFFFF"/>
        </w:rPr>
      </w:pPr>
    </w:p>
    <w:p w14:paraId="567A9078" w14:textId="77777777" w:rsidR="006F3AA8" w:rsidRDefault="006F3AA8" w:rsidP="006F3AA8">
      <w:pPr>
        <w:rPr>
          <w:rFonts w:ascii="Arial" w:hAnsi="Arial" w:cs="Arial"/>
          <w:b/>
          <w:bCs/>
          <w:i/>
          <w:iCs/>
          <w:color w:val="000033"/>
          <w:sz w:val="20"/>
          <w:szCs w:val="20"/>
          <w:u w:val="single"/>
          <w:shd w:val="clear" w:color="auto" w:fill="FFFFFF"/>
        </w:rPr>
      </w:pPr>
      <w:r>
        <w:rPr>
          <w:rFonts w:ascii="Arial" w:hAnsi="Arial" w:cs="Arial"/>
          <w:b/>
          <w:bCs/>
          <w:color w:val="000033"/>
          <w:sz w:val="20"/>
          <w:szCs w:val="20"/>
          <w:shd w:val="clear" w:color="auto" w:fill="FFFFFF"/>
        </w:rPr>
        <w:lastRenderedPageBreak/>
        <w:t xml:space="preserve">Response: We agree it would be of significant interest to determine the whether the same dynamics of islands and non-islands and other results we found in our study can be reproduced with illumine mouse arrays or with whole genome sequencing. It would provide more CpG sites for analysis, which could potentially avoid the vagaries of stochastic sequencing and would yield more CpG sites for analysis. However, one drawback in using Illumina mouse arrays is that one cannot measure entropy with array-based methods. </w:t>
      </w:r>
      <w:r>
        <w:rPr>
          <w:rFonts w:ascii="Arial" w:hAnsi="Arial" w:cs="Arial"/>
          <w:b/>
          <w:bCs/>
          <w:i/>
          <w:iCs/>
          <w:color w:val="000033"/>
          <w:sz w:val="20"/>
          <w:szCs w:val="20"/>
          <w:u w:val="single"/>
          <w:shd w:val="clear" w:color="auto" w:fill="FFFFFF"/>
        </w:rPr>
        <w:t>We have added a statement regarding this in our discussion regarding this in line 316-320.</w:t>
      </w:r>
    </w:p>
    <w:p w14:paraId="37053BD6" w14:textId="77777777" w:rsidR="006F3AA8" w:rsidRDefault="006F3AA8" w:rsidP="006F3AA8">
      <w:pPr>
        <w:rPr>
          <w:rFonts w:ascii="Arial" w:hAnsi="Arial" w:cs="Arial"/>
          <w:b/>
          <w:bCs/>
          <w:color w:val="000033"/>
          <w:sz w:val="20"/>
          <w:szCs w:val="20"/>
          <w:shd w:val="clear" w:color="auto" w:fill="FFFFFF"/>
        </w:rPr>
      </w:pPr>
    </w:p>
    <w:p w14:paraId="5ED55E53" w14:textId="77777777" w:rsidR="006F3AA8" w:rsidRDefault="006F3AA8" w:rsidP="006F3AA8">
      <w:pPr>
        <w:rPr>
          <w:rFonts w:ascii="Arial" w:hAnsi="Arial" w:cs="Arial"/>
          <w:b/>
          <w:bCs/>
          <w:color w:val="000033"/>
          <w:sz w:val="20"/>
          <w:szCs w:val="20"/>
          <w:shd w:val="clear" w:color="auto" w:fill="FFFFFF"/>
        </w:rPr>
      </w:pPr>
    </w:p>
    <w:p w14:paraId="3A909156" w14:textId="77777777" w:rsidR="006F3AA8" w:rsidRDefault="006F3AA8" w:rsidP="006F3AA8">
      <w:pPr>
        <w:rPr>
          <w:rFonts w:ascii="Arial" w:hAnsi="Arial" w:cs="Arial"/>
          <w:b/>
          <w:bCs/>
          <w:color w:val="000033"/>
          <w:sz w:val="20"/>
          <w:szCs w:val="20"/>
          <w:shd w:val="clear" w:color="auto" w:fill="FFFFFF"/>
        </w:rPr>
      </w:pPr>
      <w:r>
        <w:rPr>
          <w:rFonts w:ascii="Arial" w:hAnsi="Arial" w:cs="Arial"/>
          <w:b/>
          <w:bCs/>
          <w:color w:val="000033"/>
          <w:sz w:val="20"/>
          <w:szCs w:val="20"/>
          <w:shd w:val="clear" w:color="auto" w:fill="FFFFFF"/>
        </w:rPr>
        <w:t>Reviewer 2.</w:t>
      </w:r>
    </w:p>
    <w:p w14:paraId="57245B65" w14:textId="77777777" w:rsidR="006F3AA8" w:rsidRDefault="006F3AA8" w:rsidP="006F3AA8">
      <w:pPr>
        <w:rPr>
          <w:rFonts w:ascii="Arial" w:hAnsi="Arial" w:cs="Arial"/>
          <w:b/>
          <w:bCs/>
          <w:color w:val="000033"/>
          <w:sz w:val="20"/>
          <w:szCs w:val="20"/>
          <w:shd w:val="clear" w:color="auto" w:fill="FFFFFF"/>
        </w:rPr>
      </w:pPr>
    </w:p>
    <w:p w14:paraId="28D312A6" w14:textId="77777777" w:rsidR="006F3AA8" w:rsidRDefault="006F3AA8" w:rsidP="006F3AA8">
      <w:pPr>
        <w:rPr>
          <w:rFonts w:ascii="Arial" w:hAnsi="Arial" w:cs="Arial"/>
          <w:color w:val="FF0000"/>
          <w:sz w:val="20"/>
          <w:szCs w:val="20"/>
          <w:shd w:val="clear" w:color="auto" w:fill="FFFFFF"/>
        </w:rPr>
      </w:pPr>
      <w:r>
        <w:rPr>
          <w:rFonts w:ascii="Arial" w:hAnsi="Arial" w:cs="Arial"/>
          <w:color w:val="FF0000"/>
          <w:sz w:val="20"/>
          <w:szCs w:val="20"/>
          <w:shd w:val="clear" w:color="auto" w:fill="FFFFFF"/>
        </w:rPr>
        <w:t xml:space="preserve">1. Tissue specific differences were </w:t>
      </w:r>
      <w:proofErr w:type="spellStart"/>
      <w:r>
        <w:rPr>
          <w:rFonts w:ascii="Arial" w:hAnsi="Arial" w:cs="Arial"/>
          <w:color w:val="FF0000"/>
          <w:sz w:val="20"/>
          <w:szCs w:val="20"/>
          <w:shd w:val="clear" w:color="auto" w:fill="FFFFFF"/>
        </w:rPr>
        <w:t>analyzed</w:t>
      </w:r>
      <w:proofErr w:type="spellEnd"/>
      <w:r>
        <w:rPr>
          <w:rFonts w:ascii="Arial" w:hAnsi="Arial" w:cs="Arial"/>
          <w:color w:val="FF0000"/>
          <w:sz w:val="20"/>
          <w:szCs w:val="20"/>
          <w:shd w:val="clear" w:color="auto" w:fill="FFFFFF"/>
        </w:rPr>
        <w:t xml:space="preserve"> on epithelial cells from colon and small intestine - these closely related cell types/tissues may not be ideal to generalize for tissue-specific differences. Since the authors also </w:t>
      </w:r>
      <w:proofErr w:type="spellStart"/>
      <w:r>
        <w:rPr>
          <w:rFonts w:ascii="Arial" w:hAnsi="Arial" w:cs="Arial"/>
          <w:color w:val="FF0000"/>
          <w:sz w:val="20"/>
          <w:szCs w:val="20"/>
          <w:shd w:val="clear" w:color="auto" w:fill="FFFFFF"/>
        </w:rPr>
        <w:t>analyzed</w:t>
      </w:r>
      <w:proofErr w:type="spellEnd"/>
      <w:r>
        <w:rPr>
          <w:rFonts w:ascii="Arial" w:hAnsi="Arial" w:cs="Arial"/>
          <w:color w:val="FF0000"/>
          <w:sz w:val="20"/>
          <w:szCs w:val="20"/>
          <w:shd w:val="clear" w:color="auto" w:fill="FFFFFF"/>
        </w:rPr>
        <w:t xml:space="preserve"> many other tissues, it would be better to consider these for the analysis, too.</w:t>
      </w:r>
    </w:p>
    <w:p w14:paraId="447F45CB" w14:textId="77777777" w:rsidR="006F3AA8" w:rsidRDefault="006F3AA8" w:rsidP="006F3AA8">
      <w:pPr>
        <w:rPr>
          <w:rFonts w:ascii="Arial" w:hAnsi="Arial" w:cs="Arial"/>
          <w:b/>
          <w:bCs/>
          <w:sz w:val="20"/>
          <w:szCs w:val="20"/>
        </w:rPr>
      </w:pPr>
    </w:p>
    <w:p w14:paraId="61A54E44" w14:textId="77777777" w:rsidR="006F3AA8" w:rsidRDefault="006F3AA8" w:rsidP="006F3AA8">
      <w:pPr>
        <w:rPr>
          <w:rFonts w:ascii="Arial" w:hAnsi="Arial" w:cs="Arial"/>
          <w:b/>
          <w:bCs/>
          <w:sz w:val="20"/>
          <w:szCs w:val="20"/>
        </w:rPr>
      </w:pPr>
    </w:p>
    <w:p w14:paraId="1DB87886" w14:textId="77777777" w:rsidR="006F3AA8" w:rsidRDefault="006F3AA8" w:rsidP="006F3AA8">
      <w:pPr>
        <w:rPr>
          <w:rFonts w:ascii="Arial" w:hAnsi="Arial" w:cs="Arial"/>
          <w:b/>
          <w:bCs/>
          <w:i/>
          <w:iCs/>
          <w:color w:val="000033"/>
          <w:sz w:val="20"/>
          <w:szCs w:val="20"/>
          <w:u w:val="single"/>
          <w:shd w:val="clear" w:color="auto" w:fill="FFFFFF"/>
        </w:rPr>
      </w:pPr>
      <w:r>
        <w:rPr>
          <w:rFonts w:ascii="Arial" w:hAnsi="Arial" w:cs="Arial"/>
          <w:b/>
          <w:bCs/>
          <w:color w:val="000033"/>
          <w:sz w:val="20"/>
          <w:szCs w:val="20"/>
          <w:shd w:val="clear" w:color="auto" w:fill="FFFFFF"/>
        </w:rPr>
        <w:t xml:space="preserve">Response: We agree that epithelial cells from the small intestine and colon are very similar and may not be ideal samples to test for tissue specific differences. Following the reviewer’s comments, we </w:t>
      </w:r>
      <w:proofErr w:type="spellStart"/>
      <w:r>
        <w:rPr>
          <w:rFonts w:ascii="Arial" w:hAnsi="Arial" w:cs="Arial"/>
          <w:b/>
          <w:bCs/>
          <w:color w:val="000033"/>
          <w:sz w:val="20"/>
          <w:szCs w:val="20"/>
          <w:shd w:val="clear" w:color="auto" w:fill="FFFFFF"/>
        </w:rPr>
        <w:t>analyzed</w:t>
      </w:r>
      <w:proofErr w:type="spellEnd"/>
      <w:r>
        <w:rPr>
          <w:rFonts w:ascii="Arial" w:hAnsi="Arial" w:cs="Arial"/>
          <w:b/>
          <w:bCs/>
          <w:color w:val="000033"/>
          <w:sz w:val="20"/>
          <w:szCs w:val="20"/>
          <w:shd w:val="clear" w:color="auto" w:fill="FFFFFF"/>
        </w:rPr>
        <w:t xml:space="preserve"> all our tissue samples including (Blood, Heart, Lung, Liver, Spleen, Skeletal Muscle, Kidney, Small intestine, and Colon). We took common CpG sites across all tissues allowing for 25% of the samples to have missing data. We calculated standard deviation for each CpG site across these tissues and took the top 8000 CpG sites with the most deviation and tried to find overlapping CpG sites that are significant with age in our permutation analysis results. Just like in our prior analyses, we found very little overlap between aging-specific and differentiation-specific CpG sites: We found only 104 CpG sites overlapping between the two (~1%) and the result is shown in the Venn diagram below: </w:t>
      </w:r>
      <w:r>
        <w:rPr>
          <w:rFonts w:ascii="Arial" w:hAnsi="Arial" w:cs="Arial"/>
          <w:b/>
          <w:bCs/>
          <w:i/>
          <w:iCs/>
          <w:color w:val="000033"/>
          <w:sz w:val="20"/>
          <w:szCs w:val="20"/>
          <w:u w:val="single"/>
          <w:shd w:val="clear" w:color="auto" w:fill="FFFFFF"/>
        </w:rPr>
        <w:t xml:space="preserve">It has been added to the analysis in Figure 2h and has been added to the manuscript on lines 139-145 </w:t>
      </w:r>
    </w:p>
    <w:p w14:paraId="48F45CC9" w14:textId="77777777" w:rsidR="006F3AA8" w:rsidRDefault="006F3AA8" w:rsidP="006F3AA8">
      <w:pPr>
        <w:rPr>
          <w:rFonts w:ascii="Arial" w:hAnsi="Arial" w:cs="Arial"/>
          <w:b/>
          <w:bCs/>
          <w:color w:val="000033"/>
          <w:sz w:val="20"/>
          <w:szCs w:val="20"/>
          <w:shd w:val="clear" w:color="auto" w:fill="FFFFFF"/>
        </w:rPr>
      </w:pPr>
    </w:p>
    <w:p w14:paraId="61985605" w14:textId="77777777" w:rsidR="006F3AA8" w:rsidRDefault="006F3AA8" w:rsidP="006F3AA8">
      <w:pPr>
        <w:rPr>
          <w:rFonts w:ascii="Arial" w:hAnsi="Arial" w:cs="Arial"/>
          <w:b/>
          <w:bCs/>
          <w:sz w:val="20"/>
          <w:szCs w:val="20"/>
        </w:rPr>
      </w:pPr>
    </w:p>
    <w:p w14:paraId="2C28F734" w14:textId="0B18193D" w:rsidR="006F3AA8" w:rsidRDefault="006F3AA8" w:rsidP="006F3AA8">
      <w:pPr>
        <w:jc w:val="center"/>
        <w:rPr>
          <w:rFonts w:ascii="Arial" w:hAnsi="Arial" w:cs="Arial"/>
          <w:b/>
          <w:bCs/>
          <w:sz w:val="20"/>
          <w:szCs w:val="20"/>
        </w:rPr>
      </w:pPr>
      <w:r>
        <w:rPr>
          <w:rFonts w:ascii="Arial" w:hAnsi="Arial" w:cs="Arial"/>
          <w:b/>
          <w:noProof/>
          <w:sz w:val="20"/>
          <w:szCs w:val="20"/>
        </w:rPr>
        <w:drawing>
          <wp:inline distT="0" distB="0" distL="0" distR="0" wp14:anchorId="4A042DB9" wp14:editId="43BB7F86">
            <wp:extent cx="2377440" cy="1744980"/>
            <wp:effectExtent l="0" t="0" r="381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7440" cy="1744980"/>
                    </a:xfrm>
                    <a:prstGeom prst="rect">
                      <a:avLst/>
                    </a:prstGeom>
                    <a:noFill/>
                    <a:ln>
                      <a:noFill/>
                    </a:ln>
                  </pic:spPr>
                </pic:pic>
              </a:graphicData>
            </a:graphic>
          </wp:inline>
        </w:drawing>
      </w:r>
    </w:p>
    <w:p w14:paraId="3AA04342" w14:textId="77777777" w:rsidR="006F3AA8" w:rsidRDefault="006F3AA8" w:rsidP="006F3AA8">
      <w:pPr>
        <w:rPr>
          <w:rFonts w:ascii="Arial" w:hAnsi="Arial" w:cs="Arial"/>
          <w:b/>
          <w:bCs/>
          <w:sz w:val="20"/>
          <w:szCs w:val="20"/>
        </w:rPr>
      </w:pPr>
    </w:p>
    <w:p w14:paraId="31410BC0" w14:textId="77777777" w:rsidR="006F3AA8" w:rsidRDefault="006F3AA8" w:rsidP="006F3AA8">
      <w:pPr>
        <w:rPr>
          <w:rFonts w:ascii="Arial" w:hAnsi="Arial" w:cs="Arial"/>
          <w:color w:val="FF0000"/>
          <w:sz w:val="20"/>
          <w:szCs w:val="20"/>
          <w:shd w:val="clear" w:color="auto" w:fill="FFFFFF"/>
        </w:rPr>
      </w:pPr>
      <w:r>
        <w:rPr>
          <w:rFonts w:ascii="Arial" w:hAnsi="Arial" w:cs="Arial"/>
          <w:color w:val="FF0000"/>
          <w:sz w:val="20"/>
          <w:szCs w:val="20"/>
          <w:shd w:val="clear" w:color="auto" w:fill="FFFFFF"/>
        </w:rPr>
        <w:t>2) The number of biological replicas should be better indicated in the manuscript. Furthermore, four mouse samples were pooled for RRBS. Is it conceivable that mixing of samples impacts on the JSD if there are interindividual differences?</w:t>
      </w:r>
    </w:p>
    <w:p w14:paraId="276C973F" w14:textId="77777777" w:rsidR="006F3AA8" w:rsidRDefault="006F3AA8" w:rsidP="006F3AA8">
      <w:pPr>
        <w:rPr>
          <w:rFonts w:ascii="Arial" w:hAnsi="Arial" w:cs="Arial"/>
          <w:color w:val="000033"/>
          <w:sz w:val="20"/>
          <w:szCs w:val="20"/>
          <w:shd w:val="clear" w:color="auto" w:fill="FFFFFF"/>
        </w:rPr>
      </w:pPr>
    </w:p>
    <w:p w14:paraId="0BF32534" w14:textId="77777777" w:rsidR="006F3AA8" w:rsidRDefault="006F3AA8" w:rsidP="006F3AA8">
      <w:pPr>
        <w:rPr>
          <w:rFonts w:ascii="Arial" w:hAnsi="Arial" w:cs="Arial"/>
          <w:color w:val="000033"/>
          <w:sz w:val="20"/>
          <w:szCs w:val="20"/>
          <w:shd w:val="clear" w:color="auto" w:fill="FFFFFF"/>
        </w:rPr>
      </w:pPr>
    </w:p>
    <w:p w14:paraId="09E70327" w14:textId="77777777" w:rsidR="006F3AA8" w:rsidRDefault="006F3AA8" w:rsidP="006F3AA8">
      <w:pPr>
        <w:rPr>
          <w:rFonts w:ascii="Arial" w:hAnsi="Arial" w:cs="Arial"/>
          <w:b/>
          <w:bCs/>
          <w:color w:val="000033"/>
          <w:sz w:val="20"/>
          <w:szCs w:val="20"/>
          <w:shd w:val="clear" w:color="auto" w:fill="FFFFFF"/>
        </w:rPr>
      </w:pPr>
      <w:r>
        <w:rPr>
          <w:rFonts w:ascii="Arial" w:hAnsi="Arial" w:cs="Arial"/>
          <w:b/>
          <w:bCs/>
          <w:color w:val="000033"/>
          <w:sz w:val="20"/>
          <w:szCs w:val="20"/>
          <w:shd w:val="clear" w:color="auto" w:fill="FFFFFF"/>
        </w:rPr>
        <w:t xml:space="preserve">Response: The complete list for each organ in the paper and the number of biological replicates is present in the table below. </w:t>
      </w:r>
      <w:r>
        <w:rPr>
          <w:rFonts w:ascii="Arial" w:hAnsi="Arial" w:cs="Arial"/>
          <w:b/>
          <w:bCs/>
          <w:i/>
          <w:iCs/>
          <w:color w:val="000033"/>
          <w:sz w:val="20"/>
          <w:szCs w:val="20"/>
          <w:u w:val="single"/>
          <w:shd w:val="clear" w:color="auto" w:fill="FFFFFF"/>
        </w:rPr>
        <w:t>The list will be submitted as supplementary table 4.</w:t>
      </w:r>
    </w:p>
    <w:p w14:paraId="7E7098AD" w14:textId="77777777" w:rsidR="006F3AA8" w:rsidRDefault="006F3AA8" w:rsidP="006F3AA8">
      <w:pPr>
        <w:rPr>
          <w:rFonts w:ascii="Arial" w:hAnsi="Arial" w:cs="Arial"/>
          <w:b/>
          <w:bCs/>
          <w:color w:val="000033"/>
          <w:sz w:val="20"/>
          <w:szCs w:val="20"/>
          <w:shd w:val="clear" w:color="auto" w:fill="FFFFFF"/>
        </w:rPr>
      </w:pPr>
    </w:p>
    <w:tbl>
      <w:tblPr>
        <w:tblStyle w:val="TableGrid"/>
        <w:tblW w:w="9535" w:type="dxa"/>
        <w:tblInd w:w="0" w:type="dxa"/>
        <w:tblLook w:val="04A0" w:firstRow="1" w:lastRow="0" w:firstColumn="1" w:lastColumn="0" w:noHBand="0" w:noVBand="1"/>
      </w:tblPr>
      <w:tblGrid>
        <w:gridCol w:w="2875"/>
        <w:gridCol w:w="1643"/>
        <w:gridCol w:w="2439"/>
        <w:gridCol w:w="2578"/>
      </w:tblGrid>
      <w:tr w:rsidR="006F3AA8" w14:paraId="7A654167"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409E16D0"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Tissue</w:t>
            </w:r>
          </w:p>
        </w:tc>
        <w:tc>
          <w:tcPr>
            <w:tcW w:w="1643" w:type="dxa"/>
            <w:tcBorders>
              <w:top w:val="single" w:sz="4" w:space="0" w:color="auto"/>
              <w:left w:val="single" w:sz="4" w:space="0" w:color="auto"/>
              <w:bottom w:val="single" w:sz="4" w:space="0" w:color="auto"/>
              <w:right w:val="single" w:sz="4" w:space="0" w:color="auto"/>
            </w:tcBorders>
            <w:hideMark/>
          </w:tcPr>
          <w:p w14:paraId="0BDE0E0B"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Age</w:t>
            </w:r>
          </w:p>
        </w:tc>
        <w:tc>
          <w:tcPr>
            <w:tcW w:w="2439" w:type="dxa"/>
            <w:tcBorders>
              <w:top w:val="single" w:sz="4" w:space="0" w:color="auto"/>
              <w:left w:val="single" w:sz="4" w:space="0" w:color="auto"/>
              <w:bottom w:val="single" w:sz="4" w:space="0" w:color="auto"/>
              <w:right w:val="single" w:sz="4" w:space="0" w:color="auto"/>
            </w:tcBorders>
            <w:hideMark/>
          </w:tcPr>
          <w:p w14:paraId="60CD85B9"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Number of Biological replicates</w:t>
            </w:r>
          </w:p>
        </w:tc>
        <w:tc>
          <w:tcPr>
            <w:tcW w:w="2578" w:type="dxa"/>
            <w:tcBorders>
              <w:top w:val="single" w:sz="4" w:space="0" w:color="auto"/>
              <w:left w:val="single" w:sz="4" w:space="0" w:color="auto"/>
              <w:bottom w:val="single" w:sz="4" w:space="0" w:color="auto"/>
              <w:right w:val="single" w:sz="4" w:space="0" w:color="auto"/>
            </w:tcBorders>
            <w:hideMark/>
          </w:tcPr>
          <w:p w14:paraId="47900038"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Number of animals per pool</w:t>
            </w:r>
          </w:p>
        </w:tc>
      </w:tr>
      <w:tr w:rsidR="006F3AA8" w14:paraId="662C97B2"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198AFD30"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USI (both stem/non-stem)</w:t>
            </w:r>
          </w:p>
        </w:tc>
        <w:tc>
          <w:tcPr>
            <w:tcW w:w="1643" w:type="dxa"/>
            <w:tcBorders>
              <w:top w:val="single" w:sz="4" w:space="0" w:color="auto"/>
              <w:left w:val="single" w:sz="4" w:space="0" w:color="auto"/>
              <w:bottom w:val="single" w:sz="4" w:space="0" w:color="auto"/>
              <w:right w:val="single" w:sz="4" w:space="0" w:color="auto"/>
            </w:tcBorders>
            <w:hideMark/>
          </w:tcPr>
          <w:p w14:paraId="041FDC27"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4-month</w:t>
            </w:r>
          </w:p>
        </w:tc>
        <w:tc>
          <w:tcPr>
            <w:tcW w:w="2439" w:type="dxa"/>
            <w:tcBorders>
              <w:top w:val="single" w:sz="4" w:space="0" w:color="auto"/>
              <w:left w:val="single" w:sz="4" w:space="0" w:color="auto"/>
              <w:bottom w:val="single" w:sz="4" w:space="0" w:color="auto"/>
              <w:right w:val="single" w:sz="4" w:space="0" w:color="auto"/>
            </w:tcBorders>
            <w:hideMark/>
          </w:tcPr>
          <w:p w14:paraId="554D831B"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 (each pooled)</w:t>
            </w:r>
          </w:p>
        </w:tc>
        <w:tc>
          <w:tcPr>
            <w:tcW w:w="2578" w:type="dxa"/>
            <w:tcBorders>
              <w:top w:val="single" w:sz="4" w:space="0" w:color="auto"/>
              <w:left w:val="single" w:sz="4" w:space="0" w:color="auto"/>
              <w:bottom w:val="single" w:sz="4" w:space="0" w:color="auto"/>
              <w:right w:val="single" w:sz="4" w:space="0" w:color="auto"/>
            </w:tcBorders>
            <w:hideMark/>
          </w:tcPr>
          <w:p w14:paraId="19AB92D4"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4</w:t>
            </w:r>
          </w:p>
        </w:tc>
      </w:tr>
      <w:tr w:rsidR="006F3AA8" w14:paraId="5D15422D"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57C468D8"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LSI (both stem/non-stem)</w:t>
            </w:r>
          </w:p>
        </w:tc>
        <w:tc>
          <w:tcPr>
            <w:tcW w:w="1643" w:type="dxa"/>
            <w:tcBorders>
              <w:top w:val="single" w:sz="4" w:space="0" w:color="auto"/>
              <w:left w:val="single" w:sz="4" w:space="0" w:color="auto"/>
              <w:bottom w:val="single" w:sz="4" w:space="0" w:color="auto"/>
              <w:right w:val="single" w:sz="4" w:space="0" w:color="auto"/>
            </w:tcBorders>
            <w:hideMark/>
          </w:tcPr>
          <w:p w14:paraId="24F716DD"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4-month</w:t>
            </w:r>
          </w:p>
        </w:tc>
        <w:tc>
          <w:tcPr>
            <w:tcW w:w="2439" w:type="dxa"/>
            <w:tcBorders>
              <w:top w:val="single" w:sz="4" w:space="0" w:color="auto"/>
              <w:left w:val="single" w:sz="4" w:space="0" w:color="auto"/>
              <w:bottom w:val="single" w:sz="4" w:space="0" w:color="auto"/>
              <w:right w:val="single" w:sz="4" w:space="0" w:color="auto"/>
            </w:tcBorders>
            <w:hideMark/>
          </w:tcPr>
          <w:p w14:paraId="3634E172"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 (each pooled)</w:t>
            </w:r>
          </w:p>
        </w:tc>
        <w:tc>
          <w:tcPr>
            <w:tcW w:w="2578" w:type="dxa"/>
            <w:tcBorders>
              <w:top w:val="single" w:sz="4" w:space="0" w:color="auto"/>
              <w:left w:val="single" w:sz="4" w:space="0" w:color="auto"/>
              <w:bottom w:val="single" w:sz="4" w:space="0" w:color="auto"/>
              <w:right w:val="single" w:sz="4" w:space="0" w:color="auto"/>
            </w:tcBorders>
            <w:hideMark/>
          </w:tcPr>
          <w:p w14:paraId="25B99EFE"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4</w:t>
            </w:r>
          </w:p>
        </w:tc>
      </w:tr>
      <w:tr w:rsidR="006F3AA8" w14:paraId="6755CF41"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13989244"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Colon (both stem/non-stem)</w:t>
            </w:r>
          </w:p>
        </w:tc>
        <w:tc>
          <w:tcPr>
            <w:tcW w:w="1643" w:type="dxa"/>
            <w:tcBorders>
              <w:top w:val="single" w:sz="4" w:space="0" w:color="auto"/>
              <w:left w:val="single" w:sz="4" w:space="0" w:color="auto"/>
              <w:bottom w:val="single" w:sz="4" w:space="0" w:color="auto"/>
              <w:right w:val="single" w:sz="4" w:space="0" w:color="auto"/>
            </w:tcBorders>
            <w:hideMark/>
          </w:tcPr>
          <w:p w14:paraId="5F2FECFA"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4-month</w:t>
            </w:r>
          </w:p>
        </w:tc>
        <w:tc>
          <w:tcPr>
            <w:tcW w:w="2439" w:type="dxa"/>
            <w:tcBorders>
              <w:top w:val="single" w:sz="4" w:space="0" w:color="auto"/>
              <w:left w:val="single" w:sz="4" w:space="0" w:color="auto"/>
              <w:bottom w:val="single" w:sz="4" w:space="0" w:color="auto"/>
              <w:right w:val="single" w:sz="4" w:space="0" w:color="auto"/>
            </w:tcBorders>
            <w:hideMark/>
          </w:tcPr>
          <w:p w14:paraId="4CA32E74"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 (each pooled)</w:t>
            </w:r>
          </w:p>
        </w:tc>
        <w:tc>
          <w:tcPr>
            <w:tcW w:w="2578" w:type="dxa"/>
            <w:tcBorders>
              <w:top w:val="single" w:sz="4" w:space="0" w:color="auto"/>
              <w:left w:val="single" w:sz="4" w:space="0" w:color="auto"/>
              <w:bottom w:val="single" w:sz="4" w:space="0" w:color="auto"/>
              <w:right w:val="single" w:sz="4" w:space="0" w:color="auto"/>
            </w:tcBorders>
            <w:hideMark/>
          </w:tcPr>
          <w:p w14:paraId="2B39E6BE"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4</w:t>
            </w:r>
          </w:p>
        </w:tc>
      </w:tr>
      <w:tr w:rsidR="006F3AA8" w14:paraId="16560297"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61FCCE59"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USI (both stem/non-stem)</w:t>
            </w:r>
          </w:p>
        </w:tc>
        <w:tc>
          <w:tcPr>
            <w:tcW w:w="1643" w:type="dxa"/>
            <w:tcBorders>
              <w:top w:val="single" w:sz="4" w:space="0" w:color="auto"/>
              <w:left w:val="single" w:sz="4" w:space="0" w:color="auto"/>
              <w:bottom w:val="single" w:sz="4" w:space="0" w:color="auto"/>
              <w:right w:val="single" w:sz="4" w:space="0" w:color="auto"/>
            </w:tcBorders>
            <w:hideMark/>
          </w:tcPr>
          <w:p w14:paraId="3A850F17"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12-month</w:t>
            </w:r>
          </w:p>
        </w:tc>
        <w:tc>
          <w:tcPr>
            <w:tcW w:w="2439" w:type="dxa"/>
            <w:tcBorders>
              <w:top w:val="single" w:sz="4" w:space="0" w:color="auto"/>
              <w:left w:val="single" w:sz="4" w:space="0" w:color="auto"/>
              <w:bottom w:val="single" w:sz="4" w:space="0" w:color="auto"/>
              <w:right w:val="single" w:sz="4" w:space="0" w:color="auto"/>
            </w:tcBorders>
            <w:hideMark/>
          </w:tcPr>
          <w:p w14:paraId="1DA0A845"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 (each pooled)</w:t>
            </w:r>
          </w:p>
        </w:tc>
        <w:tc>
          <w:tcPr>
            <w:tcW w:w="2578" w:type="dxa"/>
            <w:tcBorders>
              <w:top w:val="single" w:sz="4" w:space="0" w:color="auto"/>
              <w:left w:val="single" w:sz="4" w:space="0" w:color="auto"/>
              <w:bottom w:val="single" w:sz="4" w:space="0" w:color="auto"/>
              <w:right w:val="single" w:sz="4" w:space="0" w:color="auto"/>
            </w:tcBorders>
            <w:hideMark/>
          </w:tcPr>
          <w:p w14:paraId="37641A69"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3</w:t>
            </w:r>
          </w:p>
        </w:tc>
      </w:tr>
      <w:tr w:rsidR="006F3AA8" w14:paraId="33AA01EE"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7CAE2987"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LSI (both stem/non-stem)</w:t>
            </w:r>
          </w:p>
        </w:tc>
        <w:tc>
          <w:tcPr>
            <w:tcW w:w="1643" w:type="dxa"/>
            <w:tcBorders>
              <w:top w:val="single" w:sz="4" w:space="0" w:color="auto"/>
              <w:left w:val="single" w:sz="4" w:space="0" w:color="auto"/>
              <w:bottom w:val="single" w:sz="4" w:space="0" w:color="auto"/>
              <w:right w:val="single" w:sz="4" w:space="0" w:color="auto"/>
            </w:tcBorders>
            <w:hideMark/>
          </w:tcPr>
          <w:p w14:paraId="407C159B"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12-month</w:t>
            </w:r>
          </w:p>
        </w:tc>
        <w:tc>
          <w:tcPr>
            <w:tcW w:w="2439" w:type="dxa"/>
            <w:tcBorders>
              <w:top w:val="single" w:sz="4" w:space="0" w:color="auto"/>
              <w:left w:val="single" w:sz="4" w:space="0" w:color="auto"/>
              <w:bottom w:val="single" w:sz="4" w:space="0" w:color="auto"/>
              <w:right w:val="single" w:sz="4" w:space="0" w:color="auto"/>
            </w:tcBorders>
            <w:hideMark/>
          </w:tcPr>
          <w:p w14:paraId="7355B4FF"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 (each pooled)</w:t>
            </w:r>
          </w:p>
        </w:tc>
        <w:tc>
          <w:tcPr>
            <w:tcW w:w="2578" w:type="dxa"/>
            <w:tcBorders>
              <w:top w:val="single" w:sz="4" w:space="0" w:color="auto"/>
              <w:left w:val="single" w:sz="4" w:space="0" w:color="auto"/>
              <w:bottom w:val="single" w:sz="4" w:space="0" w:color="auto"/>
              <w:right w:val="single" w:sz="4" w:space="0" w:color="auto"/>
            </w:tcBorders>
            <w:hideMark/>
          </w:tcPr>
          <w:p w14:paraId="3A0D84BC"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3</w:t>
            </w:r>
          </w:p>
        </w:tc>
      </w:tr>
      <w:tr w:rsidR="006F3AA8" w14:paraId="55BF69AD"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1C18D4F0"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Colon (both stem/non-stem)</w:t>
            </w:r>
          </w:p>
        </w:tc>
        <w:tc>
          <w:tcPr>
            <w:tcW w:w="1643" w:type="dxa"/>
            <w:tcBorders>
              <w:top w:val="single" w:sz="4" w:space="0" w:color="auto"/>
              <w:left w:val="single" w:sz="4" w:space="0" w:color="auto"/>
              <w:bottom w:val="single" w:sz="4" w:space="0" w:color="auto"/>
              <w:right w:val="single" w:sz="4" w:space="0" w:color="auto"/>
            </w:tcBorders>
            <w:hideMark/>
          </w:tcPr>
          <w:p w14:paraId="7FADCDFB"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12-month</w:t>
            </w:r>
          </w:p>
        </w:tc>
        <w:tc>
          <w:tcPr>
            <w:tcW w:w="2439" w:type="dxa"/>
            <w:tcBorders>
              <w:top w:val="single" w:sz="4" w:space="0" w:color="auto"/>
              <w:left w:val="single" w:sz="4" w:space="0" w:color="auto"/>
              <w:bottom w:val="single" w:sz="4" w:space="0" w:color="auto"/>
              <w:right w:val="single" w:sz="4" w:space="0" w:color="auto"/>
            </w:tcBorders>
            <w:hideMark/>
          </w:tcPr>
          <w:p w14:paraId="49C40B5F"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 (each pooled)</w:t>
            </w:r>
          </w:p>
        </w:tc>
        <w:tc>
          <w:tcPr>
            <w:tcW w:w="2578" w:type="dxa"/>
            <w:tcBorders>
              <w:top w:val="single" w:sz="4" w:space="0" w:color="auto"/>
              <w:left w:val="single" w:sz="4" w:space="0" w:color="auto"/>
              <w:bottom w:val="single" w:sz="4" w:space="0" w:color="auto"/>
              <w:right w:val="single" w:sz="4" w:space="0" w:color="auto"/>
            </w:tcBorders>
            <w:hideMark/>
          </w:tcPr>
          <w:p w14:paraId="00F518A7"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3</w:t>
            </w:r>
          </w:p>
        </w:tc>
      </w:tr>
      <w:tr w:rsidR="006F3AA8" w14:paraId="550A33EE"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2B45F5BB"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USI (both stem/non-stem)</w:t>
            </w:r>
          </w:p>
        </w:tc>
        <w:tc>
          <w:tcPr>
            <w:tcW w:w="1643" w:type="dxa"/>
            <w:tcBorders>
              <w:top w:val="single" w:sz="4" w:space="0" w:color="auto"/>
              <w:left w:val="single" w:sz="4" w:space="0" w:color="auto"/>
              <w:bottom w:val="single" w:sz="4" w:space="0" w:color="auto"/>
              <w:right w:val="single" w:sz="4" w:space="0" w:color="auto"/>
            </w:tcBorders>
            <w:hideMark/>
          </w:tcPr>
          <w:p w14:paraId="35F0CABF"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18-month</w:t>
            </w:r>
          </w:p>
        </w:tc>
        <w:tc>
          <w:tcPr>
            <w:tcW w:w="2439" w:type="dxa"/>
            <w:tcBorders>
              <w:top w:val="single" w:sz="4" w:space="0" w:color="auto"/>
              <w:left w:val="single" w:sz="4" w:space="0" w:color="auto"/>
              <w:bottom w:val="single" w:sz="4" w:space="0" w:color="auto"/>
              <w:right w:val="single" w:sz="4" w:space="0" w:color="auto"/>
            </w:tcBorders>
            <w:hideMark/>
          </w:tcPr>
          <w:p w14:paraId="719EC39F"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 (each pooled)</w:t>
            </w:r>
          </w:p>
        </w:tc>
        <w:tc>
          <w:tcPr>
            <w:tcW w:w="2578" w:type="dxa"/>
            <w:tcBorders>
              <w:top w:val="single" w:sz="4" w:space="0" w:color="auto"/>
              <w:left w:val="single" w:sz="4" w:space="0" w:color="auto"/>
              <w:bottom w:val="single" w:sz="4" w:space="0" w:color="auto"/>
              <w:right w:val="single" w:sz="4" w:space="0" w:color="auto"/>
            </w:tcBorders>
            <w:hideMark/>
          </w:tcPr>
          <w:p w14:paraId="72C39A7A"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w:t>
            </w:r>
          </w:p>
        </w:tc>
      </w:tr>
      <w:tr w:rsidR="006F3AA8" w14:paraId="0B5C62AA"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037703D0"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LSI (both stem/non-stem)</w:t>
            </w:r>
          </w:p>
        </w:tc>
        <w:tc>
          <w:tcPr>
            <w:tcW w:w="1643" w:type="dxa"/>
            <w:tcBorders>
              <w:top w:val="single" w:sz="4" w:space="0" w:color="auto"/>
              <w:left w:val="single" w:sz="4" w:space="0" w:color="auto"/>
              <w:bottom w:val="single" w:sz="4" w:space="0" w:color="auto"/>
              <w:right w:val="single" w:sz="4" w:space="0" w:color="auto"/>
            </w:tcBorders>
            <w:hideMark/>
          </w:tcPr>
          <w:p w14:paraId="07D9E795"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18-month</w:t>
            </w:r>
          </w:p>
        </w:tc>
        <w:tc>
          <w:tcPr>
            <w:tcW w:w="2439" w:type="dxa"/>
            <w:tcBorders>
              <w:top w:val="single" w:sz="4" w:space="0" w:color="auto"/>
              <w:left w:val="single" w:sz="4" w:space="0" w:color="auto"/>
              <w:bottom w:val="single" w:sz="4" w:space="0" w:color="auto"/>
              <w:right w:val="single" w:sz="4" w:space="0" w:color="auto"/>
            </w:tcBorders>
            <w:hideMark/>
          </w:tcPr>
          <w:p w14:paraId="4D95E844"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 (each pooled)</w:t>
            </w:r>
          </w:p>
        </w:tc>
        <w:tc>
          <w:tcPr>
            <w:tcW w:w="2578" w:type="dxa"/>
            <w:tcBorders>
              <w:top w:val="single" w:sz="4" w:space="0" w:color="auto"/>
              <w:left w:val="single" w:sz="4" w:space="0" w:color="auto"/>
              <w:bottom w:val="single" w:sz="4" w:space="0" w:color="auto"/>
              <w:right w:val="single" w:sz="4" w:space="0" w:color="auto"/>
            </w:tcBorders>
            <w:hideMark/>
          </w:tcPr>
          <w:p w14:paraId="0AFC47D5"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w:t>
            </w:r>
          </w:p>
        </w:tc>
      </w:tr>
      <w:tr w:rsidR="006F3AA8" w14:paraId="156E1BA0"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7241D4A5"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Colon (both stem/non-stem)</w:t>
            </w:r>
          </w:p>
        </w:tc>
        <w:tc>
          <w:tcPr>
            <w:tcW w:w="1643" w:type="dxa"/>
            <w:tcBorders>
              <w:top w:val="single" w:sz="4" w:space="0" w:color="auto"/>
              <w:left w:val="single" w:sz="4" w:space="0" w:color="auto"/>
              <w:bottom w:val="single" w:sz="4" w:space="0" w:color="auto"/>
              <w:right w:val="single" w:sz="4" w:space="0" w:color="auto"/>
            </w:tcBorders>
            <w:hideMark/>
          </w:tcPr>
          <w:p w14:paraId="6287A351"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18-month</w:t>
            </w:r>
          </w:p>
        </w:tc>
        <w:tc>
          <w:tcPr>
            <w:tcW w:w="2439" w:type="dxa"/>
            <w:tcBorders>
              <w:top w:val="single" w:sz="4" w:space="0" w:color="auto"/>
              <w:left w:val="single" w:sz="4" w:space="0" w:color="auto"/>
              <w:bottom w:val="single" w:sz="4" w:space="0" w:color="auto"/>
              <w:right w:val="single" w:sz="4" w:space="0" w:color="auto"/>
            </w:tcBorders>
            <w:hideMark/>
          </w:tcPr>
          <w:p w14:paraId="0891517E"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 (each pooled)</w:t>
            </w:r>
          </w:p>
        </w:tc>
        <w:tc>
          <w:tcPr>
            <w:tcW w:w="2578" w:type="dxa"/>
            <w:tcBorders>
              <w:top w:val="single" w:sz="4" w:space="0" w:color="auto"/>
              <w:left w:val="single" w:sz="4" w:space="0" w:color="auto"/>
              <w:bottom w:val="single" w:sz="4" w:space="0" w:color="auto"/>
              <w:right w:val="single" w:sz="4" w:space="0" w:color="auto"/>
            </w:tcBorders>
            <w:hideMark/>
          </w:tcPr>
          <w:p w14:paraId="49EFF3F0"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w:t>
            </w:r>
          </w:p>
        </w:tc>
      </w:tr>
      <w:tr w:rsidR="006F3AA8" w14:paraId="3CDBE2FF"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3C269002"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USI (both stem/non-stem)</w:t>
            </w:r>
          </w:p>
        </w:tc>
        <w:tc>
          <w:tcPr>
            <w:tcW w:w="1643" w:type="dxa"/>
            <w:tcBorders>
              <w:top w:val="single" w:sz="4" w:space="0" w:color="auto"/>
              <w:left w:val="single" w:sz="4" w:space="0" w:color="auto"/>
              <w:bottom w:val="single" w:sz="4" w:space="0" w:color="auto"/>
              <w:right w:val="single" w:sz="4" w:space="0" w:color="auto"/>
            </w:tcBorders>
            <w:hideMark/>
          </w:tcPr>
          <w:p w14:paraId="2E6F7020"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24-month</w:t>
            </w:r>
          </w:p>
        </w:tc>
        <w:tc>
          <w:tcPr>
            <w:tcW w:w="2439" w:type="dxa"/>
            <w:tcBorders>
              <w:top w:val="single" w:sz="4" w:space="0" w:color="auto"/>
              <w:left w:val="single" w:sz="4" w:space="0" w:color="auto"/>
              <w:bottom w:val="single" w:sz="4" w:space="0" w:color="auto"/>
              <w:right w:val="single" w:sz="4" w:space="0" w:color="auto"/>
            </w:tcBorders>
            <w:hideMark/>
          </w:tcPr>
          <w:p w14:paraId="042D3579"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 (each pooled)</w:t>
            </w:r>
          </w:p>
        </w:tc>
        <w:tc>
          <w:tcPr>
            <w:tcW w:w="2578" w:type="dxa"/>
            <w:tcBorders>
              <w:top w:val="single" w:sz="4" w:space="0" w:color="auto"/>
              <w:left w:val="single" w:sz="4" w:space="0" w:color="auto"/>
              <w:bottom w:val="single" w:sz="4" w:space="0" w:color="auto"/>
              <w:right w:val="single" w:sz="4" w:space="0" w:color="auto"/>
            </w:tcBorders>
            <w:hideMark/>
          </w:tcPr>
          <w:p w14:paraId="55691F20"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w:t>
            </w:r>
          </w:p>
        </w:tc>
      </w:tr>
      <w:tr w:rsidR="006F3AA8" w14:paraId="46627B01"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5AA01857"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LSI (both stem/non-stem)</w:t>
            </w:r>
          </w:p>
        </w:tc>
        <w:tc>
          <w:tcPr>
            <w:tcW w:w="1643" w:type="dxa"/>
            <w:tcBorders>
              <w:top w:val="single" w:sz="4" w:space="0" w:color="auto"/>
              <w:left w:val="single" w:sz="4" w:space="0" w:color="auto"/>
              <w:bottom w:val="single" w:sz="4" w:space="0" w:color="auto"/>
              <w:right w:val="single" w:sz="4" w:space="0" w:color="auto"/>
            </w:tcBorders>
            <w:hideMark/>
          </w:tcPr>
          <w:p w14:paraId="4AD2BB4A"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24-month</w:t>
            </w:r>
          </w:p>
        </w:tc>
        <w:tc>
          <w:tcPr>
            <w:tcW w:w="2439" w:type="dxa"/>
            <w:tcBorders>
              <w:top w:val="single" w:sz="4" w:space="0" w:color="auto"/>
              <w:left w:val="single" w:sz="4" w:space="0" w:color="auto"/>
              <w:bottom w:val="single" w:sz="4" w:space="0" w:color="auto"/>
              <w:right w:val="single" w:sz="4" w:space="0" w:color="auto"/>
            </w:tcBorders>
            <w:hideMark/>
          </w:tcPr>
          <w:p w14:paraId="1167DF20"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 (each pooled)</w:t>
            </w:r>
          </w:p>
        </w:tc>
        <w:tc>
          <w:tcPr>
            <w:tcW w:w="2578" w:type="dxa"/>
            <w:tcBorders>
              <w:top w:val="single" w:sz="4" w:space="0" w:color="auto"/>
              <w:left w:val="single" w:sz="4" w:space="0" w:color="auto"/>
              <w:bottom w:val="single" w:sz="4" w:space="0" w:color="auto"/>
              <w:right w:val="single" w:sz="4" w:space="0" w:color="auto"/>
            </w:tcBorders>
            <w:hideMark/>
          </w:tcPr>
          <w:p w14:paraId="58E78EEA"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w:t>
            </w:r>
          </w:p>
        </w:tc>
      </w:tr>
      <w:tr w:rsidR="006F3AA8" w14:paraId="7A823732"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4B15A097"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Colon (both stem/non-stem)</w:t>
            </w:r>
          </w:p>
        </w:tc>
        <w:tc>
          <w:tcPr>
            <w:tcW w:w="1643" w:type="dxa"/>
            <w:tcBorders>
              <w:top w:val="single" w:sz="4" w:space="0" w:color="auto"/>
              <w:left w:val="single" w:sz="4" w:space="0" w:color="auto"/>
              <w:bottom w:val="single" w:sz="4" w:space="0" w:color="auto"/>
              <w:right w:val="single" w:sz="4" w:space="0" w:color="auto"/>
            </w:tcBorders>
            <w:hideMark/>
          </w:tcPr>
          <w:p w14:paraId="17BEA8C9"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24-month</w:t>
            </w:r>
          </w:p>
        </w:tc>
        <w:tc>
          <w:tcPr>
            <w:tcW w:w="2439" w:type="dxa"/>
            <w:tcBorders>
              <w:top w:val="single" w:sz="4" w:space="0" w:color="auto"/>
              <w:left w:val="single" w:sz="4" w:space="0" w:color="auto"/>
              <w:bottom w:val="single" w:sz="4" w:space="0" w:color="auto"/>
              <w:right w:val="single" w:sz="4" w:space="0" w:color="auto"/>
            </w:tcBorders>
            <w:hideMark/>
          </w:tcPr>
          <w:p w14:paraId="085DD807"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 (each pooled)</w:t>
            </w:r>
          </w:p>
        </w:tc>
        <w:tc>
          <w:tcPr>
            <w:tcW w:w="2578" w:type="dxa"/>
            <w:tcBorders>
              <w:top w:val="single" w:sz="4" w:space="0" w:color="auto"/>
              <w:left w:val="single" w:sz="4" w:space="0" w:color="auto"/>
              <w:bottom w:val="single" w:sz="4" w:space="0" w:color="auto"/>
              <w:right w:val="single" w:sz="4" w:space="0" w:color="auto"/>
            </w:tcBorders>
            <w:hideMark/>
          </w:tcPr>
          <w:p w14:paraId="13353014"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w:t>
            </w:r>
          </w:p>
        </w:tc>
      </w:tr>
      <w:tr w:rsidR="006F3AA8" w14:paraId="5B1DBA9A"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708C6163"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Whole Blood</w:t>
            </w:r>
          </w:p>
        </w:tc>
        <w:tc>
          <w:tcPr>
            <w:tcW w:w="1643" w:type="dxa"/>
            <w:tcBorders>
              <w:top w:val="single" w:sz="4" w:space="0" w:color="auto"/>
              <w:left w:val="single" w:sz="4" w:space="0" w:color="auto"/>
              <w:bottom w:val="single" w:sz="4" w:space="0" w:color="auto"/>
              <w:right w:val="single" w:sz="4" w:space="0" w:color="auto"/>
            </w:tcBorders>
            <w:hideMark/>
          </w:tcPr>
          <w:p w14:paraId="54810647"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4-month</w:t>
            </w:r>
          </w:p>
        </w:tc>
        <w:tc>
          <w:tcPr>
            <w:tcW w:w="2439" w:type="dxa"/>
            <w:tcBorders>
              <w:top w:val="single" w:sz="4" w:space="0" w:color="auto"/>
              <w:left w:val="single" w:sz="4" w:space="0" w:color="auto"/>
              <w:bottom w:val="single" w:sz="4" w:space="0" w:color="auto"/>
              <w:right w:val="single" w:sz="4" w:space="0" w:color="auto"/>
            </w:tcBorders>
            <w:hideMark/>
          </w:tcPr>
          <w:p w14:paraId="74DAC09C"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3</w:t>
            </w:r>
          </w:p>
        </w:tc>
        <w:tc>
          <w:tcPr>
            <w:tcW w:w="2578" w:type="dxa"/>
            <w:tcBorders>
              <w:top w:val="single" w:sz="4" w:space="0" w:color="auto"/>
              <w:left w:val="single" w:sz="4" w:space="0" w:color="auto"/>
              <w:bottom w:val="single" w:sz="4" w:space="0" w:color="auto"/>
              <w:right w:val="single" w:sz="4" w:space="0" w:color="auto"/>
            </w:tcBorders>
            <w:hideMark/>
          </w:tcPr>
          <w:p w14:paraId="071C1351"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NA</w:t>
            </w:r>
          </w:p>
        </w:tc>
      </w:tr>
      <w:tr w:rsidR="006F3AA8" w14:paraId="57C8E7FA"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1E8C9E48" w14:textId="77777777" w:rsidR="006F3AA8" w:rsidRDefault="006F3AA8">
            <w:pPr>
              <w:tabs>
                <w:tab w:val="left" w:pos="526"/>
              </w:tabs>
              <w:rPr>
                <w:rFonts w:ascii="Arial" w:hAnsi="Arial" w:cs="Arial"/>
                <w:color w:val="000033"/>
                <w:sz w:val="20"/>
                <w:szCs w:val="20"/>
                <w:shd w:val="clear" w:color="auto" w:fill="FFFFFF"/>
              </w:rPr>
            </w:pPr>
            <w:r>
              <w:rPr>
                <w:rFonts w:ascii="Arial" w:hAnsi="Arial" w:cs="Arial"/>
                <w:color w:val="000033"/>
                <w:sz w:val="20"/>
                <w:szCs w:val="20"/>
                <w:shd w:val="clear" w:color="auto" w:fill="FFFFFF"/>
              </w:rPr>
              <w:t>Whole Blood</w:t>
            </w:r>
          </w:p>
        </w:tc>
        <w:tc>
          <w:tcPr>
            <w:tcW w:w="1643" w:type="dxa"/>
            <w:tcBorders>
              <w:top w:val="single" w:sz="4" w:space="0" w:color="auto"/>
              <w:left w:val="single" w:sz="4" w:space="0" w:color="auto"/>
              <w:bottom w:val="single" w:sz="4" w:space="0" w:color="auto"/>
              <w:right w:val="single" w:sz="4" w:space="0" w:color="auto"/>
            </w:tcBorders>
            <w:hideMark/>
          </w:tcPr>
          <w:p w14:paraId="13A0FF0F"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12-month</w:t>
            </w:r>
          </w:p>
        </w:tc>
        <w:tc>
          <w:tcPr>
            <w:tcW w:w="2439" w:type="dxa"/>
            <w:tcBorders>
              <w:top w:val="single" w:sz="4" w:space="0" w:color="auto"/>
              <w:left w:val="single" w:sz="4" w:space="0" w:color="auto"/>
              <w:bottom w:val="single" w:sz="4" w:space="0" w:color="auto"/>
              <w:right w:val="single" w:sz="4" w:space="0" w:color="auto"/>
            </w:tcBorders>
            <w:hideMark/>
          </w:tcPr>
          <w:p w14:paraId="2265A031"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3</w:t>
            </w:r>
          </w:p>
        </w:tc>
        <w:tc>
          <w:tcPr>
            <w:tcW w:w="2578" w:type="dxa"/>
            <w:tcBorders>
              <w:top w:val="single" w:sz="4" w:space="0" w:color="auto"/>
              <w:left w:val="single" w:sz="4" w:space="0" w:color="auto"/>
              <w:bottom w:val="single" w:sz="4" w:space="0" w:color="auto"/>
              <w:right w:val="single" w:sz="4" w:space="0" w:color="auto"/>
            </w:tcBorders>
            <w:hideMark/>
          </w:tcPr>
          <w:p w14:paraId="2FBF450E"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NA</w:t>
            </w:r>
          </w:p>
        </w:tc>
      </w:tr>
      <w:tr w:rsidR="006F3AA8" w14:paraId="1C6D2751"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51783D02" w14:textId="77777777" w:rsidR="006F3AA8" w:rsidRDefault="006F3AA8">
            <w:pPr>
              <w:tabs>
                <w:tab w:val="left" w:pos="526"/>
              </w:tabs>
              <w:rPr>
                <w:rFonts w:ascii="Arial" w:hAnsi="Arial" w:cs="Arial"/>
                <w:color w:val="000033"/>
                <w:sz w:val="20"/>
                <w:szCs w:val="20"/>
                <w:shd w:val="clear" w:color="auto" w:fill="FFFFFF"/>
              </w:rPr>
            </w:pPr>
            <w:r>
              <w:rPr>
                <w:rFonts w:ascii="Arial" w:hAnsi="Arial" w:cs="Arial"/>
                <w:color w:val="000033"/>
                <w:sz w:val="20"/>
                <w:szCs w:val="20"/>
                <w:shd w:val="clear" w:color="auto" w:fill="FFFFFF"/>
              </w:rPr>
              <w:t>Whole Blood</w:t>
            </w:r>
          </w:p>
        </w:tc>
        <w:tc>
          <w:tcPr>
            <w:tcW w:w="1643" w:type="dxa"/>
            <w:tcBorders>
              <w:top w:val="single" w:sz="4" w:space="0" w:color="auto"/>
              <w:left w:val="single" w:sz="4" w:space="0" w:color="auto"/>
              <w:bottom w:val="single" w:sz="4" w:space="0" w:color="auto"/>
              <w:right w:val="single" w:sz="4" w:space="0" w:color="auto"/>
            </w:tcBorders>
            <w:hideMark/>
          </w:tcPr>
          <w:p w14:paraId="0CC951BE"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24-month</w:t>
            </w:r>
          </w:p>
        </w:tc>
        <w:tc>
          <w:tcPr>
            <w:tcW w:w="2439" w:type="dxa"/>
            <w:tcBorders>
              <w:top w:val="single" w:sz="4" w:space="0" w:color="auto"/>
              <w:left w:val="single" w:sz="4" w:space="0" w:color="auto"/>
              <w:bottom w:val="single" w:sz="4" w:space="0" w:color="auto"/>
              <w:right w:val="single" w:sz="4" w:space="0" w:color="auto"/>
            </w:tcBorders>
            <w:hideMark/>
          </w:tcPr>
          <w:p w14:paraId="22519B99"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4</w:t>
            </w:r>
          </w:p>
        </w:tc>
        <w:tc>
          <w:tcPr>
            <w:tcW w:w="2578" w:type="dxa"/>
            <w:tcBorders>
              <w:top w:val="single" w:sz="4" w:space="0" w:color="auto"/>
              <w:left w:val="single" w:sz="4" w:space="0" w:color="auto"/>
              <w:bottom w:val="single" w:sz="4" w:space="0" w:color="auto"/>
              <w:right w:val="single" w:sz="4" w:space="0" w:color="auto"/>
            </w:tcBorders>
            <w:hideMark/>
          </w:tcPr>
          <w:p w14:paraId="2FCB118D"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NA</w:t>
            </w:r>
          </w:p>
        </w:tc>
      </w:tr>
      <w:tr w:rsidR="006F3AA8" w14:paraId="4EB72EC1"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228A00C8" w14:textId="77777777" w:rsidR="006F3AA8" w:rsidRDefault="006F3AA8">
            <w:pPr>
              <w:tabs>
                <w:tab w:val="left" w:pos="526"/>
              </w:tabs>
              <w:rPr>
                <w:rFonts w:ascii="Arial" w:hAnsi="Arial" w:cs="Arial"/>
                <w:color w:val="000033"/>
                <w:sz w:val="20"/>
                <w:szCs w:val="20"/>
                <w:shd w:val="clear" w:color="auto" w:fill="FFFFFF"/>
              </w:rPr>
            </w:pPr>
            <w:r>
              <w:rPr>
                <w:rFonts w:ascii="Arial" w:hAnsi="Arial" w:cs="Arial"/>
                <w:color w:val="000033"/>
                <w:sz w:val="20"/>
                <w:szCs w:val="20"/>
                <w:shd w:val="clear" w:color="auto" w:fill="FFFFFF"/>
              </w:rPr>
              <w:t>Heart</w:t>
            </w:r>
          </w:p>
        </w:tc>
        <w:tc>
          <w:tcPr>
            <w:tcW w:w="1643" w:type="dxa"/>
            <w:tcBorders>
              <w:top w:val="single" w:sz="4" w:space="0" w:color="auto"/>
              <w:left w:val="single" w:sz="4" w:space="0" w:color="auto"/>
              <w:bottom w:val="single" w:sz="4" w:space="0" w:color="auto"/>
              <w:right w:val="single" w:sz="4" w:space="0" w:color="auto"/>
            </w:tcBorders>
            <w:hideMark/>
          </w:tcPr>
          <w:p w14:paraId="234CAE88"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4-month</w:t>
            </w:r>
          </w:p>
        </w:tc>
        <w:tc>
          <w:tcPr>
            <w:tcW w:w="2439" w:type="dxa"/>
            <w:tcBorders>
              <w:top w:val="single" w:sz="4" w:space="0" w:color="auto"/>
              <w:left w:val="single" w:sz="4" w:space="0" w:color="auto"/>
              <w:bottom w:val="single" w:sz="4" w:space="0" w:color="auto"/>
              <w:right w:val="single" w:sz="4" w:space="0" w:color="auto"/>
            </w:tcBorders>
            <w:hideMark/>
          </w:tcPr>
          <w:p w14:paraId="4FD061E2"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6</w:t>
            </w:r>
          </w:p>
        </w:tc>
        <w:tc>
          <w:tcPr>
            <w:tcW w:w="2578" w:type="dxa"/>
            <w:tcBorders>
              <w:top w:val="single" w:sz="4" w:space="0" w:color="auto"/>
              <w:left w:val="single" w:sz="4" w:space="0" w:color="auto"/>
              <w:bottom w:val="single" w:sz="4" w:space="0" w:color="auto"/>
              <w:right w:val="single" w:sz="4" w:space="0" w:color="auto"/>
            </w:tcBorders>
            <w:hideMark/>
          </w:tcPr>
          <w:p w14:paraId="08480A13"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NA</w:t>
            </w:r>
          </w:p>
        </w:tc>
      </w:tr>
      <w:tr w:rsidR="006F3AA8" w14:paraId="53EE6F56"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64897043" w14:textId="77777777" w:rsidR="006F3AA8" w:rsidRDefault="006F3AA8">
            <w:pPr>
              <w:tabs>
                <w:tab w:val="left" w:pos="526"/>
              </w:tabs>
              <w:rPr>
                <w:rFonts w:ascii="Arial" w:hAnsi="Arial" w:cs="Arial"/>
                <w:color w:val="000033"/>
                <w:sz w:val="20"/>
                <w:szCs w:val="20"/>
                <w:shd w:val="clear" w:color="auto" w:fill="FFFFFF"/>
              </w:rPr>
            </w:pPr>
            <w:r>
              <w:rPr>
                <w:rFonts w:ascii="Arial" w:hAnsi="Arial" w:cs="Arial"/>
                <w:color w:val="000033"/>
                <w:sz w:val="20"/>
                <w:szCs w:val="20"/>
                <w:shd w:val="clear" w:color="auto" w:fill="FFFFFF"/>
              </w:rPr>
              <w:t>Heart</w:t>
            </w:r>
          </w:p>
        </w:tc>
        <w:tc>
          <w:tcPr>
            <w:tcW w:w="1643" w:type="dxa"/>
            <w:tcBorders>
              <w:top w:val="single" w:sz="4" w:space="0" w:color="auto"/>
              <w:left w:val="single" w:sz="4" w:space="0" w:color="auto"/>
              <w:bottom w:val="single" w:sz="4" w:space="0" w:color="auto"/>
              <w:right w:val="single" w:sz="4" w:space="0" w:color="auto"/>
            </w:tcBorders>
            <w:hideMark/>
          </w:tcPr>
          <w:p w14:paraId="07A4A57E"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12-month</w:t>
            </w:r>
          </w:p>
        </w:tc>
        <w:tc>
          <w:tcPr>
            <w:tcW w:w="2439" w:type="dxa"/>
            <w:tcBorders>
              <w:top w:val="single" w:sz="4" w:space="0" w:color="auto"/>
              <w:left w:val="single" w:sz="4" w:space="0" w:color="auto"/>
              <w:bottom w:val="single" w:sz="4" w:space="0" w:color="auto"/>
              <w:right w:val="single" w:sz="4" w:space="0" w:color="auto"/>
            </w:tcBorders>
            <w:hideMark/>
          </w:tcPr>
          <w:p w14:paraId="526D7C82"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6</w:t>
            </w:r>
          </w:p>
        </w:tc>
        <w:tc>
          <w:tcPr>
            <w:tcW w:w="2578" w:type="dxa"/>
            <w:tcBorders>
              <w:top w:val="single" w:sz="4" w:space="0" w:color="auto"/>
              <w:left w:val="single" w:sz="4" w:space="0" w:color="auto"/>
              <w:bottom w:val="single" w:sz="4" w:space="0" w:color="auto"/>
              <w:right w:val="single" w:sz="4" w:space="0" w:color="auto"/>
            </w:tcBorders>
            <w:hideMark/>
          </w:tcPr>
          <w:p w14:paraId="4D4E67BC"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NA</w:t>
            </w:r>
          </w:p>
        </w:tc>
      </w:tr>
      <w:tr w:rsidR="006F3AA8" w14:paraId="19AA8A8C"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7D32207D" w14:textId="77777777" w:rsidR="006F3AA8" w:rsidRDefault="006F3AA8">
            <w:pPr>
              <w:tabs>
                <w:tab w:val="left" w:pos="526"/>
              </w:tabs>
              <w:rPr>
                <w:rFonts w:ascii="Arial" w:hAnsi="Arial" w:cs="Arial"/>
                <w:color w:val="000033"/>
                <w:sz w:val="20"/>
                <w:szCs w:val="20"/>
                <w:shd w:val="clear" w:color="auto" w:fill="FFFFFF"/>
              </w:rPr>
            </w:pPr>
            <w:r>
              <w:rPr>
                <w:rFonts w:ascii="Arial" w:hAnsi="Arial" w:cs="Arial"/>
                <w:color w:val="000033"/>
                <w:sz w:val="20"/>
                <w:szCs w:val="20"/>
                <w:shd w:val="clear" w:color="auto" w:fill="FFFFFF"/>
              </w:rPr>
              <w:t>Heart</w:t>
            </w:r>
          </w:p>
        </w:tc>
        <w:tc>
          <w:tcPr>
            <w:tcW w:w="1643" w:type="dxa"/>
            <w:tcBorders>
              <w:top w:val="single" w:sz="4" w:space="0" w:color="auto"/>
              <w:left w:val="single" w:sz="4" w:space="0" w:color="auto"/>
              <w:bottom w:val="single" w:sz="4" w:space="0" w:color="auto"/>
              <w:right w:val="single" w:sz="4" w:space="0" w:color="auto"/>
            </w:tcBorders>
            <w:hideMark/>
          </w:tcPr>
          <w:p w14:paraId="07154AFB"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24-month</w:t>
            </w:r>
          </w:p>
        </w:tc>
        <w:tc>
          <w:tcPr>
            <w:tcW w:w="2439" w:type="dxa"/>
            <w:tcBorders>
              <w:top w:val="single" w:sz="4" w:space="0" w:color="auto"/>
              <w:left w:val="single" w:sz="4" w:space="0" w:color="auto"/>
              <w:bottom w:val="single" w:sz="4" w:space="0" w:color="auto"/>
              <w:right w:val="single" w:sz="4" w:space="0" w:color="auto"/>
            </w:tcBorders>
            <w:hideMark/>
          </w:tcPr>
          <w:p w14:paraId="56EA447E"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10</w:t>
            </w:r>
          </w:p>
        </w:tc>
        <w:tc>
          <w:tcPr>
            <w:tcW w:w="2578" w:type="dxa"/>
            <w:tcBorders>
              <w:top w:val="single" w:sz="4" w:space="0" w:color="auto"/>
              <w:left w:val="single" w:sz="4" w:space="0" w:color="auto"/>
              <w:bottom w:val="single" w:sz="4" w:space="0" w:color="auto"/>
              <w:right w:val="single" w:sz="4" w:space="0" w:color="auto"/>
            </w:tcBorders>
            <w:hideMark/>
          </w:tcPr>
          <w:p w14:paraId="74527049"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NA</w:t>
            </w:r>
          </w:p>
        </w:tc>
      </w:tr>
      <w:tr w:rsidR="006F3AA8" w14:paraId="757EF734"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3E91D13C" w14:textId="77777777" w:rsidR="006F3AA8" w:rsidRDefault="006F3AA8">
            <w:pPr>
              <w:tabs>
                <w:tab w:val="left" w:pos="526"/>
              </w:tabs>
              <w:rPr>
                <w:rFonts w:ascii="Arial" w:hAnsi="Arial" w:cs="Arial"/>
                <w:color w:val="000033"/>
                <w:sz w:val="20"/>
                <w:szCs w:val="20"/>
                <w:shd w:val="clear" w:color="auto" w:fill="FFFFFF"/>
              </w:rPr>
            </w:pPr>
            <w:r>
              <w:rPr>
                <w:rFonts w:ascii="Arial" w:hAnsi="Arial" w:cs="Arial"/>
                <w:color w:val="000033"/>
                <w:sz w:val="20"/>
                <w:szCs w:val="20"/>
                <w:shd w:val="clear" w:color="auto" w:fill="FFFFFF"/>
              </w:rPr>
              <w:t>Kidney</w:t>
            </w:r>
          </w:p>
        </w:tc>
        <w:tc>
          <w:tcPr>
            <w:tcW w:w="1643" w:type="dxa"/>
            <w:tcBorders>
              <w:top w:val="single" w:sz="4" w:space="0" w:color="auto"/>
              <w:left w:val="single" w:sz="4" w:space="0" w:color="auto"/>
              <w:bottom w:val="single" w:sz="4" w:space="0" w:color="auto"/>
              <w:right w:val="single" w:sz="4" w:space="0" w:color="auto"/>
            </w:tcBorders>
            <w:hideMark/>
          </w:tcPr>
          <w:p w14:paraId="7B14C35C"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4-month</w:t>
            </w:r>
          </w:p>
        </w:tc>
        <w:tc>
          <w:tcPr>
            <w:tcW w:w="2439" w:type="dxa"/>
            <w:tcBorders>
              <w:top w:val="single" w:sz="4" w:space="0" w:color="auto"/>
              <w:left w:val="single" w:sz="4" w:space="0" w:color="auto"/>
              <w:bottom w:val="single" w:sz="4" w:space="0" w:color="auto"/>
              <w:right w:val="single" w:sz="4" w:space="0" w:color="auto"/>
            </w:tcBorders>
            <w:hideMark/>
          </w:tcPr>
          <w:p w14:paraId="66979515"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3</w:t>
            </w:r>
          </w:p>
        </w:tc>
        <w:tc>
          <w:tcPr>
            <w:tcW w:w="2578" w:type="dxa"/>
            <w:tcBorders>
              <w:top w:val="single" w:sz="4" w:space="0" w:color="auto"/>
              <w:left w:val="single" w:sz="4" w:space="0" w:color="auto"/>
              <w:bottom w:val="single" w:sz="4" w:space="0" w:color="auto"/>
              <w:right w:val="single" w:sz="4" w:space="0" w:color="auto"/>
            </w:tcBorders>
            <w:hideMark/>
          </w:tcPr>
          <w:p w14:paraId="603F3FC9"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NA</w:t>
            </w:r>
          </w:p>
        </w:tc>
      </w:tr>
      <w:tr w:rsidR="006F3AA8" w14:paraId="55E4C4CE"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22DE8964" w14:textId="77777777" w:rsidR="006F3AA8" w:rsidRDefault="006F3AA8">
            <w:pPr>
              <w:tabs>
                <w:tab w:val="left" w:pos="526"/>
              </w:tabs>
              <w:rPr>
                <w:rFonts w:ascii="Arial" w:hAnsi="Arial" w:cs="Arial"/>
                <w:color w:val="000033"/>
                <w:sz w:val="20"/>
                <w:szCs w:val="20"/>
                <w:shd w:val="clear" w:color="auto" w:fill="FFFFFF"/>
              </w:rPr>
            </w:pPr>
            <w:r>
              <w:rPr>
                <w:rFonts w:ascii="Arial" w:hAnsi="Arial" w:cs="Arial"/>
                <w:color w:val="000033"/>
                <w:sz w:val="20"/>
                <w:szCs w:val="20"/>
                <w:shd w:val="clear" w:color="auto" w:fill="FFFFFF"/>
              </w:rPr>
              <w:t>Kidney</w:t>
            </w:r>
          </w:p>
        </w:tc>
        <w:tc>
          <w:tcPr>
            <w:tcW w:w="1643" w:type="dxa"/>
            <w:tcBorders>
              <w:top w:val="single" w:sz="4" w:space="0" w:color="auto"/>
              <w:left w:val="single" w:sz="4" w:space="0" w:color="auto"/>
              <w:bottom w:val="single" w:sz="4" w:space="0" w:color="auto"/>
              <w:right w:val="single" w:sz="4" w:space="0" w:color="auto"/>
            </w:tcBorders>
            <w:hideMark/>
          </w:tcPr>
          <w:p w14:paraId="4E4992C6"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12-month</w:t>
            </w:r>
          </w:p>
        </w:tc>
        <w:tc>
          <w:tcPr>
            <w:tcW w:w="2439" w:type="dxa"/>
            <w:tcBorders>
              <w:top w:val="single" w:sz="4" w:space="0" w:color="auto"/>
              <w:left w:val="single" w:sz="4" w:space="0" w:color="auto"/>
              <w:bottom w:val="single" w:sz="4" w:space="0" w:color="auto"/>
              <w:right w:val="single" w:sz="4" w:space="0" w:color="auto"/>
            </w:tcBorders>
            <w:hideMark/>
          </w:tcPr>
          <w:p w14:paraId="7790A0C6"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3</w:t>
            </w:r>
          </w:p>
        </w:tc>
        <w:tc>
          <w:tcPr>
            <w:tcW w:w="2578" w:type="dxa"/>
            <w:tcBorders>
              <w:top w:val="single" w:sz="4" w:space="0" w:color="auto"/>
              <w:left w:val="single" w:sz="4" w:space="0" w:color="auto"/>
              <w:bottom w:val="single" w:sz="4" w:space="0" w:color="auto"/>
              <w:right w:val="single" w:sz="4" w:space="0" w:color="auto"/>
            </w:tcBorders>
            <w:hideMark/>
          </w:tcPr>
          <w:p w14:paraId="0274CCE3"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NA</w:t>
            </w:r>
          </w:p>
        </w:tc>
      </w:tr>
      <w:tr w:rsidR="006F3AA8" w14:paraId="007A8A45"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445EF059" w14:textId="77777777" w:rsidR="006F3AA8" w:rsidRDefault="006F3AA8">
            <w:pPr>
              <w:tabs>
                <w:tab w:val="left" w:pos="526"/>
              </w:tabs>
              <w:rPr>
                <w:rFonts w:ascii="Arial" w:hAnsi="Arial" w:cs="Arial"/>
                <w:color w:val="000033"/>
                <w:sz w:val="20"/>
                <w:szCs w:val="20"/>
                <w:shd w:val="clear" w:color="auto" w:fill="FFFFFF"/>
              </w:rPr>
            </w:pPr>
            <w:r>
              <w:rPr>
                <w:rFonts w:ascii="Arial" w:hAnsi="Arial" w:cs="Arial"/>
                <w:color w:val="000033"/>
                <w:sz w:val="20"/>
                <w:szCs w:val="20"/>
                <w:shd w:val="clear" w:color="auto" w:fill="FFFFFF"/>
              </w:rPr>
              <w:t>Kidney</w:t>
            </w:r>
          </w:p>
        </w:tc>
        <w:tc>
          <w:tcPr>
            <w:tcW w:w="1643" w:type="dxa"/>
            <w:tcBorders>
              <w:top w:val="single" w:sz="4" w:space="0" w:color="auto"/>
              <w:left w:val="single" w:sz="4" w:space="0" w:color="auto"/>
              <w:bottom w:val="single" w:sz="4" w:space="0" w:color="auto"/>
              <w:right w:val="single" w:sz="4" w:space="0" w:color="auto"/>
            </w:tcBorders>
            <w:hideMark/>
          </w:tcPr>
          <w:p w14:paraId="09376B30"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24-month</w:t>
            </w:r>
          </w:p>
        </w:tc>
        <w:tc>
          <w:tcPr>
            <w:tcW w:w="2439" w:type="dxa"/>
            <w:tcBorders>
              <w:top w:val="single" w:sz="4" w:space="0" w:color="auto"/>
              <w:left w:val="single" w:sz="4" w:space="0" w:color="auto"/>
              <w:bottom w:val="single" w:sz="4" w:space="0" w:color="auto"/>
              <w:right w:val="single" w:sz="4" w:space="0" w:color="auto"/>
            </w:tcBorders>
            <w:hideMark/>
          </w:tcPr>
          <w:p w14:paraId="2E17D6A6"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4</w:t>
            </w:r>
          </w:p>
        </w:tc>
        <w:tc>
          <w:tcPr>
            <w:tcW w:w="2578" w:type="dxa"/>
            <w:tcBorders>
              <w:top w:val="single" w:sz="4" w:space="0" w:color="auto"/>
              <w:left w:val="single" w:sz="4" w:space="0" w:color="auto"/>
              <w:bottom w:val="single" w:sz="4" w:space="0" w:color="auto"/>
              <w:right w:val="single" w:sz="4" w:space="0" w:color="auto"/>
            </w:tcBorders>
            <w:hideMark/>
          </w:tcPr>
          <w:p w14:paraId="63925959"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NA</w:t>
            </w:r>
          </w:p>
        </w:tc>
      </w:tr>
      <w:tr w:rsidR="006F3AA8" w14:paraId="7849716D"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781731DC" w14:textId="77777777" w:rsidR="006F3AA8" w:rsidRDefault="006F3AA8">
            <w:pPr>
              <w:tabs>
                <w:tab w:val="left" w:pos="526"/>
              </w:tabs>
              <w:rPr>
                <w:rFonts w:ascii="Arial" w:hAnsi="Arial" w:cs="Arial"/>
                <w:color w:val="000033"/>
                <w:sz w:val="20"/>
                <w:szCs w:val="20"/>
                <w:shd w:val="clear" w:color="auto" w:fill="FFFFFF"/>
              </w:rPr>
            </w:pPr>
            <w:r>
              <w:rPr>
                <w:rFonts w:ascii="Arial" w:hAnsi="Arial" w:cs="Arial"/>
                <w:color w:val="000033"/>
                <w:sz w:val="20"/>
                <w:szCs w:val="20"/>
                <w:shd w:val="clear" w:color="auto" w:fill="FFFFFF"/>
              </w:rPr>
              <w:t>Liver</w:t>
            </w:r>
          </w:p>
        </w:tc>
        <w:tc>
          <w:tcPr>
            <w:tcW w:w="1643" w:type="dxa"/>
            <w:tcBorders>
              <w:top w:val="single" w:sz="4" w:space="0" w:color="auto"/>
              <w:left w:val="single" w:sz="4" w:space="0" w:color="auto"/>
              <w:bottom w:val="single" w:sz="4" w:space="0" w:color="auto"/>
              <w:right w:val="single" w:sz="4" w:space="0" w:color="auto"/>
            </w:tcBorders>
            <w:hideMark/>
          </w:tcPr>
          <w:p w14:paraId="2CE0B8FD"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4-month</w:t>
            </w:r>
          </w:p>
        </w:tc>
        <w:tc>
          <w:tcPr>
            <w:tcW w:w="2439" w:type="dxa"/>
            <w:tcBorders>
              <w:top w:val="single" w:sz="4" w:space="0" w:color="auto"/>
              <w:left w:val="single" w:sz="4" w:space="0" w:color="auto"/>
              <w:bottom w:val="single" w:sz="4" w:space="0" w:color="auto"/>
              <w:right w:val="single" w:sz="4" w:space="0" w:color="auto"/>
            </w:tcBorders>
            <w:hideMark/>
          </w:tcPr>
          <w:p w14:paraId="44258EDD"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w:t>
            </w:r>
          </w:p>
        </w:tc>
        <w:tc>
          <w:tcPr>
            <w:tcW w:w="2578" w:type="dxa"/>
            <w:tcBorders>
              <w:top w:val="single" w:sz="4" w:space="0" w:color="auto"/>
              <w:left w:val="single" w:sz="4" w:space="0" w:color="auto"/>
              <w:bottom w:val="single" w:sz="4" w:space="0" w:color="auto"/>
              <w:right w:val="single" w:sz="4" w:space="0" w:color="auto"/>
            </w:tcBorders>
            <w:hideMark/>
          </w:tcPr>
          <w:p w14:paraId="6FE67CAA"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NA</w:t>
            </w:r>
          </w:p>
        </w:tc>
      </w:tr>
      <w:tr w:rsidR="006F3AA8" w14:paraId="477B2D07"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3491638D" w14:textId="77777777" w:rsidR="006F3AA8" w:rsidRDefault="006F3AA8">
            <w:pPr>
              <w:tabs>
                <w:tab w:val="left" w:pos="526"/>
              </w:tabs>
              <w:rPr>
                <w:rFonts w:ascii="Arial" w:hAnsi="Arial" w:cs="Arial"/>
                <w:color w:val="000033"/>
                <w:sz w:val="20"/>
                <w:szCs w:val="20"/>
                <w:shd w:val="clear" w:color="auto" w:fill="FFFFFF"/>
              </w:rPr>
            </w:pPr>
            <w:r>
              <w:rPr>
                <w:rFonts w:ascii="Arial" w:hAnsi="Arial" w:cs="Arial"/>
                <w:color w:val="000033"/>
                <w:sz w:val="20"/>
                <w:szCs w:val="20"/>
                <w:shd w:val="clear" w:color="auto" w:fill="FFFFFF"/>
              </w:rPr>
              <w:t>Liver</w:t>
            </w:r>
          </w:p>
        </w:tc>
        <w:tc>
          <w:tcPr>
            <w:tcW w:w="1643" w:type="dxa"/>
            <w:tcBorders>
              <w:top w:val="single" w:sz="4" w:space="0" w:color="auto"/>
              <w:left w:val="single" w:sz="4" w:space="0" w:color="auto"/>
              <w:bottom w:val="single" w:sz="4" w:space="0" w:color="auto"/>
              <w:right w:val="single" w:sz="4" w:space="0" w:color="auto"/>
            </w:tcBorders>
            <w:hideMark/>
          </w:tcPr>
          <w:p w14:paraId="48A4E2ED"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12-month</w:t>
            </w:r>
          </w:p>
        </w:tc>
        <w:tc>
          <w:tcPr>
            <w:tcW w:w="2439" w:type="dxa"/>
            <w:tcBorders>
              <w:top w:val="single" w:sz="4" w:space="0" w:color="auto"/>
              <w:left w:val="single" w:sz="4" w:space="0" w:color="auto"/>
              <w:bottom w:val="single" w:sz="4" w:space="0" w:color="auto"/>
              <w:right w:val="single" w:sz="4" w:space="0" w:color="auto"/>
            </w:tcBorders>
            <w:hideMark/>
          </w:tcPr>
          <w:p w14:paraId="78A27B9B"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w:t>
            </w:r>
          </w:p>
        </w:tc>
        <w:tc>
          <w:tcPr>
            <w:tcW w:w="2578" w:type="dxa"/>
            <w:tcBorders>
              <w:top w:val="single" w:sz="4" w:space="0" w:color="auto"/>
              <w:left w:val="single" w:sz="4" w:space="0" w:color="auto"/>
              <w:bottom w:val="single" w:sz="4" w:space="0" w:color="auto"/>
              <w:right w:val="single" w:sz="4" w:space="0" w:color="auto"/>
            </w:tcBorders>
            <w:hideMark/>
          </w:tcPr>
          <w:p w14:paraId="0C6CDD87"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NA</w:t>
            </w:r>
          </w:p>
        </w:tc>
      </w:tr>
      <w:tr w:rsidR="006F3AA8" w14:paraId="70AD703B"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5B7B4D18" w14:textId="77777777" w:rsidR="006F3AA8" w:rsidRDefault="006F3AA8">
            <w:pPr>
              <w:tabs>
                <w:tab w:val="left" w:pos="526"/>
              </w:tabs>
              <w:rPr>
                <w:rFonts w:ascii="Arial" w:hAnsi="Arial" w:cs="Arial"/>
                <w:color w:val="000033"/>
                <w:sz w:val="20"/>
                <w:szCs w:val="20"/>
                <w:shd w:val="clear" w:color="auto" w:fill="FFFFFF"/>
              </w:rPr>
            </w:pPr>
            <w:r>
              <w:rPr>
                <w:rFonts w:ascii="Arial" w:hAnsi="Arial" w:cs="Arial"/>
                <w:color w:val="000033"/>
                <w:sz w:val="20"/>
                <w:szCs w:val="20"/>
                <w:shd w:val="clear" w:color="auto" w:fill="FFFFFF"/>
              </w:rPr>
              <w:t>Liver</w:t>
            </w:r>
          </w:p>
        </w:tc>
        <w:tc>
          <w:tcPr>
            <w:tcW w:w="1643" w:type="dxa"/>
            <w:tcBorders>
              <w:top w:val="single" w:sz="4" w:space="0" w:color="auto"/>
              <w:left w:val="single" w:sz="4" w:space="0" w:color="auto"/>
              <w:bottom w:val="single" w:sz="4" w:space="0" w:color="auto"/>
              <w:right w:val="single" w:sz="4" w:space="0" w:color="auto"/>
            </w:tcBorders>
            <w:hideMark/>
          </w:tcPr>
          <w:p w14:paraId="24496C9C"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24-month</w:t>
            </w:r>
          </w:p>
        </w:tc>
        <w:tc>
          <w:tcPr>
            <w:tcW w:w="2439" w:type="dxa"/>
            <w:tcBorders>
              <w:top w:val="single" w:sz="4" w:space="0" w:color="auto"/>
              <w:left w:val="single" w:sz="4" w:space="0" w:color="auto"/>
              <w:bottom w:val="single" w:sz="4" w:space="0" w:color="auto"/>
              <w:right w:val="single" w:sz="4" w:space="0" w:color="auto"/>
            </w:tcBorders>
            <w:hideMark/>
          </w:tcPr>
          <w:p w14:paraId="2FD85CD0"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w:t>
            </w:r>
          </w:p>
        </w:tc>
        <w:tc>
          <w:tcPr>
            <w:tcW w:w="2578" w:type="dxa"/>
            <w:tcBorders>
              <w:top w:val="single" w:sz="4" w:space="0" w:color="auto"/>
              <w:left w:val="single" w:sz="4" w:space="0" w:color="auto"/>
              <w:bottom w:val="single" w:sz="4" w:space="0" w:color="auto"/>
              <w:right w:val="single" w:sz="4" w:space="0" w:color="auto"/>
            </w:tcBorders>
            <w:hideMark/>
          </w:tcPr>
          <w:p w14:paraId="1A6D5DA0"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NA</w:t>
            </w:r>
          </w:p>
        </w:tc>
      </w:tr>
      <w:tr w:rsidR="006F3AA8" w14:paraId="410FF2CE"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48B76E9C" w14:textId="77777777" w:rsidR="006F3AA8" w:rsidRDefault="006F3AA8">
            <w:pPr>
              <w:tabs>
                <w:tab w:val="left" w:pos="526"/>
              </w:tabs>
              <w:rPr>
                <w:rFonts w:ascii="Arial" w:hAnsi="Arial" w:cs="Arial"/>
                <w:color w:val="000033"/>
                <w:sz w:val="20"/>
                <w:szCs w:val="20"/>
                <w:shd w:val="clear" w:color="auto" w:fill="FFFFFF"/>
              </w:rPr>
            </w:pPr>
            <w:r>
              <w:rPr>
                <w:rFonts w:ascii="Arial" w:hAnsi="Arial" w:cs="Arial"/>
                <w:color w:val="000033"/>
                <w:sz w:val="20"/>
                <w:szCs w:val="20"/>
                <w:shd w:val="clear" w:color="auto" w:fill="FFFFFF"/>
              </w:rPr>
              <w:t>Lung</w:t>
            </w:r>
          </w:p>
        </w:tc>
        <w:tc>
          <w:tcPr>
            <w:tcW w:w="1643" w:type="dxa"/>
            <w:tcBorders>
              <w:top w:val="single" w:sz="4" w:space="0" w:color="auto"/>
              <w:left w:val="single" w:sz="4" w:space="0" w:color="auto"/>
              <w:bottom w:val="single" w:sz="4" w:space="0" w:color="auto"/>
              <w:right w:val="single" w:sz="4" w:space="0" w:color="auto"/>
            </w:tcBorders>
            <w:hideMark/>
          </w:tcPr>
          <w:p w14:paraId="401B3528"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4-month</w:t>
            </w:r>
          </w:p>
        </w:tc>
        <w:tc>
          <w:tcPr>
            <w:tcW w:w="2439" w:type="dxa"/>
            <w:tcBorders>
              <w:top w:val="single" w:sz="4" w:space="0" w:color="auto"/>
              <w:left w:val="single" w:sz="4" w:space="0" w:color="auto"/>
              <w:bottom w:val="single" w:sz="4" w:space="0" w:color="auto"/>
              <w:right w:val="single" w:sz="4" w:space="0" w:color="auto"/>
            </w:tcBorders>
            <w:hideMark/>
          </w:tcPr>
          <w:p w14:paraId="6ED31B3E"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w:t>
            </w:r>
          </w:p>
        </w:tc>
        <w:tc>
          <w:tcPr>
            <w:tcW w:w="2578" w:type="dxa"/>
            <w:tcBorders>
              <w:top w:val="single" w:sz="4" w:space="0" w:color="auto"/>
              <w:left w:val="single" w:sz="4" w:space="0" w:color="auto"/>
              <w:bottom w:val="single" w:sz="4" w:space="0" w:color="auto"/>
              <w:right w:val="single" w:sz="4" w:space="0" w:color="auto"/>
            </w:tcBorders>
            <w:hideMark/>
          </w:tcPr>
          <w:p w14:paraId="33C8FFF4"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NA</w:t>
            </w:r>
          </w:p>
        </w:tc>
      </w:tr>
      <w:tr w:rsidR="006F3AA8" w14:paraId="1983B943"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1BE2A766" w14:textId="77777777" w:rsidR="006F3AA8" w:rsidRDefault="006F3AA8">
            <w:pPr>
              <w:tabs>
                <w:tab w:val="left" w:pos="526"/>
              </w:tabs>
              <w:rPr>
                <w:rFonts w:ascii="Arial" w:hAnsi="Arial" w:cs="Arial"/>
                <w:color w:val="000033"/>
                <w:sz w:val="20"/>
                <w:szCs w:val="20"/>
                <w:shd w:val="clear" w:color="auto" w:fill="FFFFFF"/>
              </w:rPr>
            </w:pPr>
            <w:r>
              <w:rPr>
                <w:rFonts w:ascii="Arial" w:hAnsi="Arial" w:cs="Arial"/>
                <w:color w:val="000033"/>
                <w:sz w:val="20"/>
                <w:szCs w:val="20"/>
                <w:shd w:val="clear" w:color="auto" w:fill="FFFFFF"/>
              </w:rPr>
              <w:t>Lung</w:t>
            </w:r>
          </w:p>
        </w:tc>
        <w:tc>
          <w:tcPr>
            <w:tcW w:w="1643" w:type="dxa"/>
            <w:tcBorders>
              <w:top w:val="single" w:sz="4" w:space="0" w:color="auto"/>
              <w:left w:val="single" w:sz="4" w:space="0" w:color="auto"/>
              <w:bottom w:val="single" w:sz="4" w:space="0" w:color="auto"/>
              <w:right w:val="single" w:sz="4" w:space="0" w:color="auto"/>
            </w:tcBorders>
            <w:hideMark/>
          </w:tcPr>
          <w:p w14:paraId="613CB05F"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12-month</w:t>
            </w:r>
          </w:p>
        </w:tc>
        <w:tc>
          <w:tcPr>
            <w:tcW w:w="2439" w:type="dxa"/>
            <w:tcBorders>
              <w:top w:val="single" w:sz="4" w:space="0" w:color="auto"/>
              <w:left w:val="single" w:sz="4" w:space="0" w:color="auto"/>
              <w:bottom w:val="single" w:sz="4" w:space="0" w:color="auto"/>
              <w:right w:val="single" w:sz="4" w:space="0" w:color="auto"/>
            </w:tcBorders>
            <w:hideMark/>
          </w:tcPr>
          <w:p w14:paraId="70470ED1"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w:t>
            </w:r>
          </w:p>
        </w:tc>
        <w:tc>
          <w:tcPr>
            <w:tcW w:w="2578" w:type="dxa"/>
            <w:tcBorders>
              <w:top w:val="single" w:sz="4" w:space="0" w:color="auto"/>
              <w:left w:val="single" w:sz="4" w:space="0" w:color="auto"/>
              <w:bottom w:val="single" w:sz="4" w:space="0" w:color="auto"/>
              <w:right w:val="single" w:sz="4" w:space="0" w:color="auto"/>
            </w:tcBorders>
            <w:hideMark/>
          </w:tcPr>
          <w:p w14:paraId="71104DC0"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NA</w:t>
            </w:r>
          </w:p>
        </w:tc>
      </w:tr>
      <w:tr w:rsidR="006F3AA8" w14:paraId="5F38BB28"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6D66F237" w14:textId="77777777" w:rsidR="006F3AA8" w:rsidRDefault="006F3AA8">
            <w:pPr>
              <w:tabs>
                <w:tab w:val="left" w:pos="526"/>
              </w:tabs>
              <w:rPr>
                <w:rFonts w:ascii="Arial" w:hAnsi="Arial" w:cs="Arial"/>
                <w:color w:val="000033"/>
                <w:sz w:val="20"/>
                <w:szCs w:val="20"/>
                <w:shd w:val="clear" w:color="auto" w:fill="FFFFFF"/>
              </w:rPr>
            </w:pPr>
            <w:r>
              <w:rPr>
                <w:rFonts w:ascii="Arial" w:hAnsi="Arial" w:cs="Arial"/>
                <w:color w:val="000033"/>
                <w:sz w:val="20"/>
                <w:szCs w:val="20"/>
                <w:shd w:val="clear" w:color="auto" w:fill="FFFFFF"/>
              </w:rPr>
              <w:t>Lung</w:t>
            </w:r>
          </w:p>
        </w:tc>
        <w:tc>
          <w:tcPr>
            <w:tcW w:w="1643" w:type="dxa"/>
            <w:tcBorders>
              <w:top w:val="single" w:sz="4" w:space="0" w:color="auto"/>
              <w:left w:val="single" w:sz="4" w:space="0" w:color="auto"/>
              <w:bottom w:val="single" w:sz="4" w:space="0" w:color="auto"/>
              <w:right w:val="single" w:sz="4" w:space="0" w:color="auto"/>
            </w:tcBorders>
            <w:hideMark/>
          </w:tcPr>
          <w:p w14:paraId="21670EA2"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24-month</w:t>
            </w:r>
          </w:p>
        </w:tc>
        <w:tc>
          <w:tcPr>
            <w:tcW w:w="2439" w:type="dxa"/>
            <w:tcBorders>
              <w:top w:val="single" w:sz="4" w:space="0" w:color="auto"/>
              <w:left w:val="single" w:sz="4" w:space="0" w:color="auto"/>
              <w:bottom w:val="single" w:sz="4" w:space="0" w:color="auto"/>
              <w:right w:val="single" w:sz="4" w:space="0" w:color="auto"/>
            </w:tcBorders>
            <w:hideMark/>
          </w:tcPr>
          <w:p w14:paraId="09A93100"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w:t>
            </w:r>
          </w:p>
        </w:tc>
        <w:tc>
          <w:tcPr>
            <w:tcW w:w="2578" w:type="dxa"/>
            <w:tcBorders>
              <w:top w:val="single" w:sz="4" w:space="0" w:color="auto"/>
              <w:left w:val="single" w:sz="4" w:space="0" w:color="auto"/>
              <w:bottom w:val="single" w:sz="4" w:space="0" w:color="auto"/>
              <w:right w:val="single" w:sz="4" w:space="0" w:color="auto"/>
            </w:tcBorders>
            <w:hideMark/>
          </w:tcPr>
          <w:p w14:paraId="3AC97FCD"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NA</w:t>
            </w:r>
          </w:p>
        </w:tc>
      </w:tr>
      <w:tr w:rsidR="006F3AA8" w14:paraId="458AF2C5"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1E70C5A6" w14:textId="77777777" w:rsidR="006F3AA8" w:rsidRDefault="006F3AA8">
            <w:pPr>
              <w:tabs>
                <w:tab w:val="left" w:pos="526"/>
              </w:tabs>
              <w:rPr>
                <w:rFonts w:ascii="Arial" w:hAnsi="Arial" w:cs="Arial"/>
                <w:color w:val="000033"/>
                <w:sz w:val="20"/>
                <w:szCs w:val="20"/>
                <w:shd w:val="clear" w:color="auto" w:fill="FFFFFF"/>
              </w:rPr>
            </w:pPr>
            <w:r>
              <w:rPr>
                <w:rFonts w:ascii="Arial" w:hAnsi="Arial" w:cs="Arial"/>
                <w:color w:val="000033"/>
                <w:sz w:val="20"/>
                <w:szCs w:val="20"/>
                <w:shd w:val="clear" w:color="auto" w:fill="FFFFFF"/>
              </w:rPr>
              <w:t>Skeletal Muscle</w:t>
            </w:r>
          </w:p>
        </w:tc>
        <w:tc>
          <w:tcPr>
            <w:tcW w:w="1643" w:type="dxa"/>
            <w:tcBorders>
              <w:top w:val="single" w:sz="4" w:space="0" w:color="auto"/>
              <w:left w:val="single" w:sz="4" w:space="0" w:color="auto"/>
              <w:bottom w:val="single" w:sz="4" w:space="0" w:color="auto"/>
              <w:right w:val="single" w:sz="4" w:space="0" w:color="auto"/>
            </w:tcBorders>
            <w:hideMark/>
          </w:tcPr>
          <w:p w14:paraId="675B3C28"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4-month</w:t>
            </w:r>
          </w:p>
        </w:tc>
        <w:tc>
          <w:tcPr>
            <w:tcW w:w="2439" w:type="dxa"/>
            <w:tcBorders>
              <w:top w:val="single" w:sz="4" w:space="0" w:color="auto"/>
              <w:left w:val="single" w:sz="4" w:space="0" w:color="auto"/>
              <w:bottom w:val="single" w:sz="4" w:space="0" w:color="auto"/>
              <w:right w:val="single" w:sz="4" w:space="0" w:color="auto"/>
            </w:tcBorders>
            <w:hideMark/>
          </w:tcPr>
          <w:p w14:paraId="321FB5FB"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w:t>
            </w:r>
          </w:p>
        </w:tc>
        <w:tc>
          <w:tcPr>
            <w:tcW w:w="2578" w:type="dxa"/>
            <w:tcBorders>
              <w:top w:val="single" w:sz="4" w:space="0" w:color="auto"/>
              <w:left w:val="single" w:sz="4" w:space="0" w:color="auto"/>
              <w:bottom w:val="single" w:sz="4" w:space="0" w:color="auto"/>
              <w:right w:val="single" w:sz="4" w:space="0" w:color="auto"/>
            </w:tcBorders>
            <w:hideMark/>
          </w:tcPr>
          <w:p w14:paraId="059523CC"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NA</w:t>
            </w:r>
          </w:p>
        </w:tc>
      </w:tr>
      <w:tr w:rsidR="006F3AA8" w14:paraId="64B2994B"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7E90491A" w14:textId="77777777" w:rsidR="006F3AA8" w:rsidRDefault="006F3AA8">
            <w:pPr>
              <w:tabs>
                <w:tab w:val="left" w:pos="526"/>
              </w:tabs>
              <w:rPr>
                <w:rFonts w:ascii="Arial" w:hAnsi="Arial" w:cs="Arial"/>
                <w:color w:val="000033"/>
                <w:sz w:val="20"/>
                <w:szCs w:val="20"/>
                <w:shd w:val="clear" w:color="auto" w:fill="FFFFFF"/>
              </w:rPr>
            </w:pPr>
            <w:r>
              <w:rPr>
                <w:rFonts w:ascii="Arial" w:hAnsi="Arial" w:cs="Arial"/>
                <w:color w:val="000033"/>
                <w:sz w:val="20"/>
                <w:szCs w:val="20"/>
                <w:shd w:val="clear" w:color="auto" w:fill="FFFFFF"/>
              </w:rPr>
              <w:t>Skeletal Muscle</w:t>
            </w:r>
          </w:p>
        </w:tc>
        <w:tc>
          <w:tcPr>
            <w:tcW w:w="1643" w:type="dxa"/>
            <w:tcBorders>
              <w:top w:val="single" w:sz="4" w:space="0" w:color="auto"/>
              <w:left w:val="single" w:sz="4" w:space="0" w:color="auto"/>
              <w:bottom w:val="single" w:sz="4" w:space="0" w:color="auto"/>
              <w:right w:val="single" w:sz="4" w:space="0" w:color="auto"/>
            </w:tcBorders>
            <w:hideMark/>
          </w:tcPr>
          <w:p w14:paraId="00516CFA"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12-month</w:t>
            </w:r>
          </w:p>
        </w:tc>
        <w:tc>
          <w:tcPr>
            <w:tcW w:w="2439" w:type="dxa"/>
            <w:tcBorders>
              <w:top w:val="single" w:sz="4" w:space="0" w:color="auto"/>
              <w:left w:val="single" w:sz="4" w:space="0" w:color="auto"/>
              <w:bottom w:val="single" w:sz="4" w:space="0" w:color="auto"/>
              <w:right w:val="single" w:sz="4" w:space="0" w:color="auto"/>
            </w:tcBorders>
            <w:hideMark/>
          </w:tcPr>
          <w:p w14:paraId="4ECE501E"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w:t>
            </w:r>
          </w:p>
        </w:tc>
        <w:tc>
          <w:tcPr>
            <w:tcW w:w="2578" w:type="dxa"/>
            <w:tcBorders>
              <w:top w:val="single" w:sz="4" w:space="0" w:color="auto"/>
              <w:left w:val="single" w:sz="4" w:space="0" w:color="auto"/>
              <w:bottom w:val="single" w:sz="4" w:space="0" w:color="auto"/>
              <w:right w:val="single" w:sz="4" w:space="0" w:color="auto"/>
            </w:tcBorders>
            <w:hideMark/>
          </w:tcPr>
          <w:p w14:paraId="5BE46990"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NA</w:t>
            </w:r>
          </w:p>
        </w:tc>
      </w:tr>
      <w:tr w:rsidR="006F3AA8" w14:paraId="57024283"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32AFC63C" w14:textId="77777777" w:rsidR="006F3AA8" w:rsidRDefault="006F3AA8">
            <w:pPr>
              <w:tabs>
                <w:tab w:val="left" w:pos="526"/>
              </w:tabs>
              <w:rPr>
                <w:rFonts w:ascii="Arial" w:hAnsi="Arial" w:cs="Arial"/>
                <w:color w:val="000033"/>
                <w:sz w:val="20"/>
                <w:szCs w:val="20"/>
                <w:shd w:val="clear" w:color="auto" w:fill="FFFFFF"/>
              </w:rPr>
            </w:pPr>
            <w:r>
              <w:rPr>
                <w:rFonts w:ascii="Arial" w:hAnsi="Arial" w:cs="Arial"/>
                <w:color w:val="000033"/>
                <w:sz w:val="20"/>
                <w:szCs w:val="20"/>
                <w:shd w:val="clear" w:color="auto" w:fill="FFFFFF"/>
              </w:rPr>
              <w:t>Skeletal Muscle</w:t>
            </w:r>
          </w:p>
        </w:tc>
        <w:tc>
          <w:tcPr>
            <w:tcW w:w="1643" w:type="dxa"/>
            <w:tcBorders>
              <w:top w:val="single" w:sz="4" w:space="0" w:color="auto"/>
              <w:left w:val="single" w:sz="4" w:space="0" w:color="auto"/>
              <w:bottom w:val="single" w:sz="4" w:space="0" w:color="auto"/>
              <w:right w:val="single" w:sz="4" w:space="0" w:color="auto"/>
            </w:tcBorders>
            <w:hideMark/>
          </w:tcPr>
          <w:p w14:paraId="1C54CC88"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24-month</w:t>
            </w:r>
          </w:p>
        </w:tc>
        <w:tc>
          <w:tcPr>
            <w:tcW w:w="2439" w:type="dxa"/>
            <w:tcBorders>
              <w:top w:val="single" w:sz="4" w:space="0" w:color="auto"/>
              <w:left w:val="single" w:sz="4" w:space="0" w:color="auto"/>
              <w:bottom w:val="single" w:sz="4" w:space="0" w:color="auto"/>
              <w:right w:val="single" w:sz="4" w:space="0" w:color="auto"/>
            </w:tcBorders>
            <w:hideMark/>
          </w:tcPr>
          <w:p w14:paraId="7C3743FC"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w:t>
            </w:r>
          </w:p>
        </w:tc>
        <w:tc>
          <w:tcPr>
            <w:tcW w:w="2578" w:type="dxa"/>
            <w:tcBorders>
              <w:top w:val="single" w:sz="4" w:space="0" w:color="auto"/>
              <w:left w:val="single" w:sz="4" w:space="0" w:color="auto"/>
              <w:bottom w:val="single" w:sz="4" w:space="0" w:color="auto"/>
              <w:right w:val="single" w:sz="4" w:space="0" w:color="auto"/>
            </w:tcBorders>
            <w:hideMark/>
          </w:tcPr>
          <w:p w14:paraId="6F381ECB"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NA</w:t>
            </w:r>
          </w:p>
        </w:tc>
      </w:tr>
      <w:tr w:rsidR="006F3AA8" w14:paraId="4931479D"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0CBE83AB" w14:textId="77777777" w:rsidR="006F3AA8" w:rsidRDefault="006F3AA8">
            <w:pPr>
              <w:tabs>
                <w:tab w:val="left" w:pos="526"/>
              </w:tabs>
              <w:rPr>
                <w:rFonts w:ascii="Arial" w:hAnsi="Arial" w:cs="Arial"/>
                <w:color w:val="000033"/>
                <w:sz w:val="20"/>
                <w:szCs w:val="20"/>
                <w:shd w:val="clear" w:color="auto" w:fill="FFFFFF"/>
              </w:rPr>
            </w:pPr>
            <w:r>
              <w:rPr>
                <w:rFonts w:ascii="Arial" w:hAnsi="Arial" w:cs="Arial"/>
                <w:color w:val="000033"/>
                <w:sz w:val="20"/>
                <w:szCs w:val="20"/>
                <w:shd w:val="clear" w:color="auto" w:fill="FFFFFF"/>
              </w:rPr>
              <w:t>Spleen</w:t>
            </w:r>
          </w:p>
        </w:tc>
        <w:tc>
          <w:tcPr>
            <w:tcW w:w="1643" w:type="dxa"/>
            <w:tcBorders>
              <w:top w:val="single" w:sz="4" w:space="0" w:color="auto"/>
              <w:left w:val="single" w:sz="4" w:space="0" w:color="auto"/>
              <w:bottom w:val="single" w:sz="4" w:space="0" w:color="auto"/>
              <w:right w:val="single" w:sz="4" w:space="0" w:color="auto"/>
            </w:tcBorders>
            <w:hideMark/>
          </w:tcPr>
          <w:p w14:paraId="03CDF611"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4-month</w:t>
            </w:r>
          </w:p>
        </w:tc>
        <w:tc>
          <w:tcPr>
            <w:tcW w:w="2439" w:type="dxa"/>
            <w:tcBorders>
              <w:top w:val="single" w:sz="4" w:space="0" w:color="auto"/>
              <w:left w:val="single" w:sz="4" w:space="0" w:color="auto"/>
              <w:bottom w:val="single" w:sz="4" w:space="0" w:color="auto"/>
              <w:right w:val="single" w:sz="4" w:space="0" w:color="auto"/>
            </w:tcBorders>
            <w:hideMark/>
          </w:tcPr>
          <w:p w14:paraId="0F658D78"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w:t>
            </w:r>
          </w:p>
        </w:tc>
        <w:tc>
          <w:tcPr>
            <w:tcW w:w="2578" w:type="dxa"/>
            <w:tcBorders>
              <w:top w:val="single" w:sz="4" w:space="0" w:color="auto"/>
              <w:left w:val="single" w:sz="4" w:space="0" w:color="auto"/>
              <w:bottom w:val="single" w:sz="4" w:space="0" w:color="auto"/>
              <w:right w:val="single" w:sz="4" w:space="0" w:color="auto"/>
            </w:tcBorders>
            <w:hideMark/>
          </w:tcPr>
          <w:p w14:paraId="45F0FD46"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NA</w:t>
            </w:r>
          </w:p>
        </w:tc>
      </w:tr>
      <w:tr w:rsidR="006F3AA8" w14:paraId="39A53603"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02951C12" w14:textId="77777777" w:rsidR="006F3AA8" w:rsidRDefault="006F3AA8">
            <w:pPr>
              <w:tabs>
                <w:tab w:val="left" w:pos="526"/>
              </w:tabs>
              <w:rPr>
                <w:rFonts w:ascii="Arial" w:hAnsi="Arial" w:cs="Arial"/>
                <w:color w:val="000033"/>
                <w:sz w:val="20"/>
                <w:szCs w:val="20"/>
                <w:shd w:val="clear" w:color="auto" w:fill="FFFFFF"/>
              </w:rPr>
            </w:pPr>
            <w:r>
              <w:rPr>
                <w:rFonts w:ascii="Arial" w:hAnsi="Arial" w:cs="Arial"/>
                <w:color w:val="000033"/>
                <w:sz w:val="20"/>
                <w:szCs w:val="20"/>
                <w:shd w:val="clear" w:color="auto" w:fill="FFFFFF"/>
              </w:rPr>
              <w:t>Spleen</w:t>
            </w:r>
          </w:p>
        </w:tc>
        <w:tc>
          <w:tcPr>
            <w:tcW w:w="1643" w:type="dxa"/>
            <w:tcBorders>
              <w:top w:val="single" w:sz="4" w:space="0" w:color="auto"/>
              <w:left w:val="single" w:sz="4" w:space="0" w:color="auto"/>
              <w:bottom w:val="single" w:sz="4" w:space="0" w:color="auto"/>
              <w:right w:val="single" w:sz="4" w:space="0" w:color="auto"/>
            </w:tcBorders>
            <w:hideMark/>
          </w:tcPr>
          <w:p w14:paraId="2D627D56"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12-month</w:t>
            </w:r>
          </w:p>
        </w:tc>
        <w:tc>
          <w:tcPr>
            <w:tcW w:w="2439" w:type="dxa"/>
            <w:tcBorders>
              <w:top w:val="single" w:sz="4" w:space="0" w:color="auto"/>
              <w:left w:val="single" w:sz="4" w:space="0" w:color="auto"/>
              <w:bottom w:val="single" w:sz="4" w:space="0" w:color="auto"/>
              <w:right w:val="single" w:sz="4" w:space="0" w:color="auto"/>
            </w:tcBorders>
            <w:hideMark/>
          </w:tcPr>
          <w:p w14:paraId="366F18D2"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w:t>
            </w:r>
          </w:p>
        </w:tc>
        <w:tc>
          <w:tcPr>
            <w:tcW w:w="2578" w:type="dxa"/>
            <w:tcBorders>
              <w:top w:val="single" w:sz="4" w:space="0" w:color="auto"/>
              <w:left w:val="single" w:sz="4" w:space="0" w:color="auto"/>
              <w:bottom w:val="single" w:sz="4" w:space="0" w:color="auto"/>
              <w:right w:val="single" w:sz="4" w:space="0" w:color="auto"/>
            </w:tcBorders>
            <w:hideMark/>
          </w:tcPr>
          <w:p w14:paraId="5F181331"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NA</w:t>
            </w:r>
          </w:p>
        </w:tc>
      </w:tr>
      <w:tr w:rsidR="006F3AA8" w14:paraId="395AA83C" w14:textId="77777777" w:rsidTr="006F3AA8">
        <w:tc>
          <w:tcPr>
            <w:tcW w:w="2875" w:type="dxa"/>
            <w:tcBorders>
              <w:top w:val="single" w:sz="4" w:space="0" w:color="auto"/>
              <w:left w:val="single" w:sz="4" w:space="0" w:color="auto"/>
              <w:bottom w:val="single" w:sz="4" w:space="0" w:color="auto"/>
              <w:right w:val="single" w:sz="4" w:space="0" w:color="auto"/>
            </w:tcBorders>
            <w:hideMark/>
          </w:tcPr>
          <w:p w14:paraId="1215EA8F" w14:textId="77777777" w:rsidR="006F3AA8" w:rsidRDefault="006F3AA8">
            <w:pPr>
              <w:tabs>
                <w:tab w:val="left" w:pos="526"/>
              </w:tabs>
              <w:rPr>
                <w:rFonts w:ascii="Arial" w:hAnsi="Arial" w:cs="Arial"/>
                <w:color w:val="000033"/>
                <w:sz w:val="20"/>
                <w:szCs w:val="20"/>
                <w:shd w:val="clear" w:color="auto" w:fill="FFFFFF"/>
              </w:rPr>
            </w:pPr>
            <w:r>
              <w:rPr>
                <w:rFonts w:ascii="Arial" w:hAnsi="Arial" w:cs="Arial"/>
                <w:color w:val="000033"/>
                <w:sz w:val="20"/>
                <w:szCs w:val="20"/>
                <w:shd w:val="clear" w:color="auto" w:fill="FFFFFF"/>
              </w:rPr>
              <w:t>Spleen</w:t>
            </w:r>
          </w:p>
        </w:tc>
        <w:tc>
          <w:tcPr>
            <w:tcW w:w="1643" w:type="dxa"/>
            <w:tcBorders>
              <w:top w:val="single" w:sz="4" w:space="0" w:color="auto"/>
              <w:left w:val="single" w:sz="4" w:space="0" w:color="auto"/>
              <w:bottom w:val="single" w:sz="4" w:space="0" w:color="auto"/>
              <w:right w:val="single" w:sz="4" w:space="0" w:color="auto"/>
            </w:tcBorders>
            <w:hideMark/>
          </w:tcPr>
          <w:p w14:paraId="6DD41EC7"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24-month</w:t>
            </w:r>
          </w:p>
        </w:tc>
        <w:tc>
          <w:tcPr>
            <w:tcW w:w="2439" w:type="dxa"/>
            <w:tcBorders>
              <w:top w:val="single" w:sz="4" w:space="0" w:color="auto"/>
              <w:left w:val="single" w:sz="4" w:space="0" w:color="auto"/>
              <w:bottom w:val="single" w:sz="4" w:space="0" w:color="auto"/>
              <w:right w:val="single" w:sz="4" w:space="0" w:color="auto"/>
            </w:tcBorders>
            <w:hideMark/>
          </w:tcPr>
          <w:p w14:paraId="7DADA649"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2</w:t>
            </w:r>
          </w:p>
        </w:tc>
        <w:tc>
          <w:tcPr>
            <w:tcW w:w="2578" w:type="dxa"/>
            <w:tcBorders>
              <w:top w:val="single" w:sz="4" w:space="0" w:color="auto"/>
              <w:left w:val="single" w:sz="4" w:space="0" w:color="auto"/>
              <w:bottom w:val="single" w:sz="4" w:space="0" w:color="auto"/>
              <w:right w:val="single" w:sz="4" w:space="0" w:color="auto"/>
            </w:tcBorders>
            <w:hideMark/>
          </w:tcPr>
          <w:p w14:paraId="09D1313D" w14:textId="77777777" w:rsidR="006F3AA8" w:rsidRDefault="006F3AA8">
            <w:pPr>
              <w:rPr>
                <w:rFonts w:ascii="Arial" w:hAnsi="Arial" w:cs="Arial"/>
                <w:color w:val="000033"/>
                <w:sz w:val="20"/>
                <w:szCs w:val="20"/>
                <w:shd w:val="clear" w:color="auto" w:fill="FFFFFF"/>
              </w:rPr>
            </w:pPr>
            <w:r>
              <w:rPr>
                <w:rFonts w:ascii="Arial" w:hAnsi="Arial" w:cs="Arial"/>
                <w:color w:val="000033"/>
                <w:sz w:val="20"/>
                <w:szCs w:val="20"/>
                <w:shd w:val="clear" w:color="auto" w:fill="FFFFFF"/>
              </w:rPr>
              <w:t>NA</w:t>
            </w:r>
          </w:p>
        </w:tc>
      </w:tr>
    </w:tbl>
    <w:p w14:paraId="65F4CCAD" w14:textId="77777777" w:rsidR="006F3AA8" w:rsidRDefault="006F3AA8" w:rsidP="006F3AA8">
      <w:pPr>
        <w:rPr>
          <w:rFonts w:ascii="Arial" w:eastAsia="Times New Roman" w:hAnsi="Arial" w:cs="Arial"/>
          <w:b/>
          <w:bCs/>
          <w:sz w:val="20"/>
          <w:szCs w:val="20"/>
          <w:lang w:val="en-US"/>
        </w:rPr>
      </w:pPr>
    </w:p>
    <w:p w14:paraId="7B5D029A" w14:textId="77777777" w:rsidR="006F3AA8" w:rsidRDefault="006F3AA8" w:rsidP="006F3AA8">
      <w:pPr>
        <w:rPr>
          <w:rFonts w:ascii="Arial" w:hAnsi="Arial" w:cs="Arial"/>
          <w:b/>
          <w:bCs/>
          <w:color w:val="FF0000"/>
          <w:sz w:val="20"/>
          <w:szCs w:val="20"/>
        </w:rPr>
      </w:pPr>
      <w:r>
        <w:rPr>
          <w:rFonts w:ascii="Arial" w:hAnsi="Arial" w:cs="Arial"/>
          <w:b/>
          <w:bCs/>
          <w:sz w:val="20"/>
          <w:szCs w:val="20"/>
        </w:rPr>
        <w:t xml:space="preserve">To look at whether pooling affects the data. We looked at data where we have samples from individual mice and bioinformatically pooled samples to mimic pooling. We took samples from lungs, which is our most proliferative tissue besides the intestine, and heart which is the least proliferative tissue. Results show that pooling more samples decreases JSD instead of increasing </w:t>
      </w:r>
      <w:proofErr w:type="gramStart"/>
      <w:r>
        <w:rPr>
          <w:rFonts w:ascii="Arial" w:hAnsi="Arial" w:cs="Arial"/>
          <w:b/>
          <w:bCs/>
          <w:sz w:val="20"/>
          <w:szCs w:val="20"/>
        </w:rPr>
        <w:t>it, and</w:t>
      </w:r>
      <w:proofErr w:type="gramEnd"/>
      <w:r>
        <w:rPr>
          <w:rFonts w:ascii="Arial" w:hAnsi="Arial" w:cs="Arial"/>
          <w:b/>
          <w:bCs/>
          <w:sz w:val="20"/>
          <w:szCs w:val="20"/>
        </w:rPr>
        <w:t xml:space="preserve"> increasing the number of samples pooled resulted in a decrease in JSD. As a result, our data on pooled samples is possibly an underestimate of the true differences between individuals. </w:t>
      </w:r>
      <w:r>
        <w:rPr>
          <w:rFonts w:ascii="Arial" w:hAnsi="Arial" w:cs="Arial"/>
          <w:b/>
          <w:bCs/>
          <w:i/>
          <w:iCs/>
          <w:sz w:val="20"/>
          <w:szCs w:val="20"/>
          <w:u w:val="single"/>
        </w:rPr>
        <w:t>We have included this conclusion in line 259-264.</w:t>
      </w:r>
      <w:r>
        <w:rPr>
          <w:rFonts w:ascii="Arial" w:hAnsi="Arial" w:cs="Arial"/>
          <w:b/>
          <w:bCs/>
          <w:sz w:val="20"/>
          <w:szCs w:val="20"/>
        </w:rPr>
        <w:t xml:space="preserve"> Due to the constraints of number of supplementary figures we can submit to genome biology we will not be including this in supplementary data. </w:t>
      </w:r>
      <w:r>
        <w:rPr>
          <w:rFonts w:ascii="Arial" w:hAnsi="Arial" w:cs="Arial"/>
          <w:b/>
          <w:bCs/>
          <w:color w:val="FF0000"/>
          <w:sz w:val="20"/>
          <w:szCs w:val="20"/>
        </w:rPr>
        <w:t xml:space="preserve"> </w:t>
      </w:r>
    </w:p>
    <w:p w14:paraId="3A39D484" w14:textId="77777777" w:rsidR="006F3AA8" w:rsidRDefault="006F3AA8" w:rsidP="006F3AA8">
      <w:pPr>
        <w:rPr>
          <w:rFonts w:ascii="Arial" w:hAnsi="Arial" w:cs="Arial"/>
          <w:b/>
          <w:bCs/>
          <w:sz w:val="20"/>
          <w:szCs w:val="20"/>
        </w:rPr>
      </w:pPr>
    </w:p>
    <w:p w14:paraId="579AAE7C" w14:textId="3488BD40" w:rsidR="006F3AA8" w:rsidRDefault="006F3AA8" w:rsidP="006F3AA8">
      <w:pPr>
        <w:rPr>
          <w:rFonts w:ascii="Arial" w:hAnsi="Arial" w:cs="Arial"/>
          <w:b/>
          <w:bCs/>
          <w:sz w:val="20"/>
          <w:szCs w:val="20"/>
        </w:rPr>
      </w:pPr>
      <w:r>
        <w:rPr>
          <w:rFonts w:ascii="Arial" w:hAnsi="Arial" w:cs="Arial"/>
          <w:b/>
          <w:noProof/>
          <w:sz w:val="20"/>
          <w:szCs w:val="20"/>
        </w:rPr>
        <w:lastRenderedPageBreak/>
        <w:drawing>
          <wp:inline distT="0" distB="0" distL="0" distR="0" wp14:anchorId="1D5AE980" wp14:editId="6A1EA40F">
            <wp:extent cx="5731510" cy="182943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1829435"/>
                    </a:xfrm>
                    <a:prstGeom prst="rect">
                      <a:avLst/>
                    </a:prstGeom>
                    <a:noFill/>
                    <a:ln>
                      <a:noFill/>
                    </a:ln>
                  </pic:spPr>
                </pic:pic>
              </a:graphicData>
            </a:graphic>
          </wp:inline>
        </w:drawing>
      </w:r>
    </w:p>
    <w:p w14:paraId="64249F6A" w14:textId="77777777" w:rsidR="006F3AA8" w:rsidRDefault="006F3AA8" w:rsidP="006F3AA8">
      <w:pPr>
        <w:rPr>
          <w:rFonts w:ascii="Arial" w:hAnsi="Arial" w:cs="Arial"/>
          <w:b/>
          <w:bCs/>
          <w:sz w:val="20"/>
          <w:szCs w:val="20"/>
        </w:rPr>
      </w:pPr>
    </w:p>
    <w:p w14:paraId="6C049393" w14:textId="77777777" w:rsidR="006F3AA8" w:rsidRDefault="006F3AA8" w:rsidP="006F3AA8">
      <w:pPr>
        <w:rPr>
          <w:rFonts w:ascii="Arial" w:hAnsi="Arial" w:cs="Arial"/>
          <w:sz w:val="16"/>
          <w:szCs w:val="16"/>
        </w:rPr>
      </w:pPr>
      <w:r>
        <w:rPr>
          <w:rFonts w:ascii="Arial" w:hAnsi="Arial" w:cs="Arial"/>
          <w:sz w:val="16"/>
          <w:szCs w:val="16"/>
        </w:rPr>
        <w:t xml:space="preserve">FIGURE LEGEND: Comparison of JSD in pooled versus non-pooled sample. </w:t>
      </w:r>
      <w:r>
        <w:rPr>
          <w:rFonts w:ascii="Arial" w:hAnsi="Arial" w:cs="Arial"/>
          <w:b/>
          <w:bCs/>
          <w:sz w:val="16"/>
          <w:szCs w:val="16"/>
        </w:rPr>
        <w:t>a-b</w:t>
      </w:r>
      <w:r>
        <w:rPr>
          <w:rFonts w:ascii="Arial" w:hAnsi="Arial" w:cs="Arial"/>
          <w:sz w:val="16"/>
          <w:szCs w:val="16"/>
        </w:rPr>
        <w:t>. Violin plots of JSD values (x-axis) and average % methylation (y-axis) in pooled and not pooled samples in the lung (</w:t>
      </w:r>
      <w:r>
        <w:rPr>
          <w:rFonts w:ascii="Arial" w:hAnsi="Arial" w:cs="Arial"/>
          <w:b/>
          <w:bCs/>
          <w:sz w:val="16"/>
          <w:szCs w:val="16"/>
        </w:rPr>
        <w:t>a</w:t>
      </w:r>
      <w:r>
        <w:rPr>
          <w:rFonts w:ascii="Arial" w:hAnsi="Arial" w:cs="Arial"/>
          <w:sz w:val="16"/>
          <w:szCs w:val="16"/>
        </w:rPr>
        <w:t>) and heart (</w:t>
      </w:r>
      <w:r>
        <w:rPr>
          <w:rFonts w:ascii="Arial" w:hAnsi="Arial" w:cs="Arial"/>
          <w:b/>
          <w:bCs/>
          <w:sz w:val="16"/>
          <w:szCs w:val="16"/>
        </w:rPr>
        <w:t>b</w:t>
      </w:r>
      <w:r>
        <w:rPr>
          <w:rFonts w:ascii="Arial" w:hAnsi="Arial" w:cs="Arial"/>
          <w:sz w:val="16"/>
          <w:szCs w:val="16"/>
        </w:rPr>
        <w:t>)</w:t>
      </w:r>
    </w:p>
    <w:p w14:paraId="069E6817" w14:textId="77777777" w:rsidR="006F3AA8" w:rsidRDefault="006F3AA8" w:rsidP="006F3AA8">
      <w:pPr>
        <w:rPr>
          <w:rFonts w:ascii="Arial" w:hAnsi="Arial" w:cs="Arial"/>
          <w:b/>
          <w:bCs/>
          <w:sz w:val="20"/>
          <w:szCs w:val="20"/>
        </w:rPr>
      </w:pPr>
    </w:p>
    <w:p w14:paraId="060BED3C" w14:textId="77777777" w:rsidR="006F3AA8" w:rsidRDefault="006F3AA8" w:rsidP="006F3AA8">
      <w:pPr>
        <w:rPr>
          <w:rFonts w:ascii="Arial" w:hAnsi="Arial" w:cs="Arial"/>
          <w:b/>
          <w:bCs/>
          <w:color w:val="FF0000"/>
          <w:sz w:val="20"/>
          <w:szCs w:val="20"/>
        </w:rPr>
      </w:pPr>
      <w:r>
        <w:rPr>
          <w:rFonts w:ascii="Arial" w:hAnsi="Arial" w:cs="Arial"/>
          <w:color w:val="FF0000"/>
          <w:sz w:val="20"/>
          <w:szCs w:val="20"/>
          <w:shd w:val="clear" w:color="auto" w:fill="FFFFFF"/>
        </w:rPr>
        <w:t xml:space="preserve">3) The concept of JSD needs to be much better clarified in the manuscript - particularly since this is the most innovative aspect. Looking at other studies I got the impression that JSD is typically higher at </w:t>
      </w:r>
      <w:proofErr w:type="spellStart"/>
      <w:r>
        <w:rPr>
          <w:rFonts w:ascii="Arial" w:hAnsi="Arial" w:cs="Arial"/>
          <w:i/>
          <w:iCs/>
          <w:color w:val="FF0000"/>
          <w:sz w:val="20"/>
          <w:szCs w:val="20"/>
          <w:u w:val="single"/>
          <w:shd w:val="clear" w:color="auto" w:fill="FFFFFF"/>
        </w:rPr>
        <w:t>hemimethylated</w:t>
      </w:r>
      <w:proofErr w:type="spellEnd"/>
      <w:r>
        <w:rPr>
          <w:rFonts w:ascii="Arial" w:hAnsi="Arial" w:cs="Arial"/>
          <w:i/>
          <w:iCs/>
          <w:color w:val="FF0000"/>
          <w:sz w:val="20"/>
          <w:szCs w:val="20"/>
          <w:u w:val="single"/>
          <w:shd w:val="clear" w:color="auto" w:fill="FFFFFF"/>
        </w:rPr>
        <w:t xml:space="preserve"> sites (peaking at 50% methylation level) whereas it is generally lower at none or highly</w:t>
      </w:r>
      <w:r>
        <w:rPr>
          <w:rFonts w:ascii="Arial" w:hAnsi="Arial" w:cs="Arial"/>
          <w:color w:val="FF0000"/>
          <w:sz w:val="20"/>
          <w:szCs w:val="20"/>
          <w:shd w:val="clear" w:color="auto" w:fill="FFFFFF"/>
        </w:rPr>
        <w:t xml:space="preserve"> methylated sites. If so, this needs to be better clarified and taken into consideration. It is known that age-related </w:t>
      </w:r>
      <w:proofErr w:type="spellStart"/>
      <w:r>
        <w:rPr>
          <w:rFonts w:ascii="Arial" w:hAnsi="Arial" w:cs="Arial"/>
          <w:color w:val="FF0000"/>
          <w:sz w:val="20"/>
          <w:szCs w:val="20"/>
          <w:shd w:val="clear" w:color="auto" w:fill="FFFFFF"/>
        </w:rPr>
        <w:t>CpGs</w:t>
      </w:r>
      <w:proofErr w:type="spellEnd"/>
      <w:r>
        <w:rPr>
          <w:rFonts w:ascii="Arial" w:hAnsi="Arial" w:cs="Arial"/>
          <w:color w:val="FF0000"/>
          <w:sz w:val="20"/>
          <w:szCs w:val="20"/>
          <w:shd w:val="clear" w:color="auto" w:fill="FFFFFF"/>
        </w:rPr>
        <w:t xml:space="preserve"> are often </w:t>
      </w:r>
      <w:proofErr w:type="spellStart"/>
      <w:r>
        <w:rPr>
          <w:rFonts w:ascii="Arial" w:hAnsi="Arial" w:cs="Arial"/>
          <w:color w:val="FF0000"/>
          <w:sz w:val="20"/>
          <w:szCs w:val="20"/>
          <w:shd w:val="clear" w:color="auto" w:fill="FFFFFF"/>
        </w:rPr>
        <w:t>hemimethylated</w:t>
      </w:r>
      <w:proofErr w:type="spellEnd"/>
      <w:r>
        <w:rPr>
          <w:rFonts w:ascii="Arial" w:hAnsi="Arial" w:cs="Arial"/>
          <w:color w:val="FF0000"/>
          <w:sz w:val="20"/>
          <w:szCs w:val="20"/>
          <w:shd w:val="clear" w:color="auto" w:fill="FFFFFF"/>
        </w:rPr>
        <w:t>, while tissue-specific DNA methylation may be more at the extremes. This might at least contribute to the observed discrepancy in JSD.</w:t>
      </w:r>
    </w:p>
    <w:p w14:paraId="1298D717" w14:textId="77777777" w:rsidR="006F3AA8" w:rsidRDefault="006F3AA8" w:rsidP="006F3AA8">
      <w:pPr>
        <w:rPr>
          <w:rFonts w:ascii="Arial" w:hAnsi="Arial" w:cs="Arial"/>
          <w:b/>
          <w:bCs/>
          <w:sz w:val="20"/>
          <w:szCs w:val="20"/>
        </w:rPr>
      </w:pPr>
    </w:p>
    <w:p w14:paraId="0C803AFE" w14:textId="77777777" w:rsidR="006F3AA8" w:rsidRDefault="006F3AA8" w:rsidP="006F3AA8">
      <w:pPr>
        <w:pStyle w:val="NormalWeb"/>
        <w:rPr>
          <w:rFonts w:ascii="Arial" w:hAnsi="Arial" w:cs="Arial"/>
          <w:b/>
          <w:bCs/>
          <w:i/>
          <w:iCs/>
          <w:sz w:val="20"/>
          <w:szCs w:val="20"/>
          <w:u w:val="single"/>
        </w:rPr>
      </w:pPr>
      <w:r>
        <w:rPr>
          <w:rFonts w:ascii="Arial" w:hAnsi="Arial" w:cs="Arial"/>
          <w:b/>
          <w:bCs/>
          <w:color w:val="000033"/>
          <w:sz w:val="20"/>
          <w:szCs w:val="20"/>
          <w:shd w:val="clear" w:color="auto" w:fill="FFFFFF"/>
        </w:rPr>
        <w:t>Response: We acknowledge that Jensen Shannon Distance (JSD) is not the current standard method to quantify entropy in the field, and it differs from Shannon’s entropy, which could be creating some confusion. We would like to clarify that Jensen Shannon Distance (JSD) is a method of calculating entropy with a distance metric using a reference</w:t>
      </w:r>
      <w:r>
        <w:rPr>
          <w:rFonts w:ascii="Arial" w:hAnsi="Arial" w:cs="Arial"/>
          <w:sz w:val="20"/>
          <w:szCs w:val="20"/>
        </w:rPr>
        <w:t xml:space="preserve"> </w:t>
      </w:r>
      <w:r>
        <w:rPr>
          <w:rFonts w:ascii="Arial" w:hAnsi="Arial" w:cs="Arial"/>
          <w:b/>
          <w:bCs/>
          <w:sz w:val="20"/>
          <w:szCs w:val="20"/>
        </w:rPr>
        <w:t>sample</w:t>
      </w:r>
      <w:r>
        <w:rPr>
          <w:rFonts w:ascii="Arial" w:hAnsi="Arial" w:cs="Arial"/>
          <w:sz w:val="20"/>
          <w:szCs w:val="20"/>
        </w:rPr>
        <w:t xml:space="preserve">. </w:t>
      </w:r>
      <w:r>
        <w:rPr>
          <w:rFonts w:ascii="Arial" w:hAnsi="Arial" w:cs="Arial"/>
          <w:b/>
          <w:bCs/>
          <w:sz w:val="20"/>
          <w:szCs w:val="20"/>
        </w:rPr>
        <w:t xml:space="preserve">If the reference sample and test sample distributions don’t overlap at all then JSD equals 1(which is the maximum), if they overlap completely then JSD equals 0, and with intermediate levels of overlap the value ranges between 0 and 1. </w:t>
      </w:r>
      <w:r>
        <w:rPr>
          <w:rFonts w:ascii="Arial" w:hAnsi="Arial" w:cs="Arial"/>
          <w:b/>
          <w:bCs/>
          <w:i/>
          <w:iCs/>
          <w:sz w:val="20"/>
          <w:szCs w:val="20"/>
          <w:u w:val="single"/>
        </w:rPr>
        <w:t>This explanation has been included in the manuscript in lines 188-196.</w:t>
      </w:r>
    </w:p>
    <w:p w14:paraId="2E63C724" w14:textId="77777777" w:rsidR="006F3AA8" w:rsidRDefault="006F3AA8" w:rsidP="006F3AA8">
      <w:pPr>
        <w:pStyle w:val="NormalWeb"/>
        <w:rPr>
          <w:rFonts w:ascii="Arial" w:hAnsi="Arial" w:cs="Arial"/>
          <w:b/>
          <w:bCs/>
          <w:color w:val="000033"/>
          <w:sz w:val="20"/>
          <w:szCs w:val="20"/>
          <w:shd w:val="clear" w:color="auto" w:fill="FFFFFF"/>
        </w:rPr>
      </w:pPr>
      <w:r>
        <w:rPr>
          <w:rFonts w:ascii="Arial" w:hAnsi="Arial" w:cs="Arial"/>
          <w:b/>
          <w:bCs/>
          <w:color w:val="000033"/>
          <w:sz w:val="20"/>
          <w:szCs w:val="20"/>
          <w:shd w:val="clear" w:color="auto" w:fill="FFFFFF"/>
        </w:rPr>
        <w:t>Example 1: Case of low JSD change between test sample and reference distribution</w:t>
      </w:r>
    </w:p>
    <w:p w14:paraId="44DB71A4" w14:textId="309A06B9" w:rsidR="006F3AA8" w:rsidRDefault="006F3AA8" w:rsidP="006F3AA8">
      <w:pPr>
        <w:pStyle w:val="NormalWeb"/>
        <w:rPr>
          <w:rFonts w:ascii="Arial" w:hAnsi="Arial" w:cs="Arial"/>
          <w:b/>
          <w:bCs/>
          <w:sz w:val="20"/>
          <w:szCs w:val="20"/>
        </w:rPr>
      </w:pPr>
      <w:r>
        <w:rPr>
          <w:rFonts w:ascii="Arial" w:hAnsi="Arial" w:cs="Arial"/>
          <w:b/>
          <w:noProof/>
          <w:sz w:val="20"/>
          <w:szCs w:val="20"/>
        </w:rPr>
        <w:drawing>
          <wp:inline distT="0" distB="0" distL="0" distR="0" wp14:anchorId="43BC9E6E" wp14:editId="0A06593C">
            <wp:extent cx="5731510" cy="150622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506220"/>
                    </a:xfrm>
                    <a:prstGeom prst="rect">
                      <a:avLst/>
                    </a:prstGeom>
                    <a:noFill/>
                    <a:ln>
                      <a:noFill/>
                    </a:ln>
                  </pic:spPr>
                </pic:pic>
              </a:graphicData>
            </a:graphic>
          </wp:inline>
        </w:drawing>
      </w:r>
    </w:p>
    <w:p w14:paraId="31A377F2" w14:textId="77777777" w:rsidR="006F3AA8" w:rsidRDefault="006F3AA8" w:rsidP="006F3AA8">
      <w:pPr>
        <w:pStyle w:val="NormalWeb"/>
        <w:rPr>
          <w:rFonts w:ascii="Arial" w:hAnsi="Arial" w:cs="Arial"/>
          <w:b/>
          <w:bCs/>
          <w:color w:val="000033"/>
          <w:sz w:val="20"/>
          <w:szCs w:val="20"/>
          <w:shd w:val="clear" w:color="auto" w:fill="FFFFFF"/>
        </w:rPr>
      </w:pPr>
      <w:r>
        <w:rPr>
          <w:rFonts w:ascii="Arial" w:hAnsi="Arial" w:cs="Arial"/>
          <w:b/>
          <w:bCs/>
          <w:color w:val="000033"/>
          <w:sz w:val="20"/>
          <w:szCs w:val="20"/>
          <w:shd w:val="clear" w:color="auto" w:fill="FFFFFF"/>
        </w:rPr>
        <w:t>Example 2: Case of high JSD change between test sample and reference distribution</w:t>
      </w:r>
    </w:p>
    <w:p w14:paraId="673D50CF" w14:textId="70544A6C" w:rsidR="006F3AA8" w:rsidRDefault="006F3AA8" w:rsidP="006F3AA8">
      <w:pPr>
        <w:pStyle w:val="NormalWeb"/>
        <w:rPr>
          <w:rFonts w:ascii="Arial" w:hAnsi="Arial" w:cs="Arial"/>
          <w:b/>
          <w:bCs/>
          <w:sz w:val="20"/>
          <w:szCs w:val="20"/>
        </w:rPr>
      </w:pPr>
      <w:r>
        <w:rPr>
          <w:rFonts w:ascii="Arial" w:hAnsi="Arial" w:cs="Arial"/>
          <w:b/>
          <w:noProof/>
          <w:sz w:val="20"/>
          <w:szCs w:val="20"/>
        </w:rPr>
        <w:lastRenderedPageBreak/>
        <w:drawing>
          <wp:inline distT="0" distB="0" distL="0" distR="0" wp14:anchorId="3616AE04" wp14:editId="3DDD5D62">
            <wp:extent cx="5731510" cy="141097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1410970"/>
                    </a:xfrm>
                    <a:prstGeom prst="rect">
                      <a:avLst/>
                    </a:prstGeom>
                    <a:noFill/>
                    <a:ln>
                      <a:noFill/>
                    </a:ln>
                  </pic:spPr>
                </pic:pic>
              </a:graphicData>
            </a:graphic>
          </wp:inline>
        </w:drawing>
      </w:r>
    </w:p>
    <w:p w14:paraId="3652037F" w14:textId="77777777" w:rsidR="006F3AA8" w:rsidRDefault="006F3AA8" w:rsidP="006F3AA8">
      <w:pPr>
        <w:pStyle w:val="NormalWeb"/>
        <w:rPr>
          <w:rFonts w:ascii="Arial" w:hAnsi="Arial" w:cs="Arial"/>
          <w:b/>
          <w:bCs/>
          <w:sz w:val="20"/>
          <w:szCs w:val="20"/>
        </w:rPr>
      </w:pPr>
      <w:r>
        <w:rPr>
          <w:rFonts w:ascii="Arial" w:hAnsi="Arial" w:cs="Arial"/>
          <w:b/>
          <w:bCs/>
          <w:sz w:val="20"/>
          <w:szCs w:val="20"/>
        </w:rPr>
        <w:t xml:space="preserve">Thus, a change in the methylation distribution from the reference sample results in increasing JSD. </w:t>
      </w:r>
    </w:p>
    <w:p w14:paraId="035CE101" w14:textId="77777777" w:rsidR="006F3AA8" w:rsidRDefault="006F3AA8" w:rsidP="006F3AA8">
      <w:pPr>
        <w:pStyle w:val="NormalWeb"/>
        <w:rPr>
          <w:rFonts w:ascii="Arial" w:hAnsi="Arial" w:cs="Arial"/>
          <w:b/>
          <w:bCs/>
          <w:sz w:val="20"/>
          <w:szCs w:val="20"/>
        </w:rPr>
      </w:pPr>
      <w:r>
        <w:rPr>
          <w:rFonts w:ascii="Arial" w:hAnsi="Arial" w:cs="Arial"/>
          <w:b/>
          <w:bCs/>
          <w:sz w:val="20"/>
          <w:szCs w:val="20"/>
        </w:rPr>
        <w:t>More conventional methods of quantifying entropy such as Shannon’s entropy do not consider distribution and direction of methylation change, resulting in the possibility of the alleles having the same number of fully methylated or unmethylated CpG’s but a very different distribution. For example (figure below), when alleles from the young sample are unmethylated whereas alleles from the old sample are fully methylated, the value of Shannon’s entropy between the samples will be the same but JSD shows a high difference. Therefore, we think JSD gives a better measure of age-related entropy.</w:t>
      </w:r>
    </w:p>
    <w:p w14:paraId="1D3089E1" w14:textId="58C40184" w:rsidR="006F3AA8" w:rsidRDefault="006F3AA8" w:rsidP="006F3AA8">
      <w:pPr>
        <w:pStyle w:val="NormalWeb"/>
        <w:rPr>
          <w:rFonts w:ascii="Arial" w:hAnsi="Arial" w:cs="Arial"/>
          <w:b/>
          <w:bCs/>
          <w:sz w:val="20"/>
          <w:szCs w:val="20"/>
        </w:rPr>
      </w:pPr>
      <w:r>
        <w:rPr>
          <w:rFonts w:ascii="Arial" w:hAnsi="Arial" w:cs="Arial"/>
          <w:b/>
          <w:noProof/>
          <w:sz w:val="20"/>
          <w:szCs w:val="20"/>
        </w:rPr>
        <w:drawing>
          <wp:inline distT="0" distB="0" distL="0" distR="0" wp14:anchorId="1F1E90F1" wp14:editId="610D5D5F">
            <wp:extent cx="5731510" cy="18516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1851660"/>
                    </a:xfrm>
                    <a:prstGeom prst="rect">
                      <a:avLst/>
                    </a:prstGeom>
                    <a:noFill/>
                    <a:ln>
                      <a:noFill/>
                    </a:ln>
                  </pic:spPr>
                </pic:pic>
              </a:graphicData>
            </a:graphic>
          </wp:inline>
        </w:drawing>
      </w:r>
    </w:p>
    <w:p w14:paraId="6A263E26" w14:textId="77777777" w:rsidR="006F3AA8" w:rsidRDefault="006F3AA8" w:rsidP="006F3AA8">
      <w:pPr>
        <w:pStyle w:val="NormalWeb"/>
      </w:pPr>
      <w:r>
        <w:rPr>
          <w:rFonts w:ascii="Arial" w:hAnsi="Arial" w:cs="Arial"/>
          <w:b/>
          <w:bCs/>
          <w:sz w:val="20"/>
          <w:szCs w:val="20"/>
        </w:rPr>
        <w:t xml:space="preserve">As an example, we calculated Shannon’s entropy for a locus with high change in JSD (example below) between reference and test sample distribution and the change in Shannon’s entropy is very small, only 0.08, whereas the change in JSD is quite large at 0.65. </w:t>
      </w:r>
    </w:p>
    <w:p w14:paraId="582B2799" w14:textId="1DD7DEC1" w:rsidR="006F3AA8" w:rsidRDefault="006F3AA8" w:rsidP="006F3AA8">
      <w:pPr>
        <w:pStyle w:val="NormalWeb"/>
        <w:rPr>
          <w:rFonts w:ascii="Arial" w:hAnsi="Arial" w:cs="Arial"/>
          <w:b/>
          <w:bCs/>
          <w:sz w:val="20"/>
          <w:szCs w:val="20"/>
        </w:rPr>
      </w:pPr>
      <w:r>
        <w:rPr>
          <w:rFonts w:ascii="Arial" w:hAnsi="Arial" w:cs="Arial"/>
          <w:b/>
          <w:noProof/>
          <w:sz w:val="20"/>
          <w:szCs w:val="20"/>
        </w:rPr>
        <w:drawing>
          <wp:inline distT="0" distB="0" distL="0" distR="0" wp14:anchorId="72AB3DF2" wp14:editId="4F3420B7">
            <wp:extent cx="5731510" cy="1763395"/>
            <wp:effectExtent l="0" t="0" r="254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1763395"/>
                    </a:xfrm>
                    <a:prstGeom prst="rect">
                      <a:avLst/>
                    </a:prstGeom>
                    <a:noFill/>
                    <a:ln>
                      <a:noFill/>
                    </a:ln>
                  </pic:spPr>
                </pic:pic>
              </a:graphicData>
            </a:graphic>
          </wp:inline>
        </w:drawing>
      </w:r>
    </w:p>
    <w:p w14:paraId="0A9AF2B9" w14:textId="77777777" w:rsidR="006F3AA8" w:rsidRDefault="006F3AA8" w:rsidP="006F3AA8">
      <w:pPr>
        <w:pStyle w:val="NormalWeb"/>
        <w:rPr>
          <w:rFonts w:ascii="Arial" w:hAnsi="Arial" w:cs="Arial"/>
          <w:b/>
          <w:bCs/>
          <w:sz w:val="20"/>
          <w:szCs w:val="20"/>
        </w:rPr>
      </w:pPr>
      <w:r>
        <w:rPr>
          <w:rFonts w:ascii="Arial" w:hAnsi="Arial" w:cs="Arial"/>
          <w:b/>
          <w:bCs/>
          <w:sz w:val="20"/>
          <w:szCs w:val="20"/>
        </w:rPr>
        <w:t xml:space="preserve">More details on this are in the reference </w:t>
      </w:r>
      <w:proofErr w:type="gramStart"/>
      <w:r>
        <w:rPr>
          <w:rFonts w:ascii="Arial" w:hAnsi="Arial" w:cs="Arial"/>
          <w:b/>
          <w:bCs/>
          <w:sz w:val="20"/>
          <w:szCs w:val="20"/>
        </w:rPr>
        <w:t>paper :</w:t>
      </w:r>
      <w:proofErr w:type="gramEnd"/>
    </w:p>
    <w:p w14:paraId="755E6A63" w14:textId="77777777" w:rsidR="006F3AA8" w:rsidRDefault="006F3AA8" w:rsidP="006F3AA8">
      <w:pPr>
        <w:pStyle w:val="NormalWeb"/>
        <w:rPr>
          <w:rFonts w:ascii="Arial" w:hAnsi="Arial" w:cs="Arial"/>
          <w:b/>
          <w:bCs/>
          <w:sz w:val="16"/>
          <w:szCs w:val="16"/>
        </w:rPr>
      </w:pPr>
      <w:r>
        <w:rPr>
          <w:rFonts w:ascii="Arial" w:hAnsi="Arial" w:cs="Arial"/>
          <w:sz w:val="16"/>
          <w:szCs w:val="16"/>
        </w:rPr>
        <w:t xml:space="preserve">Jenkinson G, </w:t>
      </w:r>
      <w:proofErr w:type="spellStart"/>
      <w:r>
        <w:rPr>
          <w:rFonts w:ascii="Arial" w:hAnsi="Arial" w:cs="Arial"/>
          <w:sz w:val="16"/>
          <w:szCs w:val="16"/>
        </w:rPr>
        <w:t>Abante</w:t>
      </w:r>
      <w:proofErr w:type="spellEnd"/>
      <w:r>
        <w:rPr>
          <w:rFonts w:ascii="Arial" w:hAnsi="Arial" w:cs="Arial"/>
          <w:sz w:val="16"/>
          <w:szCs w:val="16"/>
        </w:rPr>
        <w:t xml:space="preserve"> J, Feinberg AP, </w:t>
      </w:r>
      <w:proofErr w:type="spellStart"/>
      <w:r>
        <w:rPr>
          <w:rFonts w:ascii="Arial" w:hAnsi="Arial" w:cs="Arial"/>
          <w:sz w:val="16"/>
          <w:szCs w:val="16"/>
        </w:rPr>
        <w:t>Goutsias</w:t>
      </w:r>
      <w:proofErr w:type="spellEnd"/>
      <w:r>
        <w:rPr>
          <w:rFonts w:ascii="Arial" w:hAnsi="Arial" w:cs="Arial"/>
          <w:sz w:val="16"/>
          <w:szCs w:val="16"/>
        </w:rPr>
        <w:t xml:space="preserve"> J. An information-theoretic approach to the modeling and analysis of whole-genome bisulfite sequencing data. BMC Bioinformatics. 2018;19(1)</w:t>
      </w:r>
    </w:p>
    <w:p w14:paraId="4224473C" w14:textId="77777777" w:rsidR="006F3AA8" w:rsidRDefault="006F3AA8" w:rsidP="006F3AA8">
      <w:pPr>
        <w:rPr>
          <w:rFonts w:ascii="Arial" w:hAnsi="Arial" w:cs="Arial"/>
          <w:b/>
          <w:bCs/>
          <w:color w:val="000033"/>
          <w:sz w:val="20"/>
          <w:szCs w:val="20"/>
          <w:shd w:val="clear" w:color="auto" w:fill="FFFFFF"/>
        </w:rPr>
      </w:pPr>
    </w:p>
    <w:p w14:paraId="04CD9899" w14:textId="77777777" w:rsidR="006F3AA8" w:rsidRDefault="006F3AA8" w:rsidP="006F3AA8">
      <w:pPr>
        <w:rPr>
          <w:rFonts w:ascii="Arial" w:hAnsi="Arial" w:cs="Arial"/>
          <w:color w:val="FF0000"/>
          <w:sz w:val="20"/>
          <w:szCs w:val="20"/>
          <w:shd w:val="clear" w:color="auto" w:fill="FFFFFF"/>
        </w:rPr>
      </w:pPr>
      <w:r>
        <w:rPr>
          <w:rFonts w:ascii="Arial" w:hAnsi="Arial" w:cs="Arial"/>
          <w:color w:val="FF0000"/>
          <w:sz w:val="20"/>
          <w:szCs w:val="20"/>
          <w:shd w:val="clear" w:color="auto" w:fill="FFFFFF"/>
        </w:rPr>
        <w:lastRenderedPageBreak/>
        <w:t>4)</w:t>
      </w:r>
      <w:r>
        <w:rPr>
          <w:rFonts w:ascii="Arial" w:hAnsi="Arial" w:cs="Arial"/>
          <w:b/>
          <w:bCs/>
          <w:color w:val="FF0000"/>
          <w:sz w:val="20"/>
          <w:szCs w:val="20"/>
          <w:shd w:val="clear" w:color="auto" w:fill="FFFFFF"/>
        </w:rPr>
        <w:t xml:space="preserve">  </w:t>
      </w:r>
      <w:r>
        <w:rPr>
          <w:rFonts w:ascii="Arial" w:hAnsi="Arial" w:cs="Arial"/>
          <w:color w:val="FF0000"/>
          <w:sz w:val="20"/>
          <w:szCs w:val="20"/>
          <w:shd w:val="clear" w:color="auto" w:fill="FFFFFF"/>
        </w:rPr>
        <w:t>The reference distribution for calculation of JSD should be better clarified. Maybe in the manuscript??</w:t>
      </w:r>
    </w:p>
    <w:p w14:paraId="5E63EA37" w14:textId="77777777" w:rsidR="006F3AA8" w:rsidRDefault="006F3AA8" w:rsidP="006F3AA8">
      <w:pPr>
        <w:rPr>
          <w:rFonts w:ascii="Arial" w:hAnsi="Arial" w:cs="Arial"/>
          <w:color w:val="000033"/>
          <w:sz w:val="20"/>
          <w:szCs w:val="20"/>
          <w:shd w:val="clear" w:color="auto" w:fill="FFFFFF"/>
        </w:rPr>
      </w:pPr>
    </w:p>
    <w:p w14:paraId="3A1D2882" w14:textId="77777777" w:rsidR="006F3AA8" w:rsidRDefault="006F3AA8" w:rsidP="006F3AA8">
      <w:pPr>
        <w:rPr>
          <w:rFonts w:ascii="Arial" w:hAnsi="Arial" w:cs="Arial"/>
          <w:b/>
          <w:bCs/>
          <w:i/>
          <w:iCs/>
          <w:color w:val="000033"/>
          <w:sz w:val="20"/>
          <w:szCs w:val="20"/>
          <w:u w:val="single"/>
          <w:shd w:val="clear" w:color="auto" w:fill="FFFFFF"/>
        </w:rPr>
      </w:pPr>
      <w:r>
        <w:rPr>
          <w:rFonts w:ascii="Arial" w:hAnsi="Arial" w:cs="Arial"/>
          <w:b/>
          <w:bCs/>
          <w:color w:val="000033"/>
          <w:sz w:val="20"/>
          <w:szCs w:val="20"/>
          <w:shd w:val="clear" w:color="auto" w:fill="FFFFFF"/>
        </w:rPr>
        <w:t xml:space="preserve">Response: Reference distribution for calculation of JSD is the average JSD of young samples from the corresponding tissue. </w:t>
      </w:r>
      <w:r>
        <w:rPr>
          <w:rFonts w:ascii="Arial" w:hAnsi="Arial" w:cs="Arial"/>
          <w:b/>
          <w:bCs/>
          <w:i/>
          <w:iCs/>
          <w:color w:val="000033"/>
          <w:sz w:val="20"/>
          <w:szCs w:val="20"/>
          <w:u w:val="single"/>
          <w:shd w:val="clear" w:color="auto" w:fill="FFFFFF"/>
        </w:rPr>
        <w:t>This is mentioned in line 193-194.</w:t>
      </w:r>
    </w:p>
    <w:p w14:paraId="0BA7C59E" w14:textId="77777777" w:rsidR="006F3AA8" w:rsidRDefault="006F3AA8" w:rsidP="006F3AA8">
      <w:pPr>
        <w:rPr>
          <w:rFonts w:ascii="Arial" w:hAnsi="Arial" w:cs="Arial"/>
          <w:b/>
          <w:bCs/>
          <w:i/>
          <w:iCs/>
          <w:color w:val="000033"/>
          <w:sz w:val="20"/>
          <w:szCs w:val="20"/>
          <w:u w:val="single"/>
          <w:shd w:val="clear" w:color="auto" w:fill="FFFFFF"/>
        </w:rPr>
      </w:pPr>
    </w:p>
    <w:p w14:paraId="3E54EF54" w14:textId="77777777" w:rsidR="006F3AA8" w:rsidRDefault="006F3AA8" w:rsidP="006F3AA8">
      <w:pPr>
        <w:rPr>
          <w:rFonts w:ascii="Arial" w:hAnsi="Arial" w:cs="Arial"/>
          <w:b/>
          <w:bCs/>
          <w:color w:val="000033"/>
          <w:sz w:val="20"/>
          <w:szCs w:val="20"/>
          <w:shd w:val="clear" w:color="auto" w:fill="FFFFFF"/>
        </w:rPr>
      </w:pPr>
    </w:p>
    <w:p w14:paraId="5B6E3471" w14:textId="77777777" w:rsidR="006F3AA8" w:rsidRDefault="006F3AA8" w:rsidP="006F3AA8">
      <w:pPr>
        <w:rPr>
          <w:rFonts w:ascii="Arial" w:hAnsi="Arial" w:cs="Arial"/>
          <w:b/>
          <w:bCs/>
          <w:color w:val="000033"/>
          <w:sz w:val="20"/>
          <w:szCs w:val="20"/>
          <w:shd w:val="clear" w:color="auto" w:fill="FFFFFF"/>
        </w:rPr>
      </w:pPr>
    </w:p>
    <w:p w14:paraId="2DDEC578" w14:textId="77777777" w:rsidR="006F3AA8" w:rsidRDefault="006F3AA8" w:rsidP="006F3AA8">
      <w:pPr>
        <w:rPr>
          <w:rFonts w:ascii="Arial" w:hAnsi="Arial" w:cs="Arial"/>
          <w:b/>
          <w:bCs/>
          <w:color w:val="FF0000"/>
          <w:sz w:val="20"/>
          <w:szCs w:val="20"/>
          <w:shd w:val="clear" w:color="auto" w:fill="FFFFFF"/>
        </w:rPr>
      </w:pPr>
      <w:r>
        <w:rPr>
          <w:rFonts w:ascii="Arial" w:hAnsi="Arial" w:cs="Arial"/>
          <w:color w:val="FF0000"/>
          <w:sz w:val="20"/>
          <w:szCs w:val="20"/>
          <w:shd w:val="clear" w:color="auto" w:fill="FFFFFF"/>
        </w:rPr>
        <w:t>5) It is unclear how tissue renewal rates were measured (e.g., in Figure 5c). Blood is a tissue with enormous turnover. I am surprised to find the tissue renewal rate/30% for blood at the lower edge of all tissues. </w:t>
      </w:r>
    </w:p>
    <w:p w14:paraId="564A4E14" w14:textId="77777777" w:rsidR="006F3AA8" w:rsidRDefault="006F3AA8" w:rsidP="006F3AA8">
      <w:pPr>
        <w:rPr>
          <w:rFonts w:ascii="Arial" w:hAnsi="Arial" w:cs="Arial"/>
          <w:b/>
          <w:bCs/>
          <w:sz w:val="20"/>
          <w:szCs w:val="20"/>
        </w:rPr>
      </w:pPr>
    </w:p>
    <w:p w14:paraId="7BA24C06" w14:textId="77777777" w:rsidR="006F3AA8" w:rsidRDefault="006F3AA8" w:rsidP="006F3AA8">
      <w:pPr>
        <w:rPr>
          <w:rFonts w:ascii="Arial" w:hAnsi="Arial" w:cs="Arial"/>
          <w:b/>
          <w:bCs/>
          <w:color w:val="000033"/>
          <w:sz w:val="20"/>
          <w:szCs w:val="20"/>
          <w:shd w:val="clear" w:color="auto" w:fill="FFFFFF"/>
        </w:rPr>
      </w:pPr>
      <w:r>
        <w:rPr>
          <w:rFonts w:ascii="Arial" w:hAnsi="Arial" w:cs="Arial"/>
          <w:b/>
          <w:bCs/>
          <w:color w:val="000033"/>
          <w:sz w:val="20"/>
          <w:szCs w:val="20"/>
          <w:shd w:val="clear" w:color="auto" w:fill="FFFFFF"/>
        </w:rPr>
        <w:t xml:space="preserve">Response: We calculated the turnover rate for blood using the turnover rate for hematopoietic stem cells. Then using that we calculated turnover rate per 30 days using the formula (30-day turnover rate = 30 X average turnover rate per day).  </w:t>
      </w:r>
      <w:r>
        <w:rPr>
          <w:rFonts w:ascii="Arial" w:hAnsi="Arial" w:cs="Arial"/>
          <w:b/>
          <w:bCs/>
          <w:sz w:val="20"/>
          <w:szCs w:val="20"/>
        </w:rPr>
        <w:t xml:space="preserve">Our data for small intestine and colon shows that methylation change with age is a stem cell turnover phenomenon. Thus, when data was available for stem cell turnover, we used those numbers. If </w:t>
      </w:r>
      <w:proofErr w:type="gramStart"/>
      <w:r>
        <w:rPr>
          <w:rFonts w:ascii="Arial" w:hAnsi="Arial" w:cs="Arial"/>
          <w:b/>
          <w:bCs/>
          <w:sz w:val="20"/>
          <w:szCs w:val="20"/>
        </w:rPr>
        <w:t>not</w:t>
      </w:r>
      <w:proofErr w:type="gramEnd"/>
      <w:r>
        <w:rPr>
          <w:rFonts w:ascii="Arial" w:hAnsi="Arial" w:cs="Arial"/>
          <w:b/>
          <w:bCs/>
          <w:sz w:val="20"/>
          <w:szCs w:val="20"/>
        </w:rPr>
        <w:t xml:space="preserve"> available we used the turnover rates observed for whole organs. The table with the observed turnover time and the calculated number of turnover times per 30 days is listed in the table below. </w:t>
      </w:r>
      <w:r>
        <w:rPr>
          <w:rFonts w:ascii="Arial" w:hAnsi="Arial" w:cs="Arial"/>
          <w:b/>
          <w:bCs/>
          <w:i/>
          <w:iCs/>
          <w:sz w:val="20"/>
          <w:szCs w:val="20"/>
          <w:u w:val="single"/>
        </w:rPr>
        <w:t xml:space="preserve">We have provided the table in Supplementary table 3 added updated it in the manuscript in lines 250-257. </w:t>
      </w:r>
    </w:p>
    <w:p w14:paraId="1C4B7E90" w14:textId="77777777" w:rsidR="006F3AA8" w:rsidRDefault="006F3AA8" w:rsidP="006F3AA8">
      <w:pPr>
        <w:rPr>
          <w:rFonts w:ascii="Arial" w:hAnsi="Arial" w:cs="Arial"/>
          <w:b/>
          <w:bCs/>
          <w:sz w:val="20"/>
          <w:szCs w:val="20"/>
        </w:rPr>
      </w:pPr>
    </w:p>
    <w:tbl>
      <w:tblPr>
        <w:tblStyle w:val="TableGrid"/>
        <w:tblW w:w="9718" w:type="dxa"/>
        <w:jc w:val="center"/>
        <w:tblInd w:w="0" w:type="dxa"/>
        <w:tblLook w:val="04A0" w:firstRow="1" w:lastRow="0" w:firstColumn="1" w:lastColumn="0" w:noHBand="0" w:noVBand="1"/>
      </w:tblPr>
      <w:tblGrid>
        <w:gridCol w:w="2031"/>
        <w:gridCol w:w="2311"/>
        <w:gridCol w:w="1220"/>
        <w:gridCol w:w="2078"/>
        <w:gridCol w:w="2078"/>
      </w:tblGrid>
      <w:tr w:rsidR="006F3AA8" w14:paraId="68418A3C" w14:textId="77777777" w:rsidTr="006F3AA8">
        <w:trPr>
          <w:trHeight w:val="363"/>
          <w:jc w:val="center"/>
        </w:trPr>
        <w:tc>
          <w:tcPr>
            <w:tcW w:w="2031" w:type="dxa"/>
            <w:tcBorders>
              <w:top w:val="single" w:sz="4" w:space="0" w:color="auto"/>
              <w:left w:val="single" w:sz="4" w:space="0" w:color="auto"/>
              <w:bottom w:val="single" w:sz="4" w:space="0" w:color="auto"/>
              <w:right w:val="single" w:sz="4" w:space="0" w:color="auto"/>
            </w:tcBorders>
            <w:hideMark/>
          </w:tcPr>
          <w:p w14:paraId="174321DF" w14:textId="77777777" w:rsidR="006F3AA8" w:rsidRDefault="006F3AA8">
            <w:pPr>
              <w:jc w:val="center"/>
              <w:rPr>
                <w:rFonts w:ascii="Arial" w:hAnsi="Arial" w:cs="Arial"/>
                <w:b/>
                <w:bCs/>
                <w:sz w:val="20"/>
                <w:szCs w:val="20"/>
              </w:rPr>
            </w:pPr>
            <w:r>
              <w:rPr>
                <w:rFonts w:ascii="Arial" w:hAnsi="Arial" w:cs="Arial"/>
                <w:b/>
                <w:bCs/>
                <w:sz w:val="20"/>
                <w:szCs w:val="20"/>
              </w:rPr>
              <w:t>Organ/Tissue</w:t>
            </w:r>
          </w:p>
        </w:tc>
        <w:tc>
          <w:tcPr>
            <w:tcW w:w="2311" w:type="dxa"/>
            <w:tcBorders>
              <w:top w:val="single" w:sz="4" w:space="0" w:color="auto"/>
              <w:left w:val="single" w:sz="4" w:space="0" w:color="auto"/>
              <w:bottom w:val="single" w:sz="4" w:space="0" w:color="auto"/>
              <w:right w:val="single" w:sz="4" w:space="0" w:color="auto"/>
            </w:tcBorders>
            <w:hideMark/>
          </w:tcPr>
          <w:p w14:paraId="05772D66" w14:textId="77777777" w:rsidR="006F3AA8" w:rsidRDefault="006F3AA8">
            <w:pPr>
              <w:jc w:val="center"/>
              <w:rPr>
                <w:rFonts w:ascii="Arial" w:hAnsi="Arial" w:cs="Arial"/>
                <w:b/>
                <w:bCs/>
                <w:sz w:val="20"/>
                <w:szCs w:val="20"/>
              </w:rPr>
            </w:pPr>
            <w:r>
              <w:rPr>
                <w:rFonts w:ascii="Arial" w:hAnsi="Arial" w:cs="Arial"/>
                <w:b/>
                <w:bCs/>
                <w:sz w:val="20"/>
                <w:szCs w:val="20"/>
              </w:rPr>
              <w:t>Turnover time</w:t>
            </w:r>
          </w:p>
        </w:tc>
        <w:tc>
          <w:tcPr>
            <w:tcW w:w="1220" w:type="dxa"/>
            <w:tcBorders>
              <w:top w:val="single" w:sz="4" w:space="0" w:color="auto"/>
              <w:left w:val="single" w:sz="4" w:space="0" w:color="auto"/>
              <w:bottom w:val="single" w:sz="4" w:space="0" w:color="auto"/>
              <w:right w:val="single" w:sz="4" w:space="0" w:color="auto"/>
            </w:tcBorders>
            <w:hideMark/>
          </w:tcPr>
          <w:p w14:paraId="48155D2C" w14:textId="77777777" w:rsidR="006F3AA8" w:rsidRDefault="006F3AA8">
            <w:pPr>
              <w:jc w:val="center"/>
              <w:rPr>
                <w:rFonts w:ascii="Arial" w:hAnsi="Arial" w:cs="Arial"/>
                <w:b/>
                <w:bCs/>
                <w:sz w:val="20"/>
                <w:szCs w:val="20"/>
              </w:rPr>
            </w:pPr>
            <w:r>
              <w:rPr>
                <w:rFonts w:ascii="Arial" w:hAnsi="Arial" w:cs="Arial"/>
                <w:b/>
                <w:bCs/>
                <w:sz w:val="20"/>
                <w:szCs w:val="20"/>
              </w:rPr>
              <w:t>No. of turnover</w:t>
            </w:r>
          </w:p>
          <w:p w14:paraId="76A446E2" w14:textId="77777777" w:rsidR="006F3AA8" w:rsidRDefault="006F3AA8">
            <w:pPr>
              <w:jc w:val="center"/>
              <w:rPr>
                <w:rFonts w:ascii="Arial" w:hAnsi="Arial" w:cs="Arial"/>
                <w:b/>
                <w:bCs/>
                <w:sz w:val="20"/>
                <w:szCs w:val="20"/>
              </w:rPr>
            </w:pPr>
            <w:r>
              <w:rPr>
                <w:rFonts w:ascii="Arial" w:hAnsi="Arial" w:cs="Arial"/>
                <w:b/>
                <w:bCs/>
                <w:sz w:val="20"/>
                <w:szCs w:val="20"/>
              </w:rPr>
              <w:t>/30 days</w:t>
            </w:r>
          </w:p>
        </w:tc>
        <w:tc>
          <w:tcPr>
            <w:tcW w:w="2078" w:type="dxa"/>
            <w:tcBorders>
              <w:top w:val="single" w:sz="4" w:space="0" w:color="auto"/>
              <w:left w:val="single" w:sz="4" w:space="0" w:color="auto"/>
              <w:bottom w:val="single" w:sz="4" w:space="0" w:color="auto"/>
              <w:right w:val="single" w:sz="4" w:space="0" w:color="auto"/>
            </w:tcBorders>
            <w:hideMark/>
          </w:tcPr>
          <w:p w14:paraId="17404D81" w14:textId="77777777" w:rsidR="006F3AA8" w:rsidRDefault="006F3AA8">
            <w:pPr>
              <w:jc w:val="center"/>
              <w:rPr>
                <w:rFonts w:ascii="Arial" w:hAnsi="Arial" w:cs="Arial"/>
                <w:b/>
                <w:bCs/>
                <w:sz w:val="20"/>
                <w:szCs w:val="20"/>
              </w:rPr>
            </w:pPr>
            <w:r>
              <w:rPr>
                <w:rFonts w:ascii="Arial" w:hAnsi="Arial" w:cs="Arial"/>
                <w:b/>
                <w:bCs/>
                <w:sz w:val="20"/>
                <w:szCs w:val="20"/>
              </w:rPr>
              <w:t>Method</w:t>
            </w:r>
          </w:p>
        </w:tc>
        <w:tc>
          <w:tcPr>
            <w:tcW w:w="2078" w:type="dxa"/>
            <w:tcBorders>
              <w:top w:val="single" w:sz="4" w:space="0" w:color="auto"/>
              <w:left w:val="single" w:sz="4" w:space="0" w:color="auto"/>
              <w:bottom w:val="single" w:sz="4" w:space="0" w:color="auto"/>
              <w:right w:val="single" w:sz="4" w:space="0" w:color="auto"/>
            </w:tcBorders>
            <w:hideMark/>
          </w:tcPr>
          <w:p w14:paraId="18EA1C04" w14:textId="77777777" w:rsidR="006F3AA8" w:rsidRDefault="006F3AA8">
            <w:pPr>
              <w:jc w:val="center"/>
              <w:rPr>
                <w:rFonts w:ascii="Arial" w:hAnsi="Arial" w:cs="Arial"/>
                <w:b/>
                <w:bCs/>
                <w:sz w:val="20"/>
                <w:szCs w:val="20"/>
              </w:rPr>
            </w:pPr>
            <w:r>
              <w:rPr>
                <w:rFonts w:ascii="Arial" w:hAnsi="Arial" w:cs="Arial"/>
                <w:b/>
                <w:bCs/>
                <w:sz w:val="20"/>
                <w:szCs w:val="20"/>
              </w:rPr>
              <w:t>Reference</w:t>
            </w:r>
          </w:p>
        </w:tc>
      </w:tr>
      <w:tr w:rsidR="006F3AA8" w14:paraId="6BC8741C" w14:textId="77777777" w:rsidTr="006F3AA8">
        <w:trPr>
          <w:trHeight w:val="180"/>
          <w:jc w:val="center"/>
        </w:trPr>
        <w:tc>
          <w:tcPr>
            <w:tcW w:w="2031" w:type="dxa"/>
            <w:tcBorders>
              <w:top w:val="single" w:sz="4" w:space="0" w:color="auto"/>
              <w:left w:val="single" w:sz="4" w:space="0" w:color="auto"/>
              <w:bottom w:val="single" w:sz="4" w:space="0" w:color="auto"/>
              <w:right w:val="single" w:sz="4" w:space="0" w:color="auto"/>
            </w:tcBorders>
            <w:hideMark/>
          </w:tcPr>
          <w:p w14:paraId="35611642" w14:textId="77777777" w:rsidR="006F3AA8" w:rsidRDefault="006F3AA8">
            <w:pPr>
              <w:jc w:val="center"/>
              <w:rPr>
                <w:rFonts w:ascii="Arial" w:hAnsi="Arial" w:cs="Arial"/>
                <w:sz w:val="20"/>
                <w:szCs w:val="20"/>
              </w:rPr>
            </w:pPr>
            <w:r>
              <w:rPr>
                <w:rFonts w:ascii="Arial" w:hAnsi="Arial" w:cs="Arial"/>
                <w:sz w:val="20"/>
                <w:szCs w:val="20"/>
              </w:rPr>
              <w:t>Small intestine</w:t>
            </w:r>
          </w:p>
        </w:tc>
        <w:tc>
          <w:tcPr>
            <w:tcW w:w="2311" w:type="dxa"/>
            <w:tcBorders>
              <w:top w:val="single" w:sz="4" w:space="0" w:color="auto"/>
              <w:left w:val="single" w:sz="4" w:space="0" w:color="auto"/>
              <w:bottom w:val="single" w:sz="4" w:space="0" w:color="auto"/>
              <w:right w:val="single" w:sz="4" w:space="0" w:color="auto"/>
            </w:tcBorders>
            <w:hideMark/>
          </w:tcPr>
          <w:p w14:paraId="689FC27B" w14:textId="77777777" w:rsidR="006F3AA8" w:rsidRDefault="006F3AA8">
            <w:pPr>
              <w:jc w:val="center"/>
              <w:rPr>
                <w:rFonts w:ascii="Arial" w:hAnsi="Arial" w:cs="Arial"/>
                <w:sz w:val="20"/>
                <w:szCs w:val="20"/>
              </w:rPr>
            </w:pPr>
            <w:r>
              <w:rPr>
                <w:rFonts w:ascii="Arial" w:hAnsi="Arial" w:cs="Arial"/>
                <w:sz w:val="20"/>
                <w:szCs w:val="20"/>
              </w:rPr>
              <w:t>2-3 days</w:t>
            </w:r>
          </w:p>
        </w:tc>
        <w:tc>
          <w:tcPr>
            <w:tcW w:w="1220" w:type="dxa"/>
            <w:tcBorders>
              <w:top w:val="single" w:sz="4" w:space="0" w:color="auto"/>
              <w:left w:val="single" w:sz="4" w:space="0" w:color="auto"/>
              <w:bottom w:val="single" w:sz="4" w:space="0" w:color="auto"/>
              <w:right w:val="single" w:sz="4" w:space="0" w:color="auto"/>
            </w:tcBorders>
            <w:hideMark/>
          </w:tcPr>
          <w:p w14:paraId="53F4E716" w14:textId="77777777" w:rsidR="006F3AA8" w:rsidRDefault="006F3AA8">
            <w:pPr>
              <w:jc w:val="center"/>
              <w:rPr>
                <w:rFonts w:ascii="Arial" w:hAnsi="Arial" w:cs="Arial"/>
                <w:sz w:val="20"/>
                <w:szCs w:val="20"/>
              </w:rPr>
            </w:pPr>
            <w:r>
              <w:rPr>
                <w:rFonts w:ascii="Arial" w:hAnsi="Arial" w:cs="Arial"/>
                <w:sz w:val="20"/>
                <w:szCs w:val="20"/>
              </w:rPr>
              <w:t>10</w:t>
            </w:r>
          </w:p>
        </w:tc>
        <w:tc>
          <w:tcPr>
            <w:tcW w:w="2078" w:type="dxa"/>
            <w:tcBorders>
              <w:top w:val="single" w:sz="4" w:space="0" w:color="auto"/>
              <w:left w:val="single" w:sz="4" w:space="0" w:color="auto"/>
              <w:bottom w:val="single" w:sz="4" w:space="0" w:color="auto"/>
              <w:right w:val="single" w:sz="4" w:space="0" w:color="auto"/>
            </w:tcBorders>
          </w:tcPr>
          <w:p w14:paraId="7552213D" w14:textId="77777777" w:rsidR="006F3AA8" w:rsidRDefault="006F3AA8">
            <w:pPr>
              <w:jc w:val="center"/>
              <w:rPr>
                <w:rFonts w:ascii="Arial" w:hAnsi="Arial" w:cs="Arial"/>
                <w:sz w:val="20"/>
                <w:szCs w:val="20"/>
              </w:rPr>
            </w:pPr>
            <w:r>
              <w:rPr>
                <w:rFonts w:ascii="Arial" w:hAnsi="Arial" w:cs="Arial"/>
                <w:color w:val="212121"/>
                <w:sz w:val="20"/>
                <w:szCs w:val="20"/>
                <w:shd w:val="clear" w:color="auto" w:fill="FFFFFF"/>
              </w:rPr>
              <w:t>3H-thymidine</w:t>
            </w:r>
          </w:p>
          <w:p w14:paraId="6AD210BA" w14:textId="77777777" w:rsidR="006F3AA8" w:rsidRDefault="006F3AA8">
            <w:pPr>
              <w:jc w:val="center"/>
              <w:rPr>
                <w:rFonts w:ascii="Arial" w:hAnsi="Arial" w:cs="Arial"/>
                <w:sz w:val="20"/>
                <w:szCs w:val="20"/>
              </w:rPr>
            </w:pPr>
          </w:p>
        </w:tc>
        <w:tc>
          <w:tcPr>
            <w:tcW w:w="2078" w:type="dxa"/>
            <w:tcBorders>
              <w:top w:val="single" w:sz="4" w:space="0" w:color="auto"/>
              <w:left w:val="single" w:sz="4" w:space="0" w:color="auto"/>
              <w:bottom w:val="single" w:sz="4" w:space="0" w:color="auto"/>
              <w:right w:val="single" w:sz="4" w:space="0" w:color="auto"/>
            </w:tcBorders>
            <w:hideMark/>
          </w:tcPr>
          <w:p w14:paraId="17D89B3F" w14:textId="77777777" w:rsidR="006F3AA8" w:rsidRDefault="006F3AA8">
            <w:pPr>
              <w:jc w:val="center"/>
              <w:rPr>
                <w:rFonts w:ascii="Arial" w:hAnsi="Arial" w:cs="Arial"/>
                <w:color w:val="212121"/>
                <w:sz w:val="20"/>
                <w:szCs w:val="20"/>
                <w:shd w:val="clear" w:color="auto" w:fill="FFFFFF"/>
              </w:rPr>
            </w:pPr>
            <w:proofErr w:type="spellStart"/>
            <w:r>
              <w:rPr>
                <w:rFonts w:ascii="Arial" w:hAnsi="Arial" w:cs="Arial"/>
                <w:sz w:val="20"/>
                <w:szCs w:val="20"/>
              </w:rPr>
              <w:t>Potten</w:t>
            </w:r>
            <w:proofErr w:type="spellEnd"/>
            <w:r>
              <w:rPr>
                <w:rFonts w:ascii="Arial" w:hAnsi="Arial" w:cs="Arial"/>
                <w:sz w:val="20"/>
                <w:szCs w:val="20"/>
              </w:rPr>
              <w:t xml:space="preserve"> [33]</w:t>
            </w:r>
          </w:p>
        </w:tc>
      </w:tr>
      <w:tr w:rsidR="006F3AA8" w14:paraId="0F181845" w14:textId="77777777" w:rsidTr="006F3AA8">
        <w:trPr>
          <w:trHeight w:val="178"/>
          <w:jc w:val="center"/>
        </w:trPr>
        <w:tc>
          <w:tcPr>
            <w:tcW w:w="2031" w:type="dxa"/>
            <w:tcBorders>
              <w:top w:val="single" w:sz="4" w:space="0" w:color="auto"/>
              <w:left w:val="single" w:sz="4" w:space="0" w:color="auto"/>
              <w:bottom w:val="single" w:sz="4" w:space="0" w:color="auto"/>
              <w:right w:val="single" w:sz="4" w:space="0" w:color="auto"/>
            </w:tcBorders>
            <w:hideMark/>
          </w:tcPr>
          <w:p w14:paraId="041B472B" w14:textId="77777777" w:rsidR="006F3AA8" w:rsidRDefault="006F3AA8">
            <w:pPr>
              <w:jc w:val="center"/>
              <w:rPr>
                <w:rFonts w:ascii="Arial" w:hAnsi="Arial" w:cs="Arial"/>
                <w:sz w:val="20"/>
                <w:szCs w:val="20"/>
              </w:rPr>
            </w:pPr>
            <w:r>
              <w:rPr>
                <w:rFonts w:ascii="Arial" w:hAnsi="Arial" w:cs="Arial"/>
                <w:sz w:val="20"/>
                <w:szCs w:val="20"/>
              </w:rPr>
              <w:t>Colon</w:t>
            </w:r>
          </w:p>
        </w:tc>
        <w:tc>
          <w:tcPr>
            <w:tcW w:w="2311" w:type="dxa"/>
            <w:tcBorders>
              <w:top w:val="single" w:sz="4" w:space="0" w:color="auto"/>
              <w:left w:val="single" w:sz="4" w:space="0" w:color="auto"/>
              <w:bottom w:val="single" w:sz="4" w:space="0" w:color="auto"/>
              <w:right w:val="single" w:sz="4" w:space="0" w:color="auto"/>
            </w:tcBorders>
            <w:hideMark/>
          </w:tcPr>
          <w:p w14:paraId="2585ECCD" w14:textId="77777777" w:rsidR="006F3AA8" w:rsidRDefault="006F3AA8">
            <w:pPr>
              <w:jc w:val="center"/>
              <w:rPr>
                <w:rFonts w:ascii="Arial" w:hAnsi="Arial" w:cs="Arial"/>
                <w:sz w:val="20"/>
                <w:szCs w:val="20"/>
              </w:rPr>
            </w:pPr>
            <w:r>
              <w:rPr>
                <w:rFonts w:ascii="Arial" w:hAnsi="Arial" w:cs="Arial"/>
                <w:sz w:val="20"/>
                <w:szCs w:val="20"/>
              </w:rPr>
              <w:t>3-4 days</w:t>
            </w:r>
          </w:p>
        </w:tc>
        <w:tc>
          <w:tcPr>
            <w:tcW w:w="1220" w:type="dxa"/>
            <w:tcBorders>
              <w:top w:val="single" w:sz="4" w:space="0" w:color="auto"/>
              <w:left w:val="single" w:sz="4" w:space="0" w:color="auto"/>
              <w:bottom w:val="single" w:sz="4" w:space="0" w:color="auto"/>
              <w:right w:val="single" w:sz="4" w:space="0" w:color="auto"/>
            </w:tcBorders>
            <w:hideMark/>
          </w:tcPr>
          <w:p w14:paraId="1DDA4672" w14:textId="77777777" w:rsidR="006F3AA8" w:rsidRDefault="006F3AA8">
            <w:pPr>
              <w:jc w:val="center"/>
              <w:rPr>
                <w:rFonts w:ascii="Arial" w:hAnsi="Arial" w:cs="Arial"/>
                <w:sz w:val="20"/>
                <w:szCs w:val="20"/>
              </w:rPr>
            </w:pPr>
            <w:r>
              <w:rPr>
                <w:rFonts w:ascii="Arial" w:hAnsi="Arial" w:cs="Arial"/>
                <w:sz w:val="20"/>
                <w:szCs w:val="20"/>
              </w:rPr>
              <w:t>8.5</w:t>
            </w:r>
          </w:p>
        </w:tc>
        <w:tc>
          <w:tcPr>
            <w:tcW w:w="2078" w:type="dxa"/>
            <w:tcBorders>
              <w:top w:val="single" w:sz="4" w:space="0" w:color="auto"/>
              <w:left w:val="single" w:sz="4" w:space="0" w:color="auto"/>
              <w:bottom w:val="single" w:sz="4" w:space="0" w:color="auto"/>
              <w:right w:val="single" w:sz="4" w:space="0" w:color="auto"/>
            </w:tcBorders>
          </w:tcPr>
          <w:p w14:paraId="59CD5250" w14:textId="77777777" w:rsidR="006F3AA8" w:rsidRDefault="006F3AA8">
            <w:pPr>
              <w:jc w:val="center"/>
              <w:rPr>
                <w:rFonts w:ascii="Arial" w:hAnsi="Arial" w:cs="Arial"/>
                <w:sz w:val="20"/>
                <w:szCs w:val="20"/>
              </w:rPr>
            </w:pPr>
            <w:r>
              <w:rPr>
                <w:rFonts w:ascii="Arial" w:hAnsi="Arial" w:cs="Arial"/>
                <w:color w:val="212121"/>
                <w:sz w:val="20"/>
                <w:szCs w:val="20"/>
                <w:shd w:val="clear" w:color="auto" w:fill="FFFFFF"/>
              </w:rPr>
              <w:t>3H-thymidine</w:t>
            </w:r>
          </w:p>
          <w:p w14:paraId="34DBAB2B" w14:textId="77777777" w:rsidR="006F3AA8" w:rsidRDefault="006F3AA8">
            <w:pPr>
              <w:jc w:val="center"/>
              <w:rPr>
                <w:rFonts w:ascii="Arial" w:hAnsi="Arial" w:cs="Arial"/>
                <w:sz w:val="20"/>
                <w:szCs w:val="20"/>
              </w:rPr>
            </w:pPr>
          </w:p>
        </w:tc>
        <w:tc>
          <w:tcPr>
            <w:tcW w:w="2078" w:type="dxa"/>
            <w:tcBorders>
              <w:top w:val="single" w:sz="4" w:space="0" w:color="auto"/>
              <w:left w:val="single" w:sz="4" w:space="0" w:color="auto"/>
              <w:bottom w:val="single" w:sz="4" w:space="0" w:color="auto"/>
              <w:right w:val="single" w:sz="4" w:space="0" w:color="auto"/>
            </w:tcBorders>
            <w:hideMark/>
          </w:tcPr>
          <w:p w14:paraId="6A425DDF" w14:textId="77777777" w:rsidR="006F3AA8" w:rsidRDefault="006F3AA8">
            <w:pPr>
              <w:jc w:val="center"/>
              <w:rPr>
                <w:rFonts w:ascii="Arial" w:hAnsi="Arial" w:cs="Arial"/>
                <w:color w:val="212121"/>
                <w:sz w:val="20"/>
                <w:szCs w:val="20"/>
                <w:shd w:val="clear" w:color="auto" w:fill="FFFFFF"/>
              </w:rPr>
            </w:pPr>
            <w:proofErr w:type="spellStart"/>
            <w:r>
              <w:rPr>
                <w:rFonts w:ascii="Arial" w:hAnsi="Arial" w:cs="Arial"/>
                <w:sz w:val="20"/>
                <w:szCs w:val="20"/>
              </w:rPr>
              <w:t>Potten</w:t>
            </w:r>
            <w:proofErr w:type="spellEnd"/>
            <w:r>
              <w:rPr>
                <w:rFonts w:ascii="Arial" w:hAnsi="Arial" w:cs="Arial"/>
                <w:sz w:val="20"/>
                <w:szCs w:val="20"/>
              </w:rPr>
              <w:t xml:space="preserve"> [33]</w:t>
            </w:r>
          </w:p>
        </w:tc>
      </w:tr>
      <w:tr w:rsidR="006F3AA8" w14:paraId="1BB27A9A" w14:textId="77777777" w:rsidTr="006F3AA8">
        <w:trPr>
          <w:trHeight w:val="363"/>
          <w:jc w:val="center"/>
        </w:trPr>
        <w:tc>
          <w:tcPr>
            <w:tcW w:w="2031" w:type="dxa"/>
            <w:tcBorders>
              <w:top w:val="single" w:sz="4" w:space="0" w:color="auto"/>
              <w:left w:val="single" w:sz="4" w:space="0" w:color="auto"/>
              <w:bottom w:val="single" w:sz="4" w:space="0" w:color="auto"/>
              <w:right w:val="single" w:sz="4" w:space="0" w:color="auto"/>
            </w:tcBorders>
            <w:hideMark/>
          </w:tcPr>
          <w:p w14:paraId="2A67C3E4" w14:textId="77777777" w:rsidR="006F3AA8" w:rsidRDefault="006F3AA8">
            <w:pPr>
              <w:jc w:val="center"/>
              <w:rPr>
                <w:rFonts w:ascii="Arial" w:hAnsi="Arial" w:cs="Arial"/>
                <w:color w:val="000000" w:themeColor="text1"/>
                <w:sz w:val="20"/>
                <w:szCs w:val="20"/>
              </w:rPr>
            </w:pPr>
            <w:r>
              <w:rPr>
                <w:rFonts w:ascii="Arial" w:hAnsi="Arial" w:cs="Arial"/>
                <w:color w:val="000000" w:themeColor="text1"/>
                <w:sz w:val="20"/>
                <w:szCs w:val="20"/>
              </w:rPr>
              <w:t>Blood (Hematopoietic Stem cells)</w:t>
            </w:r>
          </w:p>
        </w:tc>
        <w:tc>
          <w:tcPr>
            <w:tcW w:w="2311" w:type="dxa"/>
            <w:tcBorders>
              <w:top w:val="single" w:sz="4" w:space="0" w:color="auto"/>
              <w:left w:val="single" w:sz="4" w:space="0" w:color="auto"/>
              <w:bottom w:val="single" w:sz="4" w:space="0" w:color="auto"/>
              <w:right w:val="single" w:sz="4" w:space="0" w:color="auto"/>
            </w:tcBorders>
            <w:hideMark/>
          </w:tcPr>
          <w:p w14:paraId="69D2DDD6" w14:textId="77777777" w:rsidR="006F3AA8" w:rsidRDefault="006F3AA8">
            <w:pPr>
              <w:jc w:val="center"/>
              <w:rPr>
                <w:rFonts w:ascii="Arial" w:hAnsi="Arial" w:cs="Arial"/>
                <w:color w:val="000000" w:themeColor="text1"/>
                <w:sz w:val="20"/>
                <w:szCs w:val="20"/>
              </w:rPr>
            </w:pPr>
            <w:r>
              <w:rPr>
                <w:rFonts w:ascii="Arial" w:hAnsi="Arial" w:cs="Arial"/>
                <w:color w:val="000000" w:themeColor="text1"/>
                <w:sz w:val="20"/>
                <w:szCs w:val="20"/>
              </w:rPr>
              <w:t>57 days</w:t>
            </w:r>
          </w:p>
        </w:tc>
        <w:tc>
          <w:tcPr>
            <w:tcW w:w="1220" w:type="dxa"/>
            <w:tcBorders>
              <w:top w:val="single" w:sz="4" w:space="0" w:color="auto"/>
              <w:left w:val="single" w:sz="4" w:space="0" w:color="auto"/>
              <w:bottom w:val="single" w:sz="4" w:space="0" w:color="auto"/>
              <w:right w:val="single" w:sz="4" w:space="0" w:color="auto"/>
            </w:tcBorders>
            <w:hideMark/>
          </w:tcPr>
          <w:p w14:paraId="59955D0B" w14:textId="77777777" w:rsidR="006F3AA8" w:rsidRDefault="006F3AA8">
            <w:pPr>
              <w:jc w:val="center"/>
              <w:rPr>
                <w:rFonts w:ascii="Arial" w:hAnsi="Arial" w:cs="Arial"/>
                <w:color w:val="000000" w:themeColor="text1"/>
                <w:sz w:val="20"/>
                <w:szCs w:val="20"/>
              </w:rPr>
            </w:pPr>
            <w:r>
              <w:rPr>
                <w:rFonts w:ascii="Arial" w:hAnsi="Arial" w:cs="Arial"/>
                <w:color w:val="000000" w:themeColor="text1"/>
                <w:sz w:val="20"/>
                <w:szCs w:val="20"/>
              </w:rPr>
              <w:t>0.52</w:t>
            </w:r>
          </w:p>
        </w:tc>
        <w:tc>
          <w:tcPr>
            <w:tcW w:w="2078" w:type="dxa"/>
            <w:tcBorders>
              <w:top w:val="single" w:sz="4" w:space="0" w:color="auto"/>
              <w:left w:val="single" w:sz="4" w:space="0" w:color="auto"/>
              <w:bottom w:val="single" w:sz="4" w:space="0" w:color="auto"/>
              <w:right w:val="single" w:sz="4" w:space="0" w:color="auto"/>
            </w:tcBorders>
          </w:tcPr>
          <w:p w14:paraId="521F43F7" w14:textId="77777777" w:rsidR="006F3AA8" w:rsidRDefault="006F3AA8">
            <w:pPr>
              <w:jc w:val="center"/>
              <w:rPr>
                <w:rFonts w:ascii="Arial" w:hAnsi="Arial" w:cs="Arial"/>
                <w:color w:val="000000" w:themeColor="text1"/>
                <w:sz w:val="20"/>
                <w:szCs w:val="20"/>
              </w:rPr>
            </w:pPr>
            <w:r>
              <w:rPr>
                <w:rFonts w:ascii="Arial" w:hAnsi="Arial" w:cs="Arial"/>
                <w:color w:val="000000" w:themeColor="text1"/>
                <w:sz w:val="20"/>
                <w:szCs w:val="20"/>
              </w:rPr>
              <w:t>Bromodeoxyuridine</w:t>
            </w:r>
          </w:p>
          <w:p w14:paraId="147F33D3" w14:textId="77777777" w:rsidR="006F3AA8" w:rsidRDefault="006F3AA8">
            <w:pPr>
              <w:jc w:val="center"/>
              <w:rPr>
                <w:rFonts w:ascii="Arial" w:hAnsi="Arial" w:cs="Arial"/>
                <w:color w:val="000000" w:themeColor="text1"/>
                <w:sz w:val="20"/>
                <w:szCs w:val="20"/>
              </w:rPr>
            </w:pPr>
          </w:p>
        </w:tc>
        <w:tc>
          <w:tcPr>
            <w:tcW w:w="2078" w:type="dxa"/>
            <w:tcBorders>
              <w:top w:val="single" w:sz="4" w:space="0" w:color="auto"/>
              <w:left w:val="single" w:sz="4" w:space="0" w:color="auto"/>
              <w:bottom w:val="single" w:sz="4" w:space="0" w:color="auto"/>
              <w:right w:val="single" w:sz="4" w:space="0" w:color="auto"/>
            </w:tcBorders>
            <w:hideMark/>
          </w:tcPr>
          <w:p w14:paraId="6EF3D800" w14:textId="77777777" w:rsidR="006F3AA8" w:rsidRDefault="006F3AA8">
            <w:pPr>
              <w:jc w:val="center"/>
              <w:rPr>
                <w:rFonts w:ascii="Arial" w:hAnsi="Arial" w:cs="Arial"/>
                <w:color w:val="000000" w:themeColor="text1"/>
                <w:sz w:val="20"/>
                <w:szCs w:val="20"/>
              </w:rPr>
            </w:pPr>
            <w:proofErr w:type="spellStart"/>
            <w:r>
              <w:rPr>
                <w:rFonts w:ascii="Arial" w:hAnsi="Arial" w:cs="Arial"/>
                <w:color w:val="000000" w:themeColor="text1"/>
                <w:sz w:val="20"/>
                <w:szCs w:val="20"/>
              </w:rPr>
              <w:t>Chesier</w:t>
            </w:r>
            <w:proofErr w:type="spellEnd"/>
            <w:r>
              <w:rPr>
                <w:rFonts w:ascii="Arial" w:hAnsi="Arial" w:cs="Arial"/>
                <w:color w:val="000000" w:themeColor="text1"/>
                <w:sz w:val="20"/>
                <w:szCs w:val="20"/>
              </w:rPr>
              <w:t xml:space="preserve"> [34]</w:t>
            </w:r>
          </w:p>
        </w:tc>
      </w:tr>
      <w:tr w:rsidR="006F3AA8" w14:paraId="7DB6735D" w14:textId="77777777" w:rsidTr="006F3AA8">
        <w:trPr>
          <w:trHeight w:val="418"/>
          <w:jc w:val="center"/>
        </w:trPr>
        <w:tc>
          <w:tcPr>
            <w:tcW w:w="2031" w:type="dxa"/>
            <w:tcBorders>
              <w:top w:val="single" w:sz="4" w:space="0" w:color="auto"/>
              <w:left w:val="single" w:sz="4" w:space="0" w:color="auto"/>
              <w:bottom w:val="single" w:sz="4" w:space="0" w:color="auto"/>
              <w:right w:val="single" w:sz="4" w:space="0" w:color="auto"/>
            </w:tcBorders>
            <w:hideMark/>
          </w:tcPr>
          <w:p w14:paraId="29163080" w14:textId="77777777" w:rsidR="006F3AA8" w:rsidRDefault="006F3AA8">
            <w:pPr>
              <w:jc w:val="center"/>
              <w:rPr>
                <w:rFonts w:ascii="Arial" w:hAnsi="Arial" w:cs="Arial"/>
                <w:sz w:val="20"/>
                <w:szCs w:val="20"/>
              </w:rPr>
            </w:pPr>
            <w:r>
              <w:rPr>
                <w:rFonts w:ascii="Arial" w:hAnsi="Arial" w:cs="Arial"/>
                <w:sz w:val="20"/>
                <w:szCs w:val="20"/>
              </w:rPr>
              <w:t>Liver Hepatocytes</w:t>
            </w:r>
          </w:p>
        </w:tc>
        <w:tc>
          <w:tcPr>
            <w:tcW w:w="2311" w:type="dxa"/>
            <w:tcBorders>
              <w:top w:val="single" w:sz="4" w:space="0" w:color="auto"/>
              <w:left w:val="single" w:sz="4" w:space="0" w:color="auto"/>
              <w:bottom w:val="single" w:sz="4" w:space="0" w:color="auto"/>
              <w:right w:val="single" w:sz="4" w:space="0" w:color="auto"/>
            </w:tcBorders>
            <w:hideMark/>
          </w:tcPr>
          <w:p w14:paraId="534F6E13" w14:textId="77777777" w:rsidR="006F3AA8" w:rsidRDefault="006F3AA8">
            <w:pPr>
              <w:jc w:val="center"/>
              <w:rPr>
                <w:rFonts w:ascii="Arial" w:hAnsi="Arial" w:cs="Arial"/>
                <w:sz w:val="20"/>
                <w:szCs w:val="20"/>
              </w:rPr>
            </w:pPr>
            <w:r>
              <w:rPr>
                <w:rFonts w:ascii="Arial" w:hAnsi="Arial" w:cs="Arial"/>
                <w:sz w:val="20"/>
                <w:szCs w:val="20"/>
              </w:rPr>
              <w:t>200-400 days</w:t>
            </w:r>
          </w:p>
        </w:tc>
        <w:tc>
          <w:tcPr>
            <w:tcW w:w="1220" w:type="dxa"/>
            <w:tcBorders>
              <w:top w:val="single" w:sz="4" w:space="0" w:color="auto"/>
              <w:left w:val="single" w:sz="4" w:space="0" w:color="auto"/>
              <w:bottom w:val="single" w:sz="4" w:space="0" w:color="auto"/>
              <w:right w:val="single" w:sz="4" w:space="0" w:color="auto"/>
            </w:tcBorders>
            <w:hideMark/>
          </w:tcPr>
          <w:p w14:paraId="293EA4FF" w14:textId="77777777" w:rsidR="006F3AA8" w:rsidRDefault="006F3AA8">
            <w:pPr>
              <w:jc w:val="center"/>
              <w:rPr>
                <w:rFonts w:ascii="Arial" w:hAnsi="Arial" w:cs="Arial"/>
                <w:sz w:val="20"/>
                <w:szCs w:val="20"/>
              </w:rPr>
            </w:pPr>
            <w:r>
              <w:rPr>
                <w:rFonts w:ascii="Arial" w:hAnsi="Arial" w:cs="Arial"/>
                <w:sz w:val="20"/>
                <w:szCs w:val="20"/>
              </w:rPr>
              <w:t>0.1</w:t>
            </w:r>
          </w:p>
        </w:tc>
        <w:tc>
          <w:tcPr>
            <w:tcW w:w="2078" w:type="dxa"/>
            <w:tcBorders>
              <w:top w:val="single" w:sz="4" w:space="0" w:color="auto"/>
              <w:left w:val="single" w:sz="4" w:space="0" w:color="auto"/>
              <w:bottom w:val="single" w:sz="4" w:space="0" w:color="auto"/>
              <w:right w:val="single" w:sz="4" w:space="0" w:color="auto"/>
            </w:tcBorders>
          </w:tcPr>
          <w:p w14:paraId="634C9929" w14:textId="77777777" w:rsidR="006F3AA8" w:rsidRDefault="006F3AA8">
            <w:pPr>
              <w:jc w:val="center"/>
              <w:rPr>
                <w:rFonts w:ascii="Arial" w:hAnsi="Arial" w:cs="Arial"/>
                <w:sz w:val="20"/>
                <w:szCs w:val="20"/>
              </w:rPr>
            </w:pPr>
            <w:r>
              <w:rPr>
                <w:rFonts w:ascii="Arial" w:hAnsi="Arial" w:cs="Arial"/>
                <w:color w:val="212121"/>
                <w:sz w:val="20"/>
                <w:szCs w:val="20"/>
                <w:shd w:val="clear" w:color="auto" w:fill="FFFFFF"/>
              </w:rPr>
              <w:t>3H-thymidine</w:t>
            </w:r>
          </w:p>
          <w:p w14:paraId="0C9CA186" w14:textId="77777777" w:rsidR="006F3AA8" w:rsidRDefault="006F3AA8">
            <w:pPr>
              <w:jc w:val="center"/>
              <w:rPr>
                <w:rFonts w:ascii="Arial" w:hAnsi="Arial" w:cs="Arial"/>
                <w:sz w:val="20"/>
                <w:szCs w:val="20"/>
              </w:rPr>
            </w:pPr>
          </w:p>
        </w:tc>
        <w:tc>
          <w:tcPr>
            <w:tcW w:w="2078" w:type="dxa"/>
            <w:tcBorders>
              <w:top w:val="single" w:sz="4" w:space="0" w:color="auto"/>
              <w:left w:val="single" w:sz="4" w:space="0" w:color="auto"/>
              <w:bottom w:val="single" w:sz="4" w:space="0" w:color="auto"/>
              <w:right w:val="single" w:sz="4" w:space="0" w:color="auto"/>
            </w:tcBorders>
            <w:hideMark/>
          </w:tcPr>
          <w:p w14:paraId="6FED4D2C" w14:textId="77777777" w:rsidR="006F3AA8" w:rsidRDefault="006F3AA8">
            <w:pPr>
              <w:jc w:val="center"/>
              <w:rPr>
                <w:rFonts w:ascii="Arial" w:hAnsi="Arial" w:cs="Arial"/>
                <w:color w:val="212121"/>
                <w:sz w:val="20"/>
                <w:szCs w:val="20"/>
                <w:shd w:val="clear" w:color="auto" w:fill="FFFFFF"/>
              </w:rPr>
            </w:pPr>
            <w:proofErr w:type="spellStart"/>
            <w:r>
              <w:rPr>
                <w:rFonts w:ascii="Arial" w:hAnsi="Arial" w:cs="Arial"/>
                <w:sz w:val="20"/>
                <w:szCs w:val="20"/>
              </w:rPr>
              <w:t>Magami</w:t>
            </w:r>
            <w:proofErr w:type="spellEnd"/>
            <w:r>
              <w:rPr>
                <w:rFonts w:ascii="Arial" w:hAnsi="Arial" w:cs="Arial"/>
                <w:sz w:val="20"/>
                <w:szCs w:val="20"/>
              </w:rPr>
              <w:t xml:space="preserve"> et. al [35]</w:t>
            </w:r>
          </w:p>
        </w:tc>
      </w:tr>
      <w:tr w:rsidR="006F3AA8" w14:paraId="7821396A" w14:textId="77777777" w:rsidTr="006F3AA8">
        <w:trPr>
          <w:trHeight w:val="1052"/>
          <w:jc w:val="center"/>
        </w:trPr>
        <w:tc>
          <w:tcPr>
            <w:tcW w:w="2031" w:type="dxa"/>
            <w:tcBorders>
              <w:top w:val="single" w:sz="4" w:space="0" w:color="auto"/>
              <w:left w:val="single" w:sz="4" w:space="0" w:color="auto"/>
              <w:bottom w:val="single" w:sz="4" w:space="0" w:color="auto"/>
              <w:right w:val="single" w:sz="4" w:space="0" w:color="auto"/>
            </w:tcBorders>
            <w:hideMark/>
          </w:tcPr>
          <w:p w14:paraId="5B74A3A8" w14:textId="77777777" w:rsidR="006F3AA8" w:rsidRDefault="006F3AA8">
            <w:pPr>
              <w:jc w:val="center"/>
              <w:rPr>
                <w:rFonts w:ascii="Arial" w:hAnsi="Arial" w:cs="Arial"/>
                <w:sz w:val="20"/>
                <w:szCs w:val="20"/>
              </w:rPr>
            </w:pPr>
            <w:r>
              <w:rPr>
                <w:rFonts w:ascii="Arial" w:hAnsi="Arial" w:cs="Arial"/>
                <w:sz w:val="20"/>
                <w:szCs w:val="20"/>
              </w:rPr>
              <w:t>Lung</w:t>
            </w:r>
          </w:p>
        </w:tc>
        <w:tc>
          <w:tcPr>
            <w:tcW w:w="2311" w:type="dxa"/>
            <w:tcBorders>
              <w:top w:val="single" w:sz="4" w:space="0" w:color="auto"/>
              <w:left w:val="single" w:sz="4" w:space="0" w:color="auto"/>
              <w:bottom w:val="single" w:sz="4" w:space="0" w:color="auto"/>
              <w:right w:val="single" w:sz="4" w:space="0" w:color="auto"/>
            </w:tcBorders>
          </w:tcPr>
          <w:p w14:paraId="24B73B06" w14:textId="77777777" w:rsidR="006F3AA8" w:rsidRDefault="006F3AA8">
            <w:pPr>
              <w:jc w:val="center"/>
              <w:rPr>
                <w:rFonts w:ascii="Arial" w:hAnsi="Arial" w:cs="Arial"/>
                <w:sz w:val="20"/>
                <w:szCs w:val="20"/>
              </w:rPr>
            </w:pPr>
            <w:r>
              <w:rPr>
                <w:rFonts w:ascii="Arial" w:hAnsi="Arial" w:cs="Arial"/>
                <w:sz w:val="20"/>
                <w:szCs w:val="20"/>
              </w:rPr>
              <w:t>Bronchial epithelium</w:t>
            </w:r>
          </w:p>
          <w:p w14:paraId="24602A9A" w14:textId="77777777" w:rsidR="006F3AA8" w:rsidRDefault="006F3AA8">
            <w:pPr>
              <w:jc w:val="center"/>
              <w:rPr>
                <w:rFonts w:ascii="Arial" w:hAnsi="Arial" w:cs="Arial"/>
                <w:sz w:val="20"/>
                <w:szCs w:val="20"/>
              </w:rPr>
            </w:pPr>
            <w:r>
              <w:rPr>
                <w:rFonts w:ascii="Arial" w:hAnsi="Arial" w:cs="Arial"/>
                <w:sz w:val="20"/>
                <w:szCs w:val="20"/>
              </w:rPr>
              <w:t>(2-7 days)</w:t>
            </w:r>
          </w:p>
          <w:p w14:paraId="184F0C1F" w14:textId="77777777" w:rsidR="006F3AA8" w:rsidRDefault="006F3AA8">
            <w:pPr>
              <w:jc w:val="center"/>
              <w:rPr>
                <w:rFonts w:ascii="Arial" w:hAnsi="Arial" w:cs="Arial"/>
                <w:sz w:val="20"/>
                <w:szCs w:val="20"/>
              </w:rPr>
            </w:pPr>
            <w:r>
              <w:rPr>
                <w:rFonts w:ascii="Arial" w:hAnsi="Arial" w:cs="Arial"/>
                <w:sz w:val="20"/>
                <w:szCs w:val="20"/>
              </w:rPr>
              <w:t>Bronchiolar epithelium-(10 days)</w:t>
            </w:r>
          </w:p>
          <w:p w14:paraId="2B90C141" w14:textId="77777777" w:rsidR="006F3AA8" w:rsidRDefault="006F3AA8">
            <w:pPr>
              <w:jc w:val="center"/>
              <w:rPr>
                <w:rFonts w:ascii="Arial" w:hAnsi="Arial" w:cs="Arial"/>
                <w:sz w:val="20"/>
                <w:szCs w:val="20"/>
              </w:rPr>
            </w:pPr>
            <w:r>
              <w:rPr>
                <w:rFonts w:ascii="Arial" w:hAnsi="Arial" w:cs="Arial"/>
                <w:sz w:val="20"/>
                <w:szCs w:val="20"/>
              </w:rPr>
              <w:t>Alveolar epithelium-</w:t>
            </w:r>
          </w:p>
          <w:p w14:paraId="6B5292BB" w14:textId="77777777" w:rsidR="006F3AA8" w:rsidRDefault="006F3AA8">
            <w:pPr>
              <w:jc w:val="center"/>
              <w:rPr>
                <w:rFonts w:ascii="Arial" w:hAnsi="Arial" w:cs="Arial"/>
                <w:sz w:val="20"/>
                <w:szCs w:val="20"/>
              </w:rPr>
            </w:pPr>
            <w:r>
              <w:rPr>
                <w:rFonts w:ascii="Arial" w:hAnsi="Arial" w:cs="Arial"/>
                <w:sz w:val="20"/>
                <w:szCs w:val="20"/>
              </w:rPr>
              <w:t>(28-35 days)</w:t>
            </w:r>
          </w:p>
          <w:p w14:paraId="59D41202" w14:textId="77777777" w:rsidR="006F3AA8" w:rsidRDefault="006F3AA8">
            <w:pPr>
              <w:jc w:val="center"/>
              <w:rPr>
                <w:rFonts w:ascii="Arial" w:hAnsi="Arial" w:cs="Arial"/>
                <w:sz w:val="20"/>
                <w:szCs w:val="20"/>
              </w:rPr>
            </w:pPr>
          </w:p>
          <w:p w14:paraId="37C3BD28" w14:textId="77777777" w:rsidR="006F3AA8" w:rsidRDefault="006F3AA8">
            <w:pPr>
              <w:jc w:val="center"/>
              <w:rPr>
                <w:rFonts w:ascii="Arial" w:hAnsi="Arial" w:cs="Arial"/>
                <w:sz w:val="20"/>
                <w:szCs w:val="20"/>
              </w:rPr>
            </w:pPr>
            <w:r>
              <w:rPr>
                <w:rFonts w:ascii="Arial" w:hAnsi="Arial" w:cs="Arial"/>
                <w:sz w:val="20"/>
                <w:szCs w:val="20"/>
              </w:rPr>
              <w:t>Average =10.5 days</w:t>
            </w:r>
          </w:p>
        </w:tc>
        <w:tc>
          <w:tcPr>
            <w:tcW w:w="1220" w:type="dxa"/>
            <w:tcBorders>
              <w:top w:val="single" w:sz="4" w:space="0" w:color="auto"/>
              <w:left w:val="single" w:sz="4" w:space="0" w:color="auto"/>
              <w:bottom w:val="single" w:sz="4" w:space="0" w:color="auto"/>
              <w:right w:val="single" w:sz="4" w:space="0" w:color="auto"/>
            </w:tcBorders>
            <w:hideMark/>
          </w:tcPr>
          <w:p w14:paraId="6B3C669E" w14:textId="77777777" w:rsidR="006F3AA8" w:rsidRDefault="006F3AA8">
            <w:pPr>
              <w:jc w:val="center"/>
              <w:rPr>
                <w:rFonts w:ascii="Arial" w:hAnsi="Arial" w:cs="Arial"/>
                <w:sz w:val="20"/>
                <w:szCs w:val="20"/>
              </w:rPr>
            </w:pPr>
            <w:r>
              <w:rPr>
                <w:rFonts w:ascii="Arial" w:hAnsi="Arial" w:cs="Arial"/>
                <w:sz w:val="20"/>
                <w:szCs w:val="20"/>
              </w:rPr>
              <w:t>3.53</w:t>
            </w:r>
          </w:p>
        </w:tc>
        <w:tc>
          <w:tcPr>
            <w:tcW w:w="2078" w:type="dxa"/>
            <w:tcBorders>
              <w:top w:val="single" w:sz="4" w:space="0" w:color="auto"/>
              <w:left w:val="single" w:sz="4" w:space="0" w:color="auto"/>
              <w:bottom w:val="single" w:sz="4" w:space="0" w:color="auto"/>
              <w:right w:val="single" w:sz="4" w:space="0" w:color="auto"/>
            </w:tcBorders>
          </w:tcPr>
          <w:p w14:paraId="0739B95B" w14:textId="77777777" w:rsidR="006F3AA8" w:rsidRDefault="006F3AA8">
            <w:pPr>
              <w:jc w:val="center"/>
              <w:rPr>
                <w:rFonts w:ascii="Arial" w:hAnsi="Arial" w:cs="Arial"/>
                <w:sz w:val="20"/>
                <w:szCs w:val="20"/>
              </w:rPr>
            </w:pPr>
            <w:r>
              <w:rPr>
                <w:rFonts w:ascii="Arial" w:hAnsi="Arial" w:cs="Arial"/>
                <w:color w:val="212121"/>
                <w:sz w:val="20"/>
                <w:szCs w:val="20"/>
                <w:shd w:val="clear" w:color="auto" w:fill="FFFFFF"/>
              </w:rPr>
              <w:t>3H-thymidine</w:t>
            </w:r>
          </w:p>
          <w:p w14:paraId="4C889892" w14:textId="77777777" w:rsidR="006F3AA8" w:rsidRDefault="006F3AA8">
            <w:pPr>
              <w:jc w:val="center"/>
              <w:rPr>
                <w:rFonts w:ascii="Arial" w:hAnsi="Arial" w:cs="Arial"/>
                <w:sz w:val="20"/>
                <w:szCs w:val="20"/>
              </w:rPr>
            </w:pPr>
          </w:p>
        </w:tc>
        <w:tc>
          <w:tcPr>
            <w:tcW w:w="2078" w:type="dxa"/>
            <w:tcBorders>
              <w:top w:val="single" w:sz="4" w:space="0" w:color="auto"/>
              <w:left w:val="single" w:sz="4" w:space="0" w:color="auto"/>
              <w:bottom w:val="single" w:sz="4" w:space="0" w:color="auto"/>
              <w:right w:val="single" w:sz="4" w:space="0" w:color="auto"/>
            </w:tcBorders>
            <w:hideMark/>
          </w:tcPr>
          <w:p w14:paraId="2F5201F1" w14:textId="77777777" w:rsidR="006F3AA8" w:rsidRDefault="006F3AA8">
            <w:pPr>
              <w:jc w:val="center"/>
              <w:rPr>
                <w:rFonts w:ascii="Arial" w:hAnsi="Arial" w:cs="Arial"/>
                <w:color w:val="212121"/>
                <w:sz w:val="20"/>
                <w:szCs w:val="20"/>
                <w:shd w:val="clear" w:color="auto" w:fill="FFFFFF"/>
              </w:rPr>
            </w:pPr>
            <w:r>
              <w:rPr>
                <w:rFonts w:ascii="Arial" w:hAnsi="Arial" w:cs="Arial"/>
                <w:sz w:val="20"/>
                <w:szCs w:val="20"/>
              </w:rPr>
              <w:t>Bowden [36]</w:t>
            </w:r>
          </w:p>
        </w:tc>
      </w:tr>
      <w:tr w:rsidR="006F3AA8" w14:paraId="407F908E" w14:textId="77777777" w:rsidTr="006F3AA8">
        <w:trPr>
          <w:trHeight w:val="418"/>
          <w:jc w:val="center"/>
        </w:trPr>
        <w:tc>
          <w:tcPr>
            <w:tcW w:w="2031" w:type="dxa"/>
            <w:tcBorders>
              <w:top w:val="single" w:sz="4" w:space="0" w:color="auto"/>
              <w:left w:val="single" w:sz="4" w:space="0" w:color="auto"/>
              <w:bottom w:val="single" w:sz="4" w:space="0" w:color="auto"/>
              <w:right w:val="single" w:sz="4" w:space="0" w:color="auto"/>
            </w:tcBorders>
            <w:hideMark/>
          </w:tcPr>
          <w:p w14:paraId="2DA4808F" w14:textId="77777777" w:rsidR="006F3AA8" w:rsidRDefault="006F3AA8">
            <w:pPr>
              <w:jc w:val="center"/>
              <w:rPr>
                <w:rFonts w:ascii="Arial" w:hAnsi="Arial" w:cs="Arial"/>
                <w:color w:val="000000" w:themeColor="text1"/>
                <w:sz w:val="20"/>
                <w:szCs w:val="20"/>
              </w:rPr>
            </w:pPr>
            <w:r>
              <w:rPr>
                <w:rFonts w:ascii="Arial" w:hAnsi="Arial" w:cs="Arial"/>
                <w:color w:val="000000" w:themeColor="text1"/>
                <w:sz w:val="20"/>
                <w:szCs w:val="20"/>
              </w:rPr>
              <w:t>Striated muscle (satellite cells)</w:t>
            </w:r>
          </w:p>
          <w:p w14:paraId="1AE4BAE7" w14:textId="77777777" w:rsidR="006F3AA8" w:rsidRDefault="006F3AA8">
            <w:pPr>
              <w:jc w:val="center"/>
              <w:rPr>
                <w:rFonts w:ascii="Arial" w:hAnsi="Arial" w:cs="Arial"/>
                <w:color w:val="000000" w:themeColor="text1"/>
                <w:sz w:val="20"/>
                <w:szCs w:val="20"/>
              </w:rPr>
            </w:pPr>
            <w:r>
              <w:rPr>
                <w:rFonts w:ascii="Arial" w:hAnsi="Arial" w:cs="Arial"/>
                <w:color w:val="000000" w:themeColor="text1"/>
                <w:sz w:val="20"/>
                <w:szCs w:val="20"/>
              </w:rPr>
              <w:t>(Rat muscle)</w:t>
            </w:r>
          </w:p>
        </w:tc>
        <w:tc>
          <w:tcPr>
            <w:tcW w:w="2311" w:type="dxa"/>
            <w:tcBorders>
              <w:top w:val="single" w:sz="4" w:space="0" w:color="auto"/>
              <w:left w:val="single" w:sz="4" w:space="0" w:color="auto"/>
              <w:bottom w:val="single" w:sz="4" w:space="0" w:color="auto"/>
              <w:right w:val="single" w:sz="4" w:space="0" w:color="auto"/>
            </w:tcBorders>
            <w:hideMark/>
          </w:tcPr>
          <w:p w14:paraId="53E2F84C" w14:textId="77777777" w:rsidR="006F3AA8" w:rsidRDefault="006F3AA8">
            <w:pPr>
              <w:jc w:val="center"/>
              <w:rPr>
                <w:rFonts w:ascii="Arial" w:hAnsi="Arial" w:cs="Arial"/>
                <w:color w:val="000000" w:themeColor="text1"/>
                <w:sz w:val="20"/>
                <w:szCs w:val="20"/>
              </w:rPr>
            </w:pPr>
            <w:r>
              <w:rPr>
                <w:rFonts w:ascii="Arial" w:hAnsi="Arial" w:cs="Arial"/>
                <w:color w:val="000000" w:themeColor="text1"/>
                <w:sz w:val="20"/>
                <w:szCs w:val="20"/>
              </w:rPr>
              <w:t>&gt;170 days</w:t>
            </w:r>
          </w:p>
        </w:tc>
        <w:tc>
          <w:tcPr>
            <w:tcW w:w="1220" w:type="dxa"/>
            <w:tcBorders>
              <w:top w:val="single" w:sz="4" w:space="0" w:color="auto"/>
              <w:left w:val="single" w:sz="4" w:space="0" w:color="auto"/>
              <w:bottom w:val="single" w:sz="4" w:space="0" w:color="auto"/>
              <w:right w:val="single" w:sz="4" w:space="0" w:color="auto"/>
            </w:tcBorders>
            <w:hideMark/>
          </w:tcPr>
          <w:p w14:paraId="455C6748" w14:textId="77777777" w:rsidR="006F3AA8" w:rsidRDefault="006F3AA8">
            <w:pPr>
              <w:jc w:val="center"/>
              <w:rPr>
                <w:rFonts w:ascii="Arial" w:hAnsi="Arial" w:cs="Arial"/>
                <w:color w:val="000000" w:themeColor="text1"/>
                <w:sz w:val="20"/>
                <w:szCs w:val="20"/>
              </w:rPr>
            </w:pPr>
            <w:r>
              <w:rPr>
                <w:rFonts w:ascii="Arial" w:hAnsi="Arial" w:cs="Arial"/>
                <w:color w:val="000000" w:themeColor="text1"/>
                <w:sz w:val="20"/>
                <w:szCs w:val="20"/>
              </w:rPr>
              <w:t>0.17</w:t>
            </w:r>
          </w:p>
        </w:tc>
        <w:tc>
          <w:tcPr>
            <w:tcW w:w="2078" w:type="dxa"/>
            <w:tcBorders>
              <w:top w:val="single" w:sz="4" w:space="0" w:color="auto"/>
              <w:left w:val="single" w:sz="4" w:space="0" w:color="auto"/>
              <w:bottom w:val="single" w:sz="4" w:space="0" w:color="auto"/>
              <w:right w:val="single" w:sz="4" w:space="0" w:color="auto"/>
            </w:tcBorders>
          </w:tcPr>
          <w:p w14:paraId="04F30FAC" w14:textId="77777777" w:rsidR="006F3AA8" w:rsidRDefault="006F3AA8">
            <w:pPr>
              <w:jc w:val="center"/>
              <w:rPr>
                <w:rFonts w:ascii="Arial" w:hAnsi="Arial" w:cs="Arial"/>
                <w:color w:val="000000" w:themeColor="text1"/>
                <w:sz w:val="20"/>
                <w:szCs w:val="20"/>
              </w:rPr>
            </w:pPr>
            <w:r>
              <w:rPr>
                <w:rFonts w:ascii="Arial" w:hAnsi="Arial" w:cs="Arial"/>
                <w:color w:val="000000" w:themeColor="text1"/>
                <w:sz w:val="20"/>
                <w:szCs w:val="20"/>
                <w:shd w:val="clear" w:color="auto" w:fill="FFFFFF"/>
              </w:rPr>
              <w:t>3H-thymidine</w:t>
            </w:r>
          </w:p>
          <w:p w14:paraId="7BACFD24" w14:textId="77777777" w:rsidR="006F3AA8" w:rsidRDefault="006F3AA8">
            <w:pPr>
              <w:jc w:val="center"/>
              <w:rPr>
                <w:rFonts w:ascii="Arial" w:hAnsi="Arial" w:cs="Arial"/>
                <w:color w:val="000000" w:themeColor="text1"/>
                <w:sz w:val="20"/>
                <w:szCs w:val="20"/>
              </w:rPr>
            </w:pPr>
          </w:p>
        </w:tc>
        <w:tc>
          <w:tcPr>
            <w:tcW w:w="2078" w:type="dxa"/>
            <w:tcBorders>
              <w:top w:val="single" w:sz="4" w:space="0" w:color="auto"/>
              <w:left w:val="single" w:sz="4" w:space="0" w:color="auto"/>
              <w:bottom w:val="single" w:sz="4" w:space="0" w:color="auto"/>
              <w:right w:val="single" w:sz="4" w:space="0" w:color="auto"/>
            </w:tcBorders>
            <w:hideMark/>
          </w:tcPr>
          <w:p w14:paraId="36784F1B" w14:textId="77777777" w:rsidR="006F3AA8" w:rsidRDefault="006F3AA8">
            <w:pPr>
              <w:jc w:val="center"/>
              <w:rPr>
                <w:rFonts w:ascii="Arial" w:hAnsi="Arial" w:cs="Arial"/>
                <w:color w:val="000000" w:themeColor="text1"/>
                <w:sz w:val="20"/>
                <w:szCs w:val="20"/>
                <w:shd w:val="clear" w:color="auto" w:fill="FFFFFF"/>
              </w:rPr>
            </w:pPr>
            <w:proofErr w:type="spellStart"/>
            <w:r>
              <w:rPr>
                <w:rFonts w:ascii="Arial" w:hAnsi="Arial" w:cs="Arial"/>
                <w:color w:val="000000" w:themeColor="text1"/>
                <w:sz w:val="20"/>
                <w:szCs w:val="20"/>
              </w:rPr>
              <w:t>Allbrook</w:t>
            </w:r>
            <w:proofErr w:type="spellEnd"/>
            <w:r>
              <w:rPr>
                <w:rFonts w:ascii="Arial" w:hAnsi="Arial" w:cs="Arial"/>
                <w:color w:val="000000" w:themeColor="text1"/>
                <w:sz w:val="20"/>
                <w:szCs w:val="20"/>
              </w:rPr>
              <w:t xml:space="preserve"> et. al [37]</w:t>
            </w:r>
          </w:p>
        </w:tc>
      </w:tr>
      <w:tr w:rsidR="006F3AA8" w14:paraId="4986D0B2" w14:textId="77777777" w:rsidTr="006F3AA8">
        <w:trPr>
          <w:trHeight w:val="418"/>
          <w:jc w:val="center"/>
        </w:trPr>
        <w:tc>
          <w:tcPr>
            <w:tcW w:w="2031" w:type="dxa"/>
            <w:tcBorders>
              <w:top w:val="single" w:sz="4" w:space="0" w:color="auto"/>
              <w:left w:val="single" w:sz="4" w:space="0" w:color="auto"/>
              <w:bottom w:val="single" w:sz="4" w:space="0" w:color="auto"/>
              <w:right w:val="single" w:sz="4" w:space="0" w:color="auto"/>
            </w:tcBorders>
            <w:hideMark/>
          </w:tcPr>
          <w:p w14:paraId="78D977F1" w14:textId="77777777" w:rsidR="006F3AA8" w:rsidRDefault="006F3AA8">
            <w:pPr>
              <w:jc w:val="center"/>
              <w:rPr>
                <w:rFonts w:ascii="Arial" w:hAnsi="Arial" w:cs="Arial"/>
                <w:sz w:val="20"/>
                <w:szCs w:val="20"/>
              </w:rPr>
            </w:pPr>
            <w:r>
              <w:rPr>
                <w:rFonts w:ascii="Arial" w:hAnsi="Arial" w:cs="Arial"/>
                <w:sz w:val="20"/>
                <w:szCs w:val="20"/>
              </w:rPr>
              <w:t>Spleen (whole)</w:t>
            </w:r>
          </w:p>
        </w:tc>
        <w:tc>
          <w:tcPr>
            <w:tcW w:w="2311" w:type="dxa"/>
            <w:tcBorders>
              <w:top w:val="single" w:sz="4" w:space="0" w:color="auto"/>
              <w:left w:val="single" w:sz="4" w:space="0" w:color="auto"/>
              <w:bottom w:val="single" w:sz="4" w:space="0" w:color="auto"/>
              <w:right w:val="single" w:sz="4" w:space="0" w:color="auto"/>
            </w:tcBorders>
            <w:hideMark/>
          </w:tcPr>
          <w:p w14:paraId="49DB4905" w14:textId="77777777" w:rsidR="006F3AA8" w:rsidRDefault="006F3AA8">
            <w:pPr>
              <w:jc w:val="center"/>
              <w:rPr>
                <w:rFonts w:ascii="Arial" w:hAnsi="Arial" w:cs="Arial"/>
                <w:sz w:val="20"/>
                <w:szCs w:val="20"/>
              </w:rPr>
            </w:pPr>
            <w:r>
              <w:rPr>
                <w:rFonts w:ascii="Arial" w:hAnsi="Arial" w:cs="Arial"/>
                <w:sz w:val="20"/>
                <w:szCs w:val="20"/>
              </w:rPr>
              <w:t>9 days</w:t>
            </w:r>
          </w:p>
        </w:tc>
        <w:tc>
          <w:tcPr>
            <w:tcW w:w="1220" w:type="dxa"/>
            <w:tcBorders>
              <w:top w:val="single" w:sz="4" w:space="0" w:color="auto"/>
              <w:left w:val="single" w:sz="4" w:space="0" w:color="auto"/>
              <w:bottom w:val="single" w:sz="4" w:space="0" w:color="auto"/>
              <w:right w:val="single" w:sz="4" w:space="0" w:color="auto"/>
            </w:tcBorders>
            <w:hideMark/>
          </w:tcPr>
          <w:p w14:paraId="7C8D1104" w14:textId="77777777" w:rsidR="006F3AA8" w:rsidRDefault="006F3AA8">
            <w:pPr>
              <w:jc w:val="center"/>
              <w:rPr>
                <w:rFonts w:ascii="Arial" w:hAnsi="Arial" w:cs="Arial"/>
                <w:sz w:val="20"/>
                <w:szCs w:val="20"/>
              </w:rPr>
            </w:pPr>
            <w:r>
              <w:rPr>
                <w:rFonts w:ascii="Arial" w:hAnsi="Arial" w:cs="Arial"/>
                <w:sz w:val="20"/>
                <w:szCs w:val="20"/>
              </w:rPr>
              <w:t>3.3</w:t>
            </w:r>
          </w:p>
        </w:tc>
        <w:tc>
          <w:tcPr>
            <w:tcW w:w="2078" w:type="dxa"/>
            <w:tcBorders>
              <w:top w:val="single" w:sz="4" w:space="0" w:color="auto"/>
              <w:left w:val="single" w:sz="4" w:space="0" w:color="auto"/>
              <w:bottom w:val="single" w:sz="4" w:space="0" w:color="auto"/>
              <w:right w:val="single" w:sz="4" w:space="0" w:color="auto"/>
            </w:tcBorders>
          </w:tcPr>
          <w:p w14:paraId="4AD2BC3D" w14:textId="77777777" w:rsidR="006F3AA8" w:rsidRDefault="006F3AA8">
            <w:pPr>
              <w:jc w:val="center"/>
              <w:rPr>
                <w:rFonts w:ascii="Arial" w:hAnsi="Arial" w:cs="Arial"/>
                <w:sz w:val="20"/>
                <w:szCs w:val="20"/>
              </w:rPr>
            </w:pPr>
            <w:r>
              <w:rPr>
                <w:rFonts w:ascii="Arial" w:hAnsi="Arial" w:cs="Arial"/>
                <w:sz w:val="20"/>
                <w:szCs w:val="20"/>
              </w:rPr>
              <w:t>Bromodeoxyuridine</w:t>
            </w:r>
          </w:p>
          <w:p w14:paraId="118C5EAF" w14:textId="77777777" w:rsidR="006F3AA8" w:rsidRDefault="006F3AA8">
            <w:pPr>
              <w:jc w:val="center"/>
              <w:rPr>
                <w:rFonts w:ascii="Arial" w:hAnsi="Arial" w:cs="Arial"/>
                <w:sz w:val="20"/>
                <w:szCs w:val="20"/>
              </w:rPr>
            </w:pPr>
          </w:p>
        </w:tc>
        <w:tc>
          <w:tcPr>
            <w:tcW w:w="2078" w:type="dxa"/>
            <w:tcBorders>
              <w:top w:val="single" w:sz="4" w:space="0" w:color="auto"/>
              <w:left w:val="single" w:sz="4" w:space="0" w:color="auto"/>
              <w:bottom w:val="single" w:sz="4" w:space="0" w:color="auto"/>
              <w:right w:val="single" w:sz="4" w:space="0" w:color="auto"/>
            </w:tcBorders>
            <w:hideMark/>
          </w:tcPr>
          <w:p w14:paraId="51190FFA" w14:textId="77777777" w:rsidR="006F3AA8" w:rsidRDefault="006F3AA8">
            <w:pPr>
              <w:jc w:val="center"/>
              <w:rPr>
                <w:rFonts w:ascii="Arial" w:hAnsi="Arial" w:cs="Arial"/>
                <w:sz w:val="20"/>
                <w:szCs w:val="20"/>
              </w:rPr>
            </w:pPr>
            <w:r>
              <w:rPr>
                <w:rFonts w:ascii="Arial" w:hAnsi="Arial" w:cs="Arial"/>
                <w:sz w:val="20"/>
                <w:szCs w:val="20"/>
              </w:rPr>
              <w:t>Crippen et. al [38]</w:t>
            </w:r>
          </w:p>
        </w:tc>
      </w:tr>
      <w:tr w:rsidR="006F3AA8" w14:paraId="50CD6AC7" w14:textId="77777777" w:rsidTr="006F3AA8">
        <w:trPr>
          <w:trHeight w:val="418"/>
          <w:jc w:val="center"/>
        </w:trPr>
        <w:tc>
          <w:tcPr>
            <w:tcW w:w="2031" w:type="dxa"/>
            <w:tcBorders>
              <w:top w:val="single" w:sz="4" w:space="0" w:color="auto"/>
              <w:left w:val="single" w:sz="4" w:space="0" w:color="auto"/>
              <w:bottom w:val="single" w:sz="4" w:space="0" w:color="auto"/>
              <w:right w:val="single" w:sz="4" w:space="0" w:color="auto"/>
            </w:tcBorders>
            <w:hideMark/>
          </w:tcPr>
          <w:p w14:paraId="54012590" w14:textId="77777777" w:rsidR="006F3AA8" w:rsidRDefault="006F3AA8">
            <w:pPr>
              <w:jc w:val="center"/>
              <w:rPr>
                <w:rFonts w:ascii="Arial" w:hAnsi="Arial" w:cs="Arial"/>
                <w:sz w:val="20"/>
                <w:szCs w:val="20"/>
              </w:rPr>
            </w:pPr>
            <w:r>
              <w:rPr>
                <w:rFonts w:ascii="Arial" w:hAnsi="Arial" w:cs="Arial"/>
                <w:sz w:val="20"/>
                <w:szCs w:val="20"/>
              </w:rPr>
              <w:t>Kidney (renal corpuscle and the nephron tubule)</w:t>
            </w:r>
          </w:p>
        </w:tc>
        <w:tc>
          <w:tcPr>
            <w:tcW w:w="2311" w:type="dxa"/>
            <w:tcBorders>
              <w:top w:val="single" w:sz="4" w:space="0" w:color="auto"/>
              <w:left w:val="single" w:sz="4" w:space="0" w:color="auto"/>
              <w:bottom w:val="single" w:sz="4" w:space="0" w:color="auto"/>
              <w:right w:val="single" w:sz="4" w:space="0" w:color="auto"/>
            </w:tcBorders>
            <w:hideMark/>
          </w:tcPr>
          <w:p w14:paraId="4B0AEA8A" w14:textId="77777777" w:rsidR="006F3AA8" w:rsidRDefault="006F3AA8">
            <w:pPr>
              <w:jc w:val="center"/>
              <w:rPr>
                <w:rFonts w:ascii="Arial" w:hAnsi="Arial" w:cs="Arial"/>
                <w:sz w:val="20"/>
                <w:szCs w:val="20"/>
              </w:rPr>
            </w:pPr>
            <w:r>
              <w:rPr>
                <w:rFonts w:ascii="Arial" w:hAnsi="Arial" w:cs="Arial"/>
                <w:sz w:val="20"/>
                <w:szCs w:val="20"/>
              </w:rPr>
              <w:t>&gt;120 days</w:t>
            </w:r>
          </w:p>
        </w:tc>
        <w:tc>
          <w:tcPr>
            <w:tcW w:w="1220" w:type="dxa"/>
            <w:tcBorders>
              <w:top w:val="single" w:sz="4" w:space="0" w:color="auto"/>
              <w:left w:val="single" w:sz="4" w:space="0" w:color="auto"/>
              <w:bottom w:val="single" w:sz="4" w:space="0" w:color="auto"/>
              <w:right w:val="single" w:sz="4" w:space="0" w:color="auto"/>
            </w:tcBorders>
            <w:hideMark/>
          </w:tcPr>
          <w:p w14:paraId="7CD4992E" w14:textId="77777777" w:rsidR="006F3AA8" w:rsidRDefault="006F3AA8">
            <w:pPr>
              <w:jc w:val="center"/>
              <w:rPr>
                <w:rFonts w:ascii="Arial" w:hAnsi="Arial" w:cs="Arial"/>
                <w:sz w:val="20"/>
                <w:szCs w:val="20"/>
              </w:rPr>
            </w:pPr>
            <w:r>
              <w:rPr>
                <w:rFonts w:ascii="Arial" w:hAnsi="Arial" w:cs="Arial"/>
                <w:sz w:val="20"/>
                <w:szCs w:val="20"/>
              </w:rPr>
              <w:t>0.001</w:t>
            </w:r>
          </w:p>
        </w:tc>
        <w:tc>
          <w:tcPr>
            <w:tcW w:w="2078" w:type="dxa"/>
            <w:tcBorders>
              <w:top w:val="single" w:sz="4" w:space="0" w:color="auto"/>
              <w:left w:val="single" w:sz="4" w:space="0" w:color="auto"/>
              <w:bottom w:val="single" w:sz="4" w:space="0" w:color="auto"/>
              <w:right w:val="single" w:sz="4" w:space="0" w:color="auto"/>
            </w:tcBorders>
          </w:tcPr>
          <w:p w14:paraId="03056CE1" w14:textId="77777777" w:rsidR="006F3AA8" w:rsidRDefault="006F3AA8">
            <w:pPr>
              <w:jc w:val="center"/>
              <w:rPr>
                <w:rFonts w:ascii="Arial" w:hAnsi="Arial" w:cs="Arial"/>
                <w:sz w:val="20"/>
                <w:szCs w:val="20"/>
              </w:rPr>
            </w:pPr>
            <w:r>
              <w:rPr>
                <w:rFonts w:ascii="Arial" w:hAnsi="Arial" w:cs="Arial"/>
                <w:color w:val="212121"/>
                <w:sz w:val="20"/>
                <w:szCs w:val="20"/>
                <w:shd w:val="clear" w:color="auto" w:fill="FFFFFF"/>
              </w:rPr>
              <w:t>3H-thymidine</w:t>
            </w:r>
          </w:p>
          <w:p w14:paraId="022EAE43" w14:textId="77777777" w:rsidR="006F3AA8" w:rsidRDefault="006F3AA8">
            <w:pPr>
              <w:jc w:val="center"/>
              <w:rPr>
                <w:rFonts w:ascii="Arial" w:hAnsi="Arial" w:cs="Arial"/>
                <w:sz w:val="20"/>
                <w:szCs w:val="20"/>
              </w:rPr>
            </w:pPr>
          </w:p>
        </w:tc>
        <w:tc>
          <w:tcPr>
            <w:tcW w:w="2078" w:type="dxa"/>
            <w:tcBorders>
              <w:top w:val="single" w:sz="4" w:space="0" w:color="auto"/>
              <w:left w:val="single" w:sz="4" w:space="0" w:color="auto"/>
              <w:bottom w:val="single" w:sz="4" w:space="0" w:color="auto"/>
              <w:right w:val="single" w:sz="4" w:space="0" w:color="auto"/>
            </w:tcBorders>
            <w:hideMark/>
          </w:tcPr>
          <w:p w14:paraId="53DFEE7F" w14:textId="77777777" w:rsidR="006F3AA8" w:rsidRDefault="006F3AA8">
            <w:pPr>
              <w:jc w:val="center"/>
              <w:rPr>
                <w:rFonts w:ascii="Arial" w:hAnsi="Arial" w:cs="Arial"/>
                <w:color w:val="212121"/>
                <w:sz w:val="20"/>
                <w:szCs w:val="20"/>
                <w:shd w:val="clear" w:color="auto" w:fill="FFFFFF"/>
              </w:rPr>
            </w:pPr>
            <w:r>
              <w:rPr>
                <w:rFonts w:ascii="Arial" w:hAnsi="Arial" w:cs="Arial"/>
                <w:sz w:val="20"/>
                <w:szCs w:val="20"/>
              </w:rPr>
              <w:t xml:space="preserve">Litvak &amp; </w:t>
            </w:r>
            <w:proofErr w:type="spellStart"/>
            <w:r>
              <w:rPr>
                <w:rFonts w:ascii="Arial" w:hAnsi="Arial" w:cs="Arial"/>
                <w:sz w:val="20"/>
                <w:szCs w:val="20"/>
              </w:rPr>
              <w:t>Baserga</w:t>
            </w:r>
            <w:proofErr w:type="spellEnd"/>
            <w:r>
              <w:rPr>
                <w:rFonts w:ascii="Arial" w:hAnsi="Arial" w:cs="Arial"/>
                <w:sz w:val="20"/>
                <w:szCs w:val="20"/>
              </w:rPr>
              <w:t xml:space="preserve"> [39]</w:t>
            </w:r>
          </w:p>
        </w:tc>
      </w:tr>
      <w:tr w:rsidR="006F3AA8" w14:paraId="551636B7" w14:textId="77777777" w:rsidTr="006F3AA8">
        <w:trPr>
          <w:trHeight w:val="418"/>
          <w:jc w:val="center"/>
        </w:trPr>
        <w:tc>
          <w:tcPr>
            <w:tcW w:w="2031" w:type="dxa"/>
            <w:tcBorders>
              <w:top w:val="single" w:sz="4" w:space="0" w:color="auto"/>
              <w:left w:val="single" w:sz="4" w:space="0" w:color="auto"/>
              <w:bottom w:val="single" w:sz="4" w:space="0" w:color="auto"/>
              <w:right w:val="single" w:sz="4" w:space="0" w:color="auto"/>
            </w:tcBorders>
            <w:hideMark/>
          </w:tcPr>
          <w:p w14:paraId="73863506" w14:textId="77777777" w:rsidR="006F3AA8" w:rsidRDefault="006F3AA8">
            <w:pPr>
              <w:jc w:val="center"/>
              <w:rPr>
                <w:rFonts w:ascii="Arial" w:hAnsi="Arial" w:cs="Arial"/>
                <w:sz w:val="20"/>
                <w:szCs w:val="20"/>
              </w:rPr>
            </w:pPr>
            <w:r>
              <w:rPr>
                <w:rFonts w:ascii="Arial" w:hAnsi="Arial" w:cs="Arial"/>
                <w:sz w:val="20"/>
                <w:szCs w:val="20"/>
              </w:rPr>
              <w:t xml:space="preserve">Cardiomyocytes </w:t>
            </w:r>
          </w:p>
        </w:tc>
        <w:tc>
          <w:tcPr>
            <w:tcW w:w="2311" w:type="dxa"/>
            <w:tcBorders>
              <w:top w:val="single" w:sz="4" w:space="0" w:color="auto"/>
              <w:left w:val="single" w:sz="4" w:space="0" w:color="auto"/>
              <w:bottom w:val="single" w:sz="4" w:space="0" w:color="auto"/>
              <w:right w:val="single" w:sz="4" w:space="0" w:color="auto"/>
            </w:tcBorders>
            <w:hideMark/>
          </w:tcPr>
          <w:p w14:paraId="7EAD141F" w14:textId="77777777" w:rsidR="006F3AA8" w:rsidRDefault="006F3AA8">
            <w:pPr>
              <w:jc w:val="center"/>
              <w:rPr>
                <w:rFonts w:ascii="Arial" w:hAnsi="Arial" w:cs="Arial"/>
                <w:sz w:val="20"/>
                <w:szCs w:val="20"/>
              </w:rPr>
            </w:pPr>
            <w:r>
              <w:rPr>
                <w:rFonts w:ascii="Arial" w:hAnsi="Arial" w:cs="Arial"/>
                <w:sz w:val="20"/>
                <w:szCs w:val="20"/>
              </w:rPr>
              <w:t>&gt;300 days</w:t>
            </w:r>
          </w:p>
        </w:tc>
        <w:tc>
          <w:tcPr>
            <w:tcW w:w="1220" w:type="dxa"/>
            <w:tcBorders>
              <w:top w:val="single" w:sz="4" w:space="0" w:color="auto"/>
              <w:left w:val="single" w:sz="4" w:space="0" w:color="auto"/>
              <w:bottom w:val="single" w:sz="4" w:space="0" w:color="auto"/>
              <w:right w:val="single" w:sz="4" w:space="0" w:color="auto"/>
            </w:tcBorders>
            <w:hideMark/>
          </w:tcPr>
          <w:p w14:paraId="50E9EDA9" w14:textId="77777777" w:rsidR="006F3AA8" w:rsidRDefault="006F3AA8">
            <w:pPr>
              <w:jc w:val="center"/>
              <w:rPr>
                <w:rFonts w:ascii="Arial" w:hAnsi="Arial" w:cs="Arial"/>
                <w:sz w:val="20"/>
                <w:szCs w:val="20"/>
              </w:rPr>
            </w:pPr>
            <w:r>
              <w:rPr>
                <w:rFonts w:ascii="Arial" w:hAnsi="Arial" w:cs="Arial"/>
                <w:sz w:val="20"/>
                <w:szCs w:val="20"/>
              </w:rPr>
              <w:t>0.001</w:t>
            </w:r>
          </w:p>
        </w:tc>
        <w:tc>
          <w:tcPr>
            <w:tcW w:w="2078" w:type="dxa"/>
            <w:tcBorders>
              <w:top w:val="single" w:sz="4" w:space="0" w:color="auto"/>
              <w:left w:val="single" w:sz="4" w:space="0" w:color="auto"/>
              <w:bottom w:val="single" w:sz="4" w:space="0" w:color="auto"/>
              <w:right w:val="single" w:sz="4" w:space="0" w:color="auto"/>
            </w:tcBorders>
          </w:tcPr>
          <w:p w14:paraId="394F44BC" w14:textId="77777777" w:rsidR="006F3AA8" w:rsidRDefault="006F3AA8">
            <w:pPr>
              <w:jc w:val="center"/>
              <w:rPr>
                <w:rFonts w:ascii="Arial" w:hAnsi="Arial" w:cs="Arial"/>
                <w:sz w:val="20"/>
                <w:szCs w:val="20"/>
              </w:rPr>
            </w:pPr>
            <w:r>
              <w:rPr>
                <w:rFonts w:ascii="Arial" w:hAnsi="Arial" w:cs="Arial"/>
                <w:color w:val="212121"/>
                <w:sz w:val="20"/>
                <w:szCs w:val="20"/>
                <w:shd w:val="clear" w:color="auto" w:fill="FFFFFF"/>
              </w:rPr>
              <w:t>3H-thymidine</w:t>
            </w:r>
          </w:p>
          <w:p w14:paraId="310CC00E" w14:textId="77777777" w:rsidR="006F3AA8" w:rsidRDefault="006F3AA8">
            <w:pPr>
              <w:jc w:val="center"/>
              <w:rPr>
                <w:rFonts w:ascii="Arial" w:hAnsi="Arial" w:cs="Arial"/>
                <w:sz w:val="20"/>
                <w:szCs w:val="20"/>
              </w:rPr>
            </w:pPr>
          </w:p>
        </w:tc>
        <w:tc>
          <w:tcPr>
            <w:tcW w:w="2078" w:type="dxa"/>
            <w:tcBorders>
              <w:top w:val="single" w:sz="4" w:space="0" w:color="auto"/>
              <w:left w:val="single" w:sz="4" w:space="0" w:color="auto"/>
              <w:bottom w:val="single" w:sz="4" w:space="0" w:color="auto"/>
              <w:right w:val="single" w:sz="4" w:space="0" w:color="auto"/>
            </w:tcBorders>
            <w:hideMark/>
          </w:tcPr>
          <w:p w14:paraId="5130B82B" w14:textId="77777777" w:rsidR="006F3AA8" w:rsidRDefault="006F3AA8">
            <w:pPr>
              <w:jc w:val="center"/>
              <w:rPr>
                <w:rFonts w:ascii="Arial" w:hAnsi="Arial" w:cs="Arial"/>
                <w:color w:val="212121"/>
                <w:sz w:val="20"/>
                <w:szCs w:val="20"/>
                <w:shd w:val="clear" w:color="auto" w:fill="FFFFFF"/>
              </w:rPr>
            </w:pPr>
            <w:proofErr w:type="spellStart"/>
            <w:proofErr w:type="gramStart"/>
            <w:r>
              <w:rPr>
                <w:rFonts w:ascii="Arial" w:hAnsi="Arial" w:cs="Arial"/>
                <w:sz w:val="20"/>
                <w:szCs w:val="20"/>
              </w:rPr>
              <w:t>Cluzeaut</w:t>
            </w:r>
            <w:proofErr w:type="spellEnd"/>
            <w:r>
              <w:rPr>
                <w:rFonts w:ascii="Arial" w:hAnsi="Arial" w:cs="Arial"/>
                <w:sz w:val="20"/>
                <w:szCs w:val="20"/>
              </w:rPr>
              <w:t xml:space="preserve">  &amp;</w:t>
            </w:r>
            <w:proofErr w:type="gramEnd"/>
            <w:r>
              <w:rPr>
                <w:rFonts w:ascii="Arial" w:hAnsi="Arial" w:cs="Arial"/>
                <w:sz w:val="20"/>
                <w:szCs w:val="20"/>
              </w:rPr>
              <w:t xml:space="preserve"> Maurer-Schultze [40]</w:t>
            </w:r>
          </w:p>
        </w:tc>
      </w:tr>
    </w:tbl>
    <w:p w14:paraId="503DF64D" w14:textId="77777777" w:rsidR="006F3AA8" w:rsidRDefault="006F3AA8" w:rsidP="006F3AA8">
      <w:pPr>
        <w:rPr>
          <w:rFonts w:ascii="Arial" w:eastAsia="Times New Roman" w:hAnsi="Arial" w:cs="Arial"/>
          <w:b/>
          <w:bCs/>
          <w:sz w:val="20"/>
          <w:szCs w:val="20"/>
          <w:lang w:val="en-US"/>
        </w:rPr>
      </w:pPr>
    </w:p>
    <w:p w14:paraId="741ED06B" w14:textId="77777777" w:rsidR="006F3AA8" w:rsidRDefault="006F3AA8" w:rsidP="006F3AA8">
      <w:pPr>
        <w:rPr>
          <w:rFonts w:ascii="Arial" w:hAnsi="Arial" w:cs="Arial"/>
          <w:sz w:val="20"/>
          <w:szCs w:val="20"/>
        </w:rPr>
      </w:pPr>
    </w:p>
    <w:p w14:paraId="5D2EA104" w14:textId="77777777" w:rsidR="006F3AA8" w:rsidRDefault="006F3AA8" w:rsidP="006F3AA8">
      <w:pPr>
        <w:rPr>
          <w:rFonts w:ascii="Arial" w:hAnsi="Arial" w:cs="Arial"/>
          <w:color w:val="FF0000"/>
          <w:sz w:val="20"/>
          <w:szCs w:val="20"/>
        </w:rPr>
      </w:pPr>
      <w:r>
        <w:rPr>
          <w:rFonts w:ascii="Arial" w:hAnsi="Arial" w:cs="Arial"/>
          <w:color w:val="FF0000"/>
          <w:sz w:val="20"/>
          <w:szCs w:val="20"/>
        </w:rPr>
        <w:t>6) On the other hand, there is a bigger hierarchy in the hematopoietic system between the quiescent long-term repopulating hematopoietic stem cells and the various intermediate faster proliferating progenitor cells. Separation in stem cells and none-stem cells might be too simplistic for many tissues (that even comprise multiple cell types).</w:t>
      </w:r>
    </w:p>
    <w:p w14:paraId="60E3F1F0" w14:textId="77777777" w:rsidR="006F3AA8" w:rsidRDefault="006F3AA8" w:rsidP="006F3AA8">
      <w:pPr>
        <w:rPr>
          <w:rFonts w:ascii="Arial" w:hAnsi="Arial" w:cs="Arial"/>
          <w:b/>
          <w:bCs/>
          <w:sz w:val="20"/>
          <w:szCs w:val="20"/>
        </w:rPr>
      </w:pPr>
    </w:p>
    <w:p w14:paraId="23C57C13" w14:textId="77777777" w:rsidR="006F3AA8" w:rsidRDefault="006F3AA8" w:rsidP="006F3AA8">
      <w:pPr>
        <w:rPr>
          <w:rFonts w:ascii="Arial" w:hAnsi="Arial" w:cs="Arial"/>
          <w:b/>
          <w:bCs/>
          <w:i/>
          <w:iCs/>
          <w:color w:val="000000" w:themeColor="text1"/>
          <w:sz w:val="20"/>
          <w:szCs w:val="20"/>
          <w:u w:val="single"/>
          <w:shd w:val="clear" w:color="auto" w:fill="FFFFFF"/>
        </w:rPr>
      </w:pPr>
      <w:r>
        <w:rPr>
          <w:rFonts w:ascii="Arial" w:hAnsi="Arial" w:cs="Arial"/>
          <w:b/>
          <w:bCs/>
          <w:color w:val="000033"/>
          <w:sz w:val="20"/>
          <w:szCs w:val="20"/>
          <w:shd w:val="clear" w:color="auto" w:fill="FFFFFF"/>
        </w:rPr>
        <w:t xml:space="preserve">Response: </w:t>
      </w:r>
      <w:r>
        <w:rPr>
          <w:rFonts w:ascii="Arial" w:hAnsi="Arial" w:cs="Arial"/>
          <w:b/>
          <w:bCs/>
          <w:sz w:val="20"/>
          <w:szCs w:val="20"/>
        </w:rPr>
        <w:t xml:space="preserve">We acknowledge that there is a limitation in our analysis because in the colon and small intestine the hierarchy is simple whereas other tissues such as blood have a more complex hierarchy. It is possible that in tissues with complex hierarchy there might be slightly different results and it is worth examining in the future.  </w:t>
      </w:r>
      <w:r>
        <w:rPr>
          <w:rFonts w:ascii="Arial" w:hAnsi="Arial" w:cs="Arial"/>
          <w:b/>
          <w:bCs/>
          <w:i/>
          <w:iCs/>
          <w:color w:val="000000" w:themeColor="text1"/>
          <w:sz w:val="20"/>
          <w:szCs w:val="20"/>
          <w:u w:val="single"/>
        </w:rPr>
        <w:t>We have added this to the discussion in line 308-310.</w:t>
      </w:r>
    </w:p>
    <w:p w14:paraId="6A35B05A" w14:textId="77777777" w:rsidR="006F3AA8" w:rsidRDefault="006F3AA8" w:rsidP="006F3AA8">
      <w:pPr>
        <w:rPr>
          <w:rFonts w:ascii="Arial" w:hAnsi="Arial" w:cs="Arial"/>
          <w:b/>
          <w:bCs/>
          <w:color w:val="000033"/>
          <w:sz w:val="20"/>
          <w:szCs w:val="20"/>
          <w:shd w:val="clear" w:color="auto" w:fill="FFFFFF"/>
        </w:rPr>
      </w:pPr>
    </w:p>
    <w:p w14:paraId="28BB6987" w14:textId="77777777" w:rsidR="006F3AA8" w:rsidRDefault="006F3AA8" w:rsidP="006F3AA8">
      <w:pPr>
        <w:rPr>
          <w:rFonts w:ascii="Arial" w:hAnsi="Arial" w:cs="Arial"/>
          <w:b/>
          <w:bCs/>
          <w:color w:val="000033"/>
          <w:sz w:val="20"/>
          <w:szCs w:val="20"/>
          <w:shd w:val="clear" w:color="auto" w:fill="FFFFFF"/>
        </w:rPr>
      </w:pPr>
    </w:p>
    <w:p w14:paraId="38CC2B0C" w14:textId="77777777" w:rsidR="006F3AA8" w:rsidRDefault="006F3AA8" w:rsidP="006F3AA8">
      <w:pPr>
        <w:rPr>
          <w:rFonts w:ascii="Arial" w:hAnsi="Arial" w:cs="Arial"/>
          <w:b/>
          <w:bCs/>
          <w:color w:val="000033"/>
          <w:sz w:val="20"/>
          <w:szCs w:val="20"/>
          <w:shd w:val="clear" w:color="auto" w:fill="FFFFFF"/>
        </w:rPr>
      </w:pPr>
    </w:p>
    <w:p w14:paraId="0B9C3E62" w14:textId="77777777" w:rsidR="006F3AA8" w:rsidRDefault="006F3AA8" w:rsidP="006F3AA8">
      <w:pPr>
        <w:rPr>
          <w:rFonts w:ascii="Arial" w:hAnsi="Arial" w:cs="Arial"/>
          <w:color w:val="FF0000"/>
          <w:sz w:val="20"/>
          <w:szCs w:val="20"/>
        </w:rPr>
      </w:pPr>
      <w:r>
        <w:rPr>
          <w:rFonts w:ascii="Arial" w:hAnsi="Arial" w:cs="Arial"/>
          <w:color w:val="FF0000"/>
          <w:sz w:val="20"/>
          <w:szCs w:val="20"/>
        </w:rPr>
        <w:t xml:space="preserve">7) Colon stem cells in Figure 5 seem to be on the same line as non-stem cells. This might argue against a clear finding toward their hypothesis. Why are renewal rates anticipated similar in stem cells and non-stem cells? Why does Figure 5a only depict COL and not </w:t>
      </w:r>
      <w:proofErr w:type="gramStart"/>
      <w:r>
        <w:rPr>
          <w:rFonts w:ascii="Arial" w:hAnsi="Arial" w:cs="Arial"/>
          <w:color w:val="FF0000"/>
          <w:sz w:val="20"/>
          <w:szCs w:val="20"/>
        </w:rPr>
        <w:t>SI?-</w:t>
      </w:r>
      <w:proofErr w:type="gramEnd"/>
      <w:r>
        <w:rPr>
          <w:rFonts w:ascii="Arial" w:hAnsi="Arial" w:cs="Arial"/>
          <w:color w:val="FF0000"/>
          <w:sz w:val="20"/>
          <w:szCs w:val="20"/>
        </w:rPr>
        <w:t>&gt; supplement</w:t>
      </w:r>
    </w:p>
    <w:p w14:paraId="0411F2F9" w14:textId="77777777" w:rsidR="006F3AA8" w:rsidRDefault="006F3AA8" w:rsidP="006F3AA8">
      <w:pPr>
        <w:rPr>
          <w:rFonts w:ascii="Arial" w:hAnsi="Arial" w:cs="Arial"/>
          <w:sz w:val="20"/>
          <w:szCs w:val="20"/>
        </w:rPr>
      </w:pPr>
    </w:p>
    <w:p w14:paraId="3FA2E4DE" w14:textId="77777777" w:rsidR="006F3AA8" w:rsidRDefault="006F3AA8" w:rsidP="006F3AA8">
      <w:pPr>
        <w:rPr>
          <w:rFonts w:ascii="Arial" w:hAnsi="Arial" w:cs="Arial"/>
          <w:sz w:val="20"/>
          <w:szCs w:val="20"/>
        </w:rPr>
      </w:pPr>
    </w:p>
    <w:p w14:paraId="6732EB24" w14:textId="77777777" w:rsidR="006F3AA8" w:rsidRDefault="006F3AA8" w:rsidP="006F3AA8">
      <w:pPr>
        <w:rPr>
          <w:rFonts w:ascii="Arial" w:hAnsi="Arial" w:cs="Arial"/>
          <w:b/>
          <w:bCs/>
          <w:color w:val="000033"/>
          <w:sz w:val="20"/>
          <w:szCs w:val="20"/>
          <w:shd w:val="clear" w:color="auto" w:fill="FFFFFF"/>
        </w:rPr>
      </w:pPr>
      <w:r>
        <w:rPr>
          <w:rFonts w:ascii="Arial" w:hAnsi="Arial" w:cs="Arial"/>
          <w:b/>
          <w:bCs/>
          <w:color w:val="000033"/>
          <w:sz w:val="20"/>
          <w:szCs w:val="20"/>
          <w:shd w:val="clear" w:color="auto" w:fill="FFFFFF"/>
        </w:rPr>
        <w:t xml:space="preserve">Response: Indeed, we find that Colon stem cells are on the same line as non-stem cells. Our hypothesis is that methylation drift with age is a stem cell turnover phenomenon and that the DNA methylation changes in stem cells are inherited by the non-stem cells; </w:t>
      </w:r>
      <w:proofErr w:type="gramStart"/>
      <w:r>
        <w:rPr>
          <w:rFonts w:ascii="Arial" w:hAnsi="Arial" w:cs="Arial"/>
          <w:b/>
          <w:bCs/>
          <w:color w:val="000033"/>
          <w:sz w:val="20"/>
          <w:szCs w:val="20"/>
          <w:shd w:val="clear" w:color="auto" w:fill="FFFFFF"/>
        </w:rPr>
        <w:t>therefore</w:t>
      </w:r>
      <w:proofErr w:type="gramEnd"/>
      <w:r>
        <w:rPr>
          <w:rFonts w:ascii="Arial" w:hAnsi="Arial" w:cs="Arial"/>
          <w:b/>
          <w:bCs/>
          <w:color w:val="000033"/>
          <w:sz w:val="20"/>
          <w:szCs w:val="20"/>
          <w:shd w:val="clear" w:color="auto" w:fill="FFFFFF"/>
        </w:rPr>
        <w:t xml:space="preserve"> we expected that </w:t>
      </w:r>
      <w:proofErr w:type="spellStart"/>
      <w:r>
        <w:rPr>
          <w:rFonts w:ascii="Arial" w:hAnsi="Arial" w:cs="Arial"/>
          <w:b/>
          <w:bCs/>
          <w:color w:val="000033"/>
          <w:sz w:val="20"/>
          <w:szCs w:val="20"/>
          <w:shd w:val="clear" w:color="auto" w:fill="FFFFFF"/>
        </w:rPr>
        <w:t>nonstem</w:t>
      </w:r>
      <w:proofErr w:type="spellEnd"/>
      <w:r>
        <w:rPr>
          <w:rFonts w:ascii="Arial" w:hAnsi="Arial" w:cs="Arial"/>
          <w:b/>
          <w:bCs/>
          <w:color w:val="000033"/>
          <w:sz w:val="20"/>
          <w:szCs w:val="20"/>
          <w:shd w:val="clear" w:color="auto" w:fill="FFFFFF"/>
        </w:rPr>
        <w:t xml:space="preserve"> cells would have almost identical JSD as the stem cells they are derived from. As a result, the data result we found is consistent with our hypothesis. In the process of differentiation there is no resetting of the epigenome and they do not divide much further, as a </w:t>
      </w:r>
      <w:proofErr w:type="gramStart"/>
      <w:r>
        <w:rPr>
          <w:rFonts w:ascii="Arial" w:hAnsi="Arial" w:cs="Arial"/>
          <w:b/>
          <w:bCs/>
          <w:color w:val="000033"/>
          <w:sz w:val="20"/>
          <w:szCs w:val="20"/>
          <w:shd w:val="clear" w:color="auto" w:fill="FFFFFF"/>
        </w:rPr>
        <w:t>result  their</w:t>
      </w:r>
      <w:proofErr w:type="gramEnd"/>
      <w:r>
        <w:rPr>
          <w:rFonts w:ascii="Arial" w:hAnsi="Arial" w:cs="Arial"/>
          <w:b/>
          <w:bCs/>
          <w:color w:val="000033"/>
          <w:sz w:val="20"/>
          <w:szCs w:val="20"/>
          <w:shd w:val="clear" w:color="auto" w:fill="FFFFFF"/>
        </w:rPr>
        <w:t xml:space="preserve"> renewal rate history is the same as that of the stem cell. Consequently, we used the renewal rate of the stem cell for this analysis. </w:t>
      </w:r>
      <w:r>
        <w:rPr>
          <w:rFonts w:ascii="Arial" w:hAnsi="Arial" w:cs="Arial"/>
          <w:b/>
          <w:bCs/>
          <w:i/>
          <w:iCs/>
          <w:color w:val="000033"/>
          <w:sz w:val="20"/>
          <w:szCs w:val="20"/>
          <w:u w:val="single"/>
          <w:shd w:val="clear" w:color="auto" w:fill="FFFFFF"/>
        </w:rPr>
        <w:t xml:space="preserve">We have now included the figure for small intestine (below) as a part of supplementary figure 10 and included it in the manuscript in line 244-245. </w:t>
      </w:r>
    </w:p>
    <w:p w14:paraId="2773C3C2" w14:textId="62A4C051" w:rsidR="006F3AA8" w:rsidRDefault="006F3AA8" w:rsidP="006F3AA8">
      <w:pPr>
        <w:jc w:val="center"/>
        <w:rPr>
          <w:rFonts w:ascii="Arial" w:hAnsi="Arial" w:cs="Arial"/>
          <w:b/>
          <w:bCs/>
          <w:i/>
          <w:iCs/>
          <w:color w:val="000033"/>
          <w:sz w:val="20"/>
          <w:szCs w:val="20"/>
          <w:u w:val="single"/>
          <w:shd w:val="clear" w:color="auto" w:fill="FFFFFF"/>
        </w:rPr>
      </w:pPr>
      <w:r>
        <w:rPr>
          <w:rFonts w:ascii="Arial" w:hAnsi="Arial" w:cs="Arial"/>
          <w:noProof/>
          <w:sz w:val="20"/>
          <w:szCs w:val="20"/>
        </w:rPr>
        <w:drawing>
          <wp:inline distT="0" distB="0" distL="0" distR="0" wp14:anchorId="2E74694C" wp14:editId="078DB6A6">
            <wp:extent cx="2910840" cy="26898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r="58974"/>
                    <a:stretch>
                      <a:fillRect/>
                    </a:stretch>
                  </pic:blipFill>
                  <pic:spPr bwMode="auto">
                    <a:xfrm>
                      <a:off x="0" y="0"/>
                      <a:ext cx="2910840" cy="2689860"/>
                    </a:xfrm>
                    <a:prstGeom prst="rect">
                      <a:avLst/>
                    </a:prstGeom>
                    <a:noFill/>
                    <a:ln>
                      <a:noFill/>
                    </a:ln>
                  </pic:spPr>
                </pic:pic>
              </a:graphicData>
            </a:graphic>
          </wp:inline>
        </w:drawing>
      </w:r>
    </w:p>
    <w:p w14:paraId="1F29B0BC" w14:textId="77777777" w:rsidR="006F3AA8" w:rsidRDefault="006F3AA8" w:rsidP="006F3AA8">
      <w:pPr>
        <w:rPr>
          <w:rFonts w:ascii="Arial" w:hAnsi="Arial" w:cs="Arial"/>
          <w:b/>
          <w:bCs/>
          <w:i/>
          <w:iCs/>
          <w:color w:val="000033"/>
          <w:sz w:val="20"/>
          <w:szCs w:val="20"/>
          <w:u w:val="single"/>
          <w:shd w:val="clear" w:color="auto" w:fill="FFFFFF"/>
        </w:rPr>
      </w:pPr>
    </w:p>
    <w:p w14:paraId="1D6DEC2C" w14:textId="77777777" w:rsidR="006F3AA8" w:rsidRDefault="006F3AA8" w:rsidP="006F3AA8">
      <w:pPr>
        <w:jc w:val="center"/>
        <w:rPr>
          <w:rFonts w:ascii="Arial" w:hAnsi="Arial" w:cs="Arial"/>
          <w:b/>
          <w:bCs/>
          <w:sz w:val="20"/>
          <w:szCs w:val="20"/>
        </w:rPr>
      </w:pPr>
    </w:p>
    <w:p w14:paraId="1D0A1F97" w14:textId="77777777" w:rsidR="006F3AA8" w:rsidRDefault="006F3AA8" w:rsidP="006F3AA8">
      <w:pPr>
        <w:rPr>
          <w:rFonts w:ascii="Arial" w:hAnsi="Arial" w:cs="Arial"/>
          <w:b/>
          <w:bCs/>
          <w:sz w:val="20"/>
          <w:szCs w:val="20"/>
        </w:rPr>
      </w:pPr>
    </w:p>
    <w:p w14:paraId="286AA1E6" w14:textId="77777777" w:rsidR="006F3AA8" w:rsidRDefault="006F3AA8" w:rsidP="006F3AA8">
      <w:pPr>
        <w:rPr>
          <w:rFonts w:ascii="Arial" w:hAnsi="Arial" w:cs="Arial"/>
          <w:b/>
          <w:bCs/>
          <w:sz w:val="20"/>
          <w:szCs w:val="20"/>
        </w:rPr>
      </w:pPr>
    </w:p>
    <w:p w14:paraId="1DD1B751" w14:textId="77777777" w:rsidR="006F3AA8" w:rsidRDefault="006F3AA8" w:rsidP="006F3AA8">
      <w:pPr>
        <w:rPr>
          <w:rFonts w:ascii="Arial" w:hAnsi="Arial" w:cs="Arial"/>
          <w:color w:val="FF0000"/>
          <w:sz w:val="20"/>
          <w:szCs w:val="20"/>
        </w:rPr>
      </w:pPr>
      <w:r>
        <w:rPr>
          <w:rFonts w:ascii="Arial" w:hAnsi="Arial" w:cs="Arial"/>
          <w:color w:val="FF0000"/>
          <w:sz w:val="20"/>
          <w:szCs w:val="20"/>
        </w:rPr>
        <w:t>8) It is well known that even non-proliferative tissues, such as brain, have extensive age-associated DNA methylation. As indicated, this has been shown by many functional signatures. Furthermore, multi-tissue clocks have been successfully established. It therefore appears surprising that their data suggest very little overlap in aging changes between distantly related tissues and between tissues that have very different stem cell proliferation rates.</w:t>
      </w:r>
    </w:p>
    <w:p w14:paraId="11727233" w14:textId="77777777" w:rsidR="006F3AA8" w:rsidRDefault="006F3AA8" w:rsidP="006F3AA8">
      <w:pPr>
        <w:rPr>
          <w:rFonts w:ascii="Arial" w:hAnsi="Arial" w:cs="Arial"/>
          <w:b/>
          <w:bCs/>
          <w:sz w:val="20"/>
          <w:szCs w:val="20"/>
        </w:rPr>
      </w:pPr>
    </w:p>
    <w:p w14:paraId="6E93C4D9" w14:textId="77777777" w:rsidR="006F3AA8" w:rsidRDefault="006F3AA8" w:rsidP="006F3AA8">
      <w:pPr>
        <w:rPr>
          <w:rFonts w:ascii="Arial" w:hAnsi="Arial" w:cs="Arial"/>
          <w:b/>
          <w:bCs/>
          <w:sz w:val="20"/>
          <w:szCs w:val="20"/>
        </w:rPr>
      </w:pPr>
    </w:p>
    <w:p w14:paraId="35F3AD1F" w14:textId="77777777" w:rsidR="006F3AA8" w:rsidRDefault="006F3AA8" w:rsidP="006F3AA8">
      <w:pPr>
        <w:rPr>
          <w:rFonts w:ascii="Arial" w:hAnsi="Arial" w:cs="Arial"/>
          <w:b/>
          <w:bCs/>
          <w:color w:val="000033"/>
          <w:sz w:val="20"/>
          <w:szCs w:val="20"/>
          <w:shd w:val="clear" w:color="auto" w:fill="FFFFFF"/>
        </w:rPr>
      </w:pPr>
      <w:r>
        <w:rPr>
          <w:rFonts w:ascii="Arial" w:hAnsi="Arial" w:cs="Arial"/>
          <w:b/>
          <w:bCs/>
          <w:color w:val="000033"/>
          <w:sz w:val="20"/>
          <w:szCs w:val="20"/>
          <w:shd w:val="clear" w:color="auto" w:fill="FFFFFF"/>
        </w:rPr>
        <w:t xml:space="preserve">Response: The existence of methylation clocks in non-proliferative tissues is an important topic and we acknowledge that there are reported multi tissue clocks in the literature. A full discussion of the advantages and drawbacks of these clocks is beyond the scope of this paper. However, because this is an important issue, we wanted to use our data to ask that question. In our data the most non-proliferative tissue is </w:t>
      </w:r>
      <w:proofErr w:type="gramStart"/>
      <w:r>
        <w:rPr>
          <w:rFonts w:ascii="Arial" w:hAnsi="Arial" w:cs="Arial"/>
          <w:b/>
          <w:bCs/>
          <w:color w:val="000033"/>
          <w:sz w:val="20"/>
          <w:szCs w:val="20"/>
          <w:shd w:val="clear" w:color="auto" w:fill="FFFFFF"/>
        </w:rPr>
        <w:t>Heart</w:t>
      </w:r>
      <w:proofErr w:type="gramEnd"/>
      <w:r>
        <w:rPr>
          <w:rFonts w:ascii="Arial" w:hAnsi="Arial" w:cs="Arial"/>
          <w:b/>
          <w:bCs/>
          <w:color w:val="000033"/>
          <w:sz w:val="20"/>
          <w:szCs w:val="20"/>
          <w:shd w:val="clear" w:color="auto" w:fill="FFFFFF"/>
        </w:rPr>
        <w:t xml:space="preserve"> and we find very little methylation changes there (Heart- figure below).  In general, the most non-proliferative tissues that can be easily examined are heart and skeletal muscle (glial cell contamination makes </w:t>
      </w:r>
      <w:proofErr w:type="spellStart"/>
      <w:r>
        <w:rPr>
          <w:rFonts w:ascii="Arial" w:hAnsi="Arial" w:cs="Arial"/>
          <w:b/>
          <w:bCs/>
          <w:color w:val="000033"/>
          <w:sz w:val="20"/>
          <w:szCs w:val="20"/>
          <w:shd w:val="clear" w:color="auto" w:fill="FFFFFF"/>
        </w:rPr>
        <w:t>analyzing</w:t>
      </w:r>
      <w:proofErr w:type="spellEnd"/>
      <w:r>
        <w:rPr>
          <w:rFonts w:ascii="Arial" w:hAnsi="Arial" w:cs="Arial"/>
          <w:b/>
          <w:bCs/>
          <w:color w:val="000033"/>
          <w:sz w:val="20"/>
          <w:szCs w:val="20"/>
          <w:shd w:val="clear" w:color="auto" w:fill="FFFFFF"/>
        </w:rPr>
        <w:t xml:space="preserve"> brain more difficult in this regard). To confirm our own data, we </w:t>
      </w:r>
      <w:proofErr w:type="spellStart"/>
      <w:r>
        <w:rPr>
          <w:rFonts w:ascii="Arial" w:hAnsi="Arial" w:cs="Arial"/>
          <w:b/>
          <w:bCs/>
          <w:color w:val="000033"/>
          <w:sz w:val="20"/>
          <w:szCs w:val="20"/>
          <w:shd w:val="clear" w:color="auto" w:fill="FFFFFF"/>
        </w:rPr>
        <w:t>reanalyzed</w:t>
      </w:r>
      <w:proofErr w:type="spellEnd"/>
      <w:r>
        <w:rPr>
          <w:rFonts w:ascii="Arial" w:hAnsi="Arial" w:cs="Arial"/>
          <w:b/>
          <w:bCs/>
          <w:color w:val="000033"/>
          <w:sz w:val="20"/>
          <w:szCs w:val="20"/>
          <w:shd w:val="clear" w:color="auto" w:fill="FFFFFF"/>
        </w:rPr>
        <w:t xml:space="preserve"> published data on another non-proliferative tissue (Skeletal muscle, Thompson </w:t>
      </w:r>
      <w:r>
        <w:rPr>
          <w:rFonts w:ascii="Arial" w:hAnsi="Arial" w:cs="Arial"/>
          <w:b/>
          <w:bCs/>
          <w:i/>
          <w:iCs/>
          <w:color w:val="000033"/>
          <w:sz w:val="20"/>
          <w:szCs w:val="20"/>
          <w:shd w:val="clear" w:color="auto" w:fill="FFFFFF"/>
        </w:rPr>
        <w:t>et. al</w:t>
      </w:r>
      <w:r>
        <w:rPr>
          <w:rFonts w:ascii="Arial" w:hAnsi="Arial" w:cs="Arial"/>
          <w:b/>
          <w:bCs/>
          <w:color w:val="000033"/>
          <w:sz w:val="20"/>
          <w:szCs w:val="20"/>
          <w:shd w:val="clear" w:color="auto" w:fill="FFFFFF"/>
        </w:rPr>
        <w:t>) and do not find much DNA methylation change with age. The small changes observed (see below) could easily be due to a small amount of contamination of the tissues with proliferative cells (</w:t>
      </w:r>
      <w:proofErr w:type="gramStart"/>
      <w:r>
        <w:rPr>
          <w:rFonts w:ascii="Arial" w:hAnsi="Arial" w:cs="Arial"/>
          <w:b/>
          <w:bCs/>
          <w:color w:val="000033"/>
          <w:sz w:val="20"/>
          <w:szCs w:val="20"/>
          <w:shd w:val="clear" w:color="auto" w:fill="FFFFFF"/>
        </w:rPr>
        <w:t>e.g.</w:t>
      </w:r>
      <w:proofErr w:type="gramEnd"/>
      <w:r>
        <w:rPr>
          <w:rFonts w:ascii="Arial" w:hAnsi="Arial" w:cs="Arial"/>
          <w:b/>
          <w:bCs/>
          <w:color w:val="000033"/>
          <w:sz w:val="20"/>
          <w:szCs w:val="20"/>
          <w:shd w:val="clear" w:color="auto" w:fill="FFFFFF"/>
        </w:rPr>
        <w:t xml:space="preserve"> blood). </w:t>
      </w:r>
    </w:p>
    <w:p w14:paraId="60455481" w14:textId="77777777" w:rsidR="006F3AA8" w:rsidRDefault="006F3AA8" w:rsidP="006F3AA8">
      <w:pPr>
        <w:rPr>
          <w:rFonts w:ascii="Arial" w:hAnsi="Arial" w:cs="Arial"/>
          <w:b/>
          <w:bCs/>
          <w:color w:val="000033"/>
          <w:sz w:val="20"/>
          <w:szCs w:val="20"/>
          <w:shd w:val="clear" w:color="auto" w:fill="FFFFFF"/>
        </w:rPr>
      </w:pPr>
    </w:p>
    <w:p w14:paraId="5EC7B553" w14:textId="4B75EA43" w:rsidR="006F3AA8" w:rsidRDefault="006F3AA8" w:rsidP="006F3AA8">
      <w:pPr>
        <w:rPr>
          <w:rFonts w:ascii="Arial" w:hAnsi="Arial" w:cs="Arial"/>
          <w:b/>
          <w:bCs/>
          <w:color w:val="000033"/>
          <w:sz w:val="20"/>
          <w:szCs w:val="20"/>
          <w:shd w:val="clear" w:color="auto" w:fill="FFFFFF"/>
        </w:rPr>
      </w:pPr>
      <w:r>
        <w:rPr>
          <w:rFonts w:ascii="Arial" w:hAnsi="Arial" w:cs="Arial"/>
          <w:b/>
          <w:noProof/>
          <w:color w:val="000033"/>
          <w:sz w:val="20"/>
          <w:szCs w:val="20"/>
          <w:shd w:val="clear" w:color="auto" w:fill="FFFFFF"/>
        </w:rPr>
        <w:drawing>
          <wp:inline distT="0" distB="0" distL="0" distR="0" wp14:anchorId="42F8502B" wp14:editId="2C18B8CA">
            <wp:extent cx="5731510" cy="2600960"/>
            <wp:effectExtent l="0" t="0" r="254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2600960"/>
                    </a:xfrm>
                    <a:prstGeom prst="rect">
                      <a:avLst/>
                    </a:prstGeom>
                    <a:noFill/>
                    <a:ln>
                      <a:noFill/>
                    </a:ln>
                  </pic:spPr>
                </pic:pic>
              </a:graphicData>
            </a:graphic>
          </wp:inline>
        </w:drawing>
      </w:r>
    </w:p>
    <w:p w14:paraId="2E84108A" w14:textId="77777777" w:rsidR="006F3AA8" w:rsidRDefault="006F3AA8" w:rsidP="006F3AA8">
      <w:pPr>
        <w:rPr>
          <w:rFonts w:ascii="Arial" w:hAnsi="Arial" w:cs="Arial"/>
          <w:b/>
          <w:bCs/>
          <w:color w:val="000033"/>
          <w:sz w:val="20"/>
          <w:szCs w:val="20"/>
          <w:shd w:val="clear" w:color="auto" w:fill="FFFFFF"/>
        </w:rPr>
      </w:pPr>
    </w:p>
    <w:p w14:paraId="1B7B3A61" w14:textId="77777777" w:rsidR="006F3AA8" w:rsidRDefault="006F3AA8" w:rsidP="006F3AA8">
      <w:pPr>
        <w:rPr>
          <w:rFonts w:ascii="Arial" w:hAnsi="Arial" w:cs="Arial"/>
          <w:sz w:val="20"/>
          <w:szCs w:val="20"/>
        </w:rPr>
      </w:pPr>
      <w:r>
        <w:rPr>
          <w:rFonts w:ascii="Arial" w:hAnsi="Arial" w:cs="Arial"/>
          <w:b/>
          <w:bCs/>
          <w:sz w:val="20"/>
          <w:szCs w:val="20"/>
        </w:rPr>
        <w:t>a</w:t>
      </w:r>
      <w:r>
        <w:rPr>
          <w:rFonts w:ascii="Arial" w:hAnsi="Arial" w:cs="Arial"/>
          <w:sz w:val="20"/>
          <w:szCs w:val="20"/>
        </w:rPr>
        <w:t xml:space="preserve">. Volcano plots showing methylation differences between young (4 month) and old (24 month) samples in heart. </w:t>
      </w:r>
      <w:r>
        <w:rPr>
          <w:rFonts w:ascii="Arial" w:hAnsi="Arial" w:cs="Arial"/>
          <w:b/>
          <w:bCs/>
          <w:sz w:val="20"/>
          <w:szCs w:val="20"/>
        </w:rPr>
        <w:t>b</w:t>
      </w:r>
      <w:r>
        <w:rPr>
          <w:rFonts w:ascii="Arial" w:hAnsi="Arial" w:cs="Arial"/>
          <w:sz w:val="20"/>
          <w:szCs w:val="20"/>
        </w:rPr>
        <w:t>. Volcano plots showing methylation differences between young (2 month) and old (20 month) samples in skeletal muscle methylation data obtained from Thompson et. al.</w:t>
      </w:r>
    </w:p>
    <w:p w14:paraId="617B5036" w14:textId="77777777" w:rsidR="006F3AA8" w:rsidRDefault="006F3AA8" w:rsidP="006F3AA8">
      <w:pPr>
        <w:rPr>
          <w:rFonts w:ascii="Times New Roman" w:hAnsi="Times New Roman" w:cs="Times New Roman"/>
          <w:sz w:val="24"/>
          <w:szCs w:val="24"/>
        </w:rPr>
      </w:pPr>
    </w:p>
    <w:p w14:paraId="52C11191" w14:textId="77777777" w:rsidR="006F3AA8" w:rsidRDefault="006F3AA8" w:rsidP="006F3AA8">
      <w:pPr>
        <w:rPr>
          <w:rFonts w:ascii="Arial" w:hAnsi="Arial" w:cs="Arial"/>
          <w:sz w:val="16"/>
          <w:szCs w:val="16"/>
        </w:rPr>
      </w:pPr>
      <w:r>
        <w:rPr>
          <w:rFonts w:ascii="Arial" w:hAnsi="Arial" w:cs="Arial"/>
          <w:color w:val="212121"/>
          <w:sz w:val="16"/>
          <w:szCs w:val="16"/>
          <w:shd w:val="clear" w:color="auto" w:fill="FFFFFF"/>
        </w:rPr>
        <w:lastRenderedPageBreak/>
        <w:t xml:space="preserve">Thompson MJ, </w:t>
      </w:r>
      <w:proofErr w:type="spellStart"/>
      <w:r>
        <w:rPr>
          <w:rFonts w:ascii="Arial" w:hAnsi="Arial" w:cs="Arial"/>
          <w:color w:val="212121"/>
          <w:sz w:val="16"/>
          <w:szCs w:val="16"/>
          <w:shd w:val="clear" w:color="auto" w:fill="FFFFFF"/>
        </w:rPr>
        <w:t>Chwiałkowska</w:t>
      </w:r>
      <w:proofErr w:type="spellEnd"/>
      <w:r>
        <w:rPr>
          <w:rFonts w:ascii="Arial" w:hAnsi="Arial" w:cs="Arial"/>
          <w:color w:val="212121"/>
          <w:sz w:val="16"/>
          <w:szCs w:val="16"/>
          <w:shd w:val="clear" w:color="auto" w:fill="FFFFFF"/>
        </w:rPr>
        <w:t xml:space="preserve"> K, </w:t>
      </w:r>
      <w:proofErr w:type="spellStart"/>
      <w:r>
        <w:rPr>
          <w:rFonts w:ascii="Arial" w:hAnsi="Arial" w:cs="Arial"/>
          <w:color w:val="212121"/>
          <w:sz w:val="16"/>
          <w:szCs w:val="16"/>
          <w:shd w:val="clear" w:color="auto" w:fill="FFFFFF"/>
        </w:rPr>
        <w:t>Rubbi</w:t>
      </w:r>
      <w:proofErr w:type="spellEnd"/>
      <w:r>
        <w:rPr>
          <w:rFonts w:ascii="Arial" w:hAnsi="Arial" w:cs="Arial"/>
          <w:color w:val="212121"/>
          <w:sz w:val="16"/>
          <w:szCs w:val="16"/>
          <w:shd w:val="clear" w:color="auto" w:fill="FFFFFF"/>
        </w:rPr>
        <w:t xml:space="preserve"> L, </w:t>
      </w:r>
      <w:proofErr w:type="spellStart"/>
      <w:r>
        <w:rPr>
          <w:rFonts w:ascii="Arial" w:hAnsi="Arial" w:cs="Arial"/>
          <w:color w:val="212121"/>
          <w:sz w:val="16"/>
          <w:szCs w:val="16"/>
          <w:shd w:val="clear" w:color="auto" w:fill="FFFFFF"/>
        </w:rPr>
        <w:t>Lusis</w:t>
      </w:r>
      <w:proofErr w:type="spellEnd"/>
      <w:r>
        <w:rPr>
          <w:rFonts w:ascii="Arial" w:hAnsi="Arial" w:cs="Arial"/>
          <w:color w:val="212121"/>
          <w:sz w:val="16"/>
          <w:szCs w:val="16"/>
          <w:shd w:val="clear" w:color="auto" w:fill="FFFFFF"/>
        </w:rPr>
        <w:t xml:space="preserve"> AJ, Davis RC, Srivastava A, </w:t>
      </w:r>
      <w:proofErr w:type="spellStart"/>
      <w:r>
        <w:rPr>
          <w:rFonts w:ascii="Arial" w:hAnsi="Arial" w:cs="Arial"/>
          <w:color w:val="212121"/>
          <w:sz w:val="16"/>
          <w:szCs w:val="16"/>
          <w:shd w:val="clear" w:color="auto" w:fill="FFFFFF"/>
        </w:rPr>
        <w:t>Korstanje</w:t>
      </w:r>
      <w:proofErr w:type="spellEnd"/>
      <w:r>
        <w:rPr>
          <w:rFonts w:ascii="Arial" w:hAnsi="Arial" w:cs="Arial"/>
          <w:color w:val="212121"/>
          <w:sz w:val="16"/>
          <w:szCs w:val="16"/>
          <w:shd w:val="clear" w:color="auto" w:fill="FFFFFF"/>
        </w:rPr>
        <w:t xml:space="preserve"> R, Churchill GA, Horvath S, Pellegrini M. A multi-tissue full lifespan epigenetic clock for mice. Aging (Albany NY). 2018 Oct 21;10(10):2832-2854. </w:t>
      </w:r>
      <w:proofErr w:type="spellStart"/>
      <w:r>
        <w:rPr>
          <w:rFonts w:ascii="Arial" w:hAnsi="Arial" w:cs="Arial"/>
          <w:color w:val="212121"/>
          <w:sz w:val="16"/>
          <w:szCs w:val="16"/>
          <w:shd w:val="clear" w:color="auto" w:fill="FFFFFF"/>
        </w:rPr>
        <w:t>doi</w:t>
      </w:r>
      <w:proofErr w:type="spellEnd"/>
      <w:r>
        <w:rPr>
          <w:rFonts w:ascii="Arial" w:hAnsi="Arial" w:cs="Arial"/>
          <w:color w:val="212121"/>
          <w:sz w:val="16"/>
          <w:szCs w:val="16"/>
          <w:shd w:val="clear" w:color="auto" w:fill="FFFFFF"/>
        </w:rPr>
        <w:t>: 10.18632/aging.101590. PMID: 30348905; PMCID: PMC6224226.</w:t>
      </w:r>
    </w:p>
    <w:p w14:paraId="53CBBB5F" w14:textId="77777777" w:rsidR="006F3AA8" w:rsidRDefault="006F3AA8" w:rsidP="006F3AA8">
      <w:pPr>
        <w:rPr>
          <w:rFonts w:ascii="Arial" w:hAnsi="Arial" w:cs="Arial"/>
          <w:b/>
          <w:bCs/>
          <w:color w:val="000033"/>
          <w:sz w:val="20"/>
          <w:szCs w:val="20"/>
          <w:shd w:val="clear" w:color="auto" w:fill="FFFFFF"/>
        </w:rPr>
      </w:pPr>
    </w:p>
    <w:p w14:paraId="49E0013B" w14:textId="77777777" w:rsidR="006F3AA8" w:rsidRDefault="006F3AA8" w:rsidP="006F3AA8">
      <w:pPr>
        <w:rPr>
          <w:rFonts w:ascii="Arial" w:hAnsi="Arial" w:cs="Arial"/>
          <w:b/>
          <w:bCs/>
          <w:color w:val="000033"/>
          <w:sz w:val="20"/>
          <w:szCs w:val="20"/>
          <w:shd w:val="clear" w:color="auto" w:fill="FFFFFF"/>
        </w:rPr>
      </w:pPr>
    </w:p>
    <w:p w14:paraId="319C067B" w14:textId="77777777" w:rsidR="006F3AA8" w:rsidRDefault="006F3AA8" w:rsidP="006F3AA8">
      <w:pPr>
        <w:rPr>
          <w:rFonts w:ascii="Arial" w:hAnsi="Arial" w:cs="Arial"/>
          <w:b/>
          <w:bCs/>
          <w:color w:val="000033"/>
          <w:sz w:val="20"/>
          <w:szCs w:val="20"/>
          <w:shd w:val="clear" w:color="auto" w:fill="FFFFFF"/>
        </w:rPr>
      </w:pPr>
      <w:r>
        <w:rPr>
          <w:rFonts w:ascii="Arial" w:hAnsi="Arial" w:cs="Arial"/>
          <w:b/>
          <w:bCs/>
          <w:color w:val="000033"/>
          <w:sz w:val="20"/>
          <w:szCs w:val="20"/>
          <w:shd w:val="clear" w:color="auto" w:fill="FFFFFF"/>
        </w:rPr>
        <w:t xml:space="preserve">The difference between our data and the published literature might be due to contamination of tissues with proliferative cells. For example, the brain consists of glial cells which are proliferative, thus it is expected to find age related changes in the brain. In addition, the brain has a high level of DNA methyl transferases (DNMT’s) in quiescent tissues (neurons), thus it is possible that neurons are undergoing DNA methylation change due to other reasons. It is also possible that some of the changes reported in the literature in non-proliferative tissues may be detecting changes in cell composition with age rather than changes in DNA methylation with age. Since we currently do not have data on this, we chose to focus the results and discussion on the data that we do have. </w:t>
      </w:r>
    </w:p>
    <w:p w14:paraId="49B1728D" w14:textId="77777777" w:rsidR="006F3AA8" w:rsidRDefault="006F3AA8" w:rsidP="006F3AA8">
      <w:pPr>
        <w:rPr>
          <w:rFonts w:ascii="Arial" w:hAnsi="Arial" w:cs="Arial"/>
          <w:b/>
          <w:bCs/>
          <w:color w:val="000033"/>
          <w:sz w:val="20"/>
          <w:szCs w:val="20"/>
          <w:shd w:val="clear" w:color="auto" w:fill="FFFFFF"/>
        </w:rPr>
      </w:pPr>
    </w:p>
    <w:p w14:paraId="37846B35" w14:textId="77777777" w:rsidR="006F3AA8" w:rsidRDefault="006F3AA8" w:rsidP="006F3AA8">
      <w:pPr>
        <w:rPr>
          <w:rFonts w:ascii="Arial" w:hAnsi="Arial" w:cs="Arial"/>
          <w:color w:val="212121"/>
          <w:sz w:val="16"/>
          <w:szCs w:val="16"/>
          <w:shd w:val="clear" w:color="auto" w:fill="FFFFFF"/>
        </w:rPr>
      </w:pPr>
      <w:proofErr w:type="spellStart"/>
      <w:r>
        <w:rPr>
          <w:rFonts w:ascii="Arial" w:hAnsi="Arial" w:cs="Arial"/>
          <w:color w:val="212121"/>
          <w:sz w:val="16"/>
          <w:szCs w:val="16"/>
          <w:shd w:val="clear" w:color="auto" w:fill="FFFFFF"/>
        </w:rPr>
        <w:t>Tognini</w:t>
      </w:r>
      <w:proofErr w:type="spellEnd"/>
      <w:r>
        <w:rPr>
          <w:rFonts w:ascii="Arial" w:hAnsi="Arial" w:cs="Arial"/>
          <w:color w:val="212121"/>
          <w:sz w:val="16"/>
          <w:szCs w:val="16"/>
          <w:shd w:val="clear" w:color="auto" w:fill="FFFFFF"/>
        </w:rPr>
        <w:t xml:space="preserve"> P, Napoli D, </w:t>
      </w:r>
      <w:proofErr w:type="spellStart"/>
      <w:r>
        <w:rPr>
          <w:rFonts w:ascii="Arial" w:hAnsi="Arial" w:cs="Arial"/>
          <w:color w:val="212121"/>
          <w:sz w:val="16"/>
          <w:szCs w:val="16"/>
          <w:shd w:val="clear" w:color="auto" w:fill="FFFFFF"/>
        </w:rPr>
        <w:t>Pizzorusso</w:t>
      </w:r>
      <w:proofErr w:type="spellEnd"/>
      <w:r>
        <w:rPr>
          <w:rFonts w:ascii="Arial" w:hAnsi="Arial" w:cs="Arial"/>
          <w:color w:val="212121"/>
          <w:sz w:val="16"/>
          <w:szCs w:val="16"/>
          <w:shd w:val="clear" w:color="auto" w:fill="FFFFFF"/>
        </w:rPr>
        <w:t xml:space="preserve"> T. Dynamic DNA methylation in the brain: a new epigenetic mark for experience-dependent plasticity. Front Cell </w:t>
      </w:r>
      <w:proofErr w:type="spellStart"/>
      <w:r>
        <w:rPr>
          <w:rFonts w:ascii="Arial" w:hAnsi="Arial" w:cs="Arial"/>
          <w:color w:val="212121"/>
          <w:sz w:val="16"/>
          <w:szCs w:val="16"/>
          <w:shd w:val="clear" w:color="auto" w:fill="FFFFFF"/>
        </w:rPr>
        <w:t>Neurosci</w:t>
      </w:r>
      <w:proofErr w:type="spellEnd"/>
      <w:r>
        <w:rPr>
          <w:rFonts w:ascii="Arial" w:hAnsi="Arial" w:cs="Arial"/>
          <w:color w:val="212121"/>
          <w:sz w:val="16"/>
          <w:szCs w:val="16"/>
          <w:shd w:val="clear" w:color="auto" w:fill="FFFFFF"/>
        </w:rPr>
        <w:t xml:space="preserve">. 2015 Aug </w:t>
      </w:r>
      <w:proofErr w:type="gramStart"/>
      <w:r>
        <w:rPr>
          <w:rFonts w:ascii="Arial" w:hAnsi="Arial" w:cs="Arial"/>
          <w:color w:val="212121"/>
          <w:sz w:val="16"/>
          <w:szCs w:val="16"/>
          <w:shd w:val="clear" w:color="auto" w:fill="FFFFFF"/>
        </w:rPr>
        <w:t>25;9:331</w:t>
      </w:r>
      <w:proofErr w:type="gramEnd"/>
      <w:r>
        <w:rPr>
          <w:rFonts w:ascii="Arial" w:hAnsi="Arial" w:cs="Arial"/>
          <w:color w:val="212121"/>
          <w:sz w:val="16"/>
          <w:szCs w:val="16"/>
          <w:shd w:val="clear" w:color="auto" w:fill="FFFFFF"/>
        </w:rPr>
        <w:t xml:space="preserve">. </w:t>
      </w:r>
      <w:proofErr w:type="spellStart"/>
      <w:r>
        <w:rPr>
          <w:rFonts w:ascii="Arial" w:hAnsi="Arial" w:cs="Arial"/>
          <w:color w:val="212121"/>
          <w:sz w:val="16"/>
          <w:szCs w:val="16"/>
          <w:shd w:val="clear" w:color="auto" w:fill="FFFFFF"/>
        </w:rPr>
        <w:t>doi</w:t>
      </w:r>
      <w:proofErr w:type="spellEnd"/>
      <w:r>
        <w:rPr>
          <w:rFonts w:ascii="Arial" w:hAnsi="Arial" w:cs="Arial"/>
          <w:color w:val="212121"/>
          <w:sz w:val="16"/>
          <w:szCs w:val="16"/>
          <w:shd w:val="clear" w:color="auto" w:fill="FFFFFF"/>
        </w:rPr>
        <w:t>: 10.3389/fncel.2015.00331. PMID: 26379502; PMCID: PMC4548453.</w:t>
      </w:r>
    </w:p>
    <w:p w14:paraId="6E119DE1" w14:textId="77777777" w:rsidR="006F3AA8" w:rsidRDefault="006F3AA8" w:rsidP="006F3AA8">
      <w:pPr>
        <w:rPr>
          <w:rFonts w:ascii="Arial" w:hAnsi="Arial" w:cs="Arial"/>
          <w:b/>
          <w:bCs/>
          <w:color w:val="000033"/>
          <w:sz w:val="20"/>
          <w:szCs w:val="20"/>
          <w:shd w:val="clear" w:color="auto" w:fill="FFFFFF"/>
        </w:rPr>
      </w:pPr>
    </w:p>
    <w:p w14:paraId="34E2A179" w14:textId="77777777" w:rsidR="006F3AA8" w:rsidRDefault="006F3AA8" w:rsidP="006F3AA8">
      <w:pPr>
        <w:rPr>
          <w:rFonts w:ascii="Arial" w:hAnsi="Arial" w:cs="Arial"/>
          <w:color w:val="212121"/>
          <w:sz w:val="20"/>
          <w:szCs w:val="20"/>
          <w:shd w:val="clear" w:color="auto" w:fill="FFFFFF"/>
        </w:rPr>
      </w:pPr>
    </w:p>
    <w:p w14:paraId="7559659D" w14:textId="77777777" w:rsidR="006F3AA8" w:rsidRDefault="006F3AA8" w:rsidP="006F3AA8">
      <w:pPr>
        <w:rPr>
          <w:rFonts w:ascii="Arial" w:hAnsi="Arial" w:cs="Arial"/>
          <w:color w:val="FF0000"/>
          <w:sz w:val="20"/>
          <w:szCs w:val="20"/>
          <w:shd w:val="clear" w:color="auto" w:fill="FFFFFF"/>
        </w:rPr>
      </w:pPr>
      <w:r>
        <w:rPr>
          <w:rFonts w:ascii="Arial" w:hAnsi="Arial" w:cs="Arial"/>
          <w:color w:val="FF0000"/>
          <w:sz w:val="20"/>
          <w:szCs w:val="20"/>
          <w:shd w:val="clear" w:color="auto" w:fill="FFFFFF"/>
        </w:rPr>
        <w:t>9. The threefold change was observed in both stem and non-stem cells of 24 months (Figure 5a). How do they conclude that this is due to stem cell division (line 212 as well as line 249-250)? As it stands, there appear to be hardly conclusive results how stem cell division or cell division rate are related to the epigenetic drift</w:t>
      </w:r>
    </w:p>
    <w:p w14:paraId="019C1CE5" w14:textId="77777777" w:rsidR="006F3AA8" w:rsidRDefault="006F3AA8" w:rsidP="006F3AA8">
      <w:pPr>
        <w:rPr>
          <w:rFonts w:ascii="Arial" w:hAnsi="Arial" w:cs="Arial"/>
          <w:color w:val="000033"/>
          <w:sz w:val="20"/>
          <w:szCs w:val="20"/>
          <w:shd w:val="clear" w:color="auto" w:fill="FFFFFF"/>
        </w:rPr>
      </w:pPr>
    </w:p>
    <w:p w14:paraId="5D0D1D2F" w14:textId="77777777" w:rsidR="006F3AA8" w:rsidRDefault="006F3AA8" w:rsidP="006F3AA8">
      <w:pPr>
        <w:rPr>
          <w:rFonts w:ascii="Arial" w:hAnsi="Arial" w:cs="Arial"/>
          <w:b/>
          <w:bCs/>
          <w:i/>
          <w:iCs/>
          <w:color w:val="000033"/>
          <w:sz w:val="20"/>
          <w:szCs w:val="20"/>
          <w:u w:val="single"/>
          <w:shd w:val="clear" w:color="auto" w:fill="FFFFFF"/>
        </w:rPr>
      </w:pPr>
      <w:r>
        <w:rPr>
          <w:rFonts w:ascii="Arial" w:hAnsi="Arial" w:cs="Arial"/>
          <w:b/>
          <w:bCs/>
          <w:color w:val="000033"/>
          <w:sz w:val="20"/>
          <w:szCs w:val="20"/>
          <w:shd w:val="clear" w:color="auto" w:fill="FFFFFF"/>
        </w:rPr>
        <w:t xml:space="preserve">Response: We came to this conclusion because there was very little difference between stem cells and non-stem cells from the same age (figure below). The three-fold difference seen in fig 5a is between 4-month and 24-month sample. As discussed earlier, differentiated cells inherit DNA methylation patterns from stem cells and thus have a nearly identical proliferation history.  </w:t>
      </w:r>
      <w:r>
        <w:rPr>
          <w:rFonts w:ascii="Arial" w:hAnsi="Arial" w:cs="Arial"/>
          <w:b/>
          <w:bCs/>
          <w:i/>
          <w:iCs/>
          <w:color w:val="000033"/>
          <w:sz w:val="20"/>
          <w:szCs w:val="20"/>
          <w:u w:val="single"/>
          <w:shd w:val="clear" w:color="auto" w:fill="FFFFFF"/>
        </w:rPr>
        <w:t xml:space="preserve">We have now included the stem vs. </w:t>
      </w:r>
      <w:proofErr w:type="spellStart"/>
      <w:r>
        <w:rPr>
          <w:rFonts w:ascii="Arial" w:hAnsi="Arial" w:cs="Arial"/>
          <w:b/>
          <w:bCs/>
          <w:i/>
          <w:iCs/>
          <w:color w:val="000033"/>
          <w:sz w:val="20"/>
          <w:szCs w:val="20"/>
          <w:u w:val="single"/>
          <w:shd w:val="clear" w:color="auto" w:fill="FFFFFF"/>
        </w:rPr>
        <w:t>nonstem</w:t>
      </w:r>
      <w:proofErr w:type="spellEnd"/>
      <w:r>
        <w:rPr>
          <w:rFonts w:ascii="Arial" w:hAnsi="Arial" w:cs="Arial"/>
          <w:b/>
          <w:bCs/>
          <w:i/>
          <w:iCs/>
          <w:color w:val="000033"/>
          <w:sz w:val="20"/>
          <w:szCs w:val="20"/>
          <w:u w:val="single"/>
          <w:shd w:val="clear" w:color="auto" w:fill="FFFFFF"/>
        </w:rPr>
        <w:t xml:space="preserve"> comparison for upper small intestine, lower small </w:t>
      </w:r>
      <w:proofErr w:type="gramStart"/>
      <w:r>
        <w:rPr>
          <w:rFonts w:ascii="Arial" w:hAnsi="Arial" w:cs="Arial"/>
          <w:b/>
          <w:bCs/>
          <w:i/>
          <w:iCs/>
          <w:color w:val="000033"/>
          <w:sz w:val="20"/>
          <w:szCs w:val="20"/>
          <w:u w:val="single"/>
          <w:shd w:val="clear" w:color="auto" w:fill="FFFFFF"/>
        </w:rPr>
        <w:t>intestine</w:t>
      </w:r>
      <w:proofErr w:type="gramEnd"/>
      <w:r>
        <w:rPr>
          <w:rFonts w:ascii="Arial" w:hAnsi="Arial" w:cs="Arial"/>
          <w:b/>
          <w:bCs/>
          <w:i/>
          <w:iCs/>
          <w:color w:val="000033"/>
          <w:sz w:val="20"/>
          <w:szCs w:val="20"/>
          <w:u w:val="single"/>
          <w:shd w:val="clear" w:color="auto" w:fill="FFFFFF"/>
        </w:rPr>
        <w:t xml:space="preserve"> and colon as a part of supplementary figure 6 and included it in the manuscript in line 206-208.</w:t>
      </w:r>
    </w:p>
    <w:p w14:paraId="5B25836B" w14:textId="77777777" w:rsidR="006F3AA8" w:rsidRDefault="006F3AA8" w:rsidP="006F3AA8">
      <w:pPr>
        <w:rPr>
          <w:rFonts w:ascii="Arial" w:hAnsi="Arial" w:cs="Arial"/>
          <w:b/>
          <w:bCs/>
          <w:color w:val="000033"/>
          <w:sz w:val="20"/>
          <w:szCs w:val="20"/>
          <w:shd w:val="clear" w:color="auto" w:fill="FFFFFF"/>
        </w:rPr>
      </w:pPr>
    </w:p>
    <w:p w14:paraId="492F8207" w14:textId="55986789" w:rsidR="006F3AA8" w:rsidRDefault="006F3AA8" w:rsidP="006F3AA8">
      <w:pPr>
        <w:rPr>
          <w:rFonts w:ascii="Arial" w:hAnsi="Arial" w:cs="Arial"/>
          <w:sz w:val="20"/>
          <w:szCs w:val="20"/>
        </w:rPr>
      </w:pPr>
      <w:r>
        <w:rPr>
          <w:rFonts w:ascii="Arial" w:hAnsi="Arial" w:cs="Arial"/>
          <w:noProof/>
          <w:sz w:val="20"/>
          <w:szCs w:val="20"/>
        </w:rPr>
        <w:drawing>
          <wp:inline distT="0" distB="0" distL="0" distR="0" wp14:anchorId="4B284701" wp14:editId="337CCB84">
            <wp:extent cx="5731510" cy="10128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1012825"/>
                    </a:xfrm>
                    <a:prstGeom prst="rect">
                      <a:avLst/>
                    </a:prstGeom>
                    <a:noFill/>
                    <a:ln>
                      <a:noFill/>
                    </a:ln>
                  </pic:spPr>
                </pic:pic>
              </a:graphicData>
            </a:graphic>
          </wp:inline>
        </w:drawing>
      </w:r>
    </w:p>
    <w:p w14:paraId="3E9C1E6F" w14:textId="77777777" w:rsidR="006F3AA8" w:rsidRDefault="006F3AA8" w:rsidP="006F3AA8">
      <w:pPr>
        <w:rPr>
          <w:rFonts w:ascii="Arial" w:hAnsi="Arial" w:cs="Arial"/>
          <w:sz w:val="16"/>
          <w:szCs w:val="16"/>
        </w:rPr>
      </w:pPr>
      <w:r>
        <w:rPr>
          <w:rFonts w:ascii="Arial" w:hAnsi="Arial" w:cs="Arial"/>
          <w:sz w:val="16"/>
          <w:szCs w:val="16"/>
        </w:rPr>
        <w:t xml:space="preserve">Figure legend: Entropy change between stem and </w:t>
      </w:r>
      <w:proofErr w:type="spellStart"/>
      <w:r>
        <w:rPr>
          <w:rFonts w:ascii="Arial" w:hAnsi="Arial" w:cs="Arial"/>
          <w:sz w:val="16"/>
          <w:szCs w:val="16"/>
        </w:rPr>
        <w:t>nonstem</w:t>
      </w:r>
      <w:proofErr w:type="spellEnd"/>
      <w:r>
        <w:rPr>
          <w:rFonts w:ascii="Arial" w:hAnsi="Arial" w:cs="Arial"/>
          <w:sz w:val="16"/>
          <w:szCs w:val="16"/>
        </w:rPr>
        <w:t xml:space="preserve"> cells in the small intestine and colon</w:t>
      </w:r>
      <w:r>
        <w:rPr>
          <w:rFonts w:ascii="Arial" w:hAnsi="Arial" w:cs="Arial"/>
          <w:b/>
          <w:bCs/>
          <w:i/>
          <w:iCs/>
          <w:sz w:val="16"/>
          <w:szCs w:val="16"/>
        </w:rPr>
        <w:t xml:space="preserve">. </w:t>
      </w:r>
      <w:r>
        <w:rPr>
          <w:rFonts w:ascii="Arial" w:hAnsi="Arial" w:cs="Arial"/>
          <w:sz w:val="16"/>
          <w:szCs w:val="16"/>
        </w:rPr>
        <w:t xml:space="preserve">Scatterplots showing the change in Jensen-Shannon Distance (JSD) on the x-axis vs change in methylation on y-axis, between (left) young and old stem cells (Lgr5-GFP+), and (right) young and old </w:t>
      </w:r>
      <w:proofErr w:type="spellStart"/>
      <w:r>
        <w:rPr>
          <w:rFonts w:ascii="Arial" w:hAnsi="Arial" w:cs="Arial"/>
          <w:sz w:val="16"/>
          <w:szCs w:val="16"/>
        </w:rPr>
        <w:t>nonstem</w:t>
      </w:r>
      <w:proofErr w:type="spellEnd"/>
      <w:r>
        <w:rPr>
          <w:rFonts w:ascii="Arial" w:hAnsi="Arial" w:cs="Arial"/>
          <w:sz w:val="16"/>
          <w:szCs w:val="16"/>
        </w:rPr>
        <w:t xml:space="preserve"> cells (Lgr5-GFP-) in (</w:t>
      </w:r>
      <w:r>
        <w:rPr>
          <w:rFonts w:ascii="Arial" w:hAnsi="Arial" w:cs="Arial"/>
          <w:b/>
          <w:bCs/>
          <w:sz w:val="16"/>
          <w:szCs w:val="16"/>
        </w:rPr>
        <w:t>g</w:t>
      </w:r>
      <w:r>
        <w:rPr>
          <w:rFonts w:ascii="Arial" w:hAnsi="Arial" w:cs="Arial"/>
          <w:sz w:val="16"/>
          <w:szCs w:val="16"/>
        </w:rPr>
        <w:t>) Upper small intestine (USI), (</w:t>
      </w:r>
      <w:r>
        <w:rPr>
          <w:rFonts w:ascii="Arial" w:hAnsi="Arial" w:cs="Arial"/>
          <w:b/>
          <w:bCs/>
          <w:sz w:val="16"/>
          <w:szCs w:val="16"/>
        </w:rPr>
        <w:t>h</w:t>
      </w:r>
      <w:r>
        <w:rPr>
          <w:rFonts w:ascii="Arial" w:hAnsi="Arial" w:cs="Arial"/>
          <w:sz w:val="16"/>
          <w:szCs w:val="16"/>
        </w:rPr>
        <w:t>) Lower small intestine (LSI) and (</w:t>
      </w:r>
      <w:proofErr w:type="spellStart"/>
      <w:r>
        <w:rPr>
          <w:rFonts w:ascii="Arial" w:hAnsi="Arial" w:cs="Arial"/>
          <w:b/>
          <w:bCs/>
          <w:sz w:val="16"/>
          <w:szCs w:val="16"/>
        </w:rPr>
        <w:t>i</w:t>
      </w:r>
      <w:proofErr w:type="spellEnd"/>
      <w:r>
        <w:rPr>
          <w:rFonts w:ascii="Arial" w:hAnsi="Arial" w:cs="Arial"/>
          <w:sz w:val="16"/>
          <w:szCs w:val="16"/>
        </w:rPr>
        <w:t>) colon (COL).</w:t>
      </w:r>
    </w:p>
    <w:p w14:paraId="064864A4" w14:textId="77777777" w:rsidR="006F3AA8" w:rsidRDefault="006F3AA8" w:rsidP="006F3AA8">
      <w:pPr>
        <w:rPr>
          <w:rFonts w:ascii="Arial" w:hAnsi="Arial" w:cs="Arial"/>
          <w:sz w:val="16"/>
          <w:szCs w:val="16"/>
        </w:rPr>
      </w:pPr>
    </w:p>
    <w:p w14:paraId="224992AA" w14:textId="77777777" w:rsidR="006F3AA8" w:rsidRDefault="006F3AA8" w:rsidP="006F3AA8">
      <w:pPr>
        <w:rPr>
          <w:rFonts w:ascii="Arial" w:hAnsi="Arial" w:cs="Arial"/>
          <w:sz w:val="16"/>
          <w:szCs w:val="16"/>
        </w:rPr>
      </w:pPr>
    </w:p>
    <w:p w14:paraId="7B8C483D" w14:textId="77777777" w:rsidR="006F3AA8" w:rsidRDefault="006F3AA8" w:rsidP="006F3AA8">
      <w:pPr>
        <w:rPr>
          <w:rFonts w:ascii="Verdana" w:hAnsi="Verdana" w:cs="Times New Roman"/>
          <w:color w:val="000033"/>
          <w:sz w:val="17"/>
          <w:szCs w:val="17"/>
          <w:shd w:val="clear" w:color="auto" w:fill="FFFFFF"/>
        </w:rPr>
      </w:pPr>
      <w:r>
        <w:rPr>
          <w:rFonts w:ascii="Verdana" w:hAnsi="Verdana"/>
          <w:color w:val="000033"/>
          <w:sz w:val="17"/>
          <w:szCs w:val="17"/>
          <w:shd w:val="clear" w:color="auto" w:fill="FFFFFF"/>
        </w:rPr>
        <w:t>Minor:</w:t>
      </w:r>
      <w:r>
        <w:rPr>
          <w:rFonts w:ascii="Verdana" w:hAnsi="Verdana"/>
          <w:color w:val="000033"/>
          <w:sz w:val="17"/>
          <w:szCs w:val="17"/>
        </w:rPr>
        <w:br/>
      </w:r>
      <w:r>
        <w:rPr>
          <w:rFonts w:ascii="Verdana" w:hAnsi="Verdana"/>
          <w:color w:val="000033"/>
          <w:sz w:val="17"/>
          <w:szCs w:val="17"/>
          <w:shd w:val="clear" w:color="auto" w:fill="FFFFFF"/>
        </w:rPr>
        <w:t>10) The GEO ID has not yet been provided.</w:t>
      </w:r>
    </w:p>
    <w:p w14:paraId="2AA81B1B" w14:textId="742030A2" w:rsidR="00EC511A" w:rsidRDefault="006F3AA8" w:rsidP="006F3AA8">
      <w:pPr>
        <w:spacing w:after="0" w:line="240" w:lineRule="auto"/>
      </w:pPr>
      <w:r>
        <w:rPr>
          <w:rFonts w:ascii="Verdana" w:hAnsi="Verdana"/>
          <w:b/>
          <w:bCs/>
          <w:color w:val="000033"/>
          <w:sz w:val="17"/>
          <w:szCs w:val="17"/>
          <w:shd w:val="clear" w:color="auto" w:fill="FFFFFF"/>
        </w:rPr>
        <w:lastRenderedPageBreak/>
        <w:t>Response</w:t>
      </w:r>
      <w:r>
        <w:rPr>
          <w:rFonts w:ascii="Verdana" w:hAnsi="Verdana"/>
          <w:color w:val="000033"/>
          <w:sz w:val="17"/>
          <w:szCs w:val="17"/>
          <w:shd w:val="clear" w:color="auto" w:fill="FFFFFF"/>
        </w:rPr>
        <w:t xml:space="preserve">: Data has been uploaded on GEO </w:t>
      </w:r>
      <w:r>
        <w:rPr>
          <w:rFonts w:ascii="Verdana" w:hAnsi="Verdana"/>
          <w:sz w:val="17"/>
          <w:szCs w:val="17"/>
        </w:rPr>
        <w:t>(</w:t>
      </w:r>
      <w:r>
        <w:rPr>
          <w:rFonts w:ascii="Verdana" w:hAnsi="Verdana" w:cs="Arial"/>
          <w:sz w:val="17"/>
          <w:szCs w:val="17"/>
        </w:rPr>
        <w:t xml:space="preserve">accession number: GSE213723. </w:t>
      </w:r>
      <w:hyperlink r:id="rId18" w:tgtFrame="_blank" w:history="1">
        <w:r>
          <w:rPr>
            <w:rStyle w:val="Hyperlink"/>
            <w:rFonts w:ascii="Verdana" w:hAnsi="Verdana" w:cs="Arial"/>
            <w:sz w:val="17"/>
            <w:szCs w:val="17"/>
          </w:rPr>
          <w:t>https://www.ncbi.nlm.nih.gov/geo/query/acc.cgi?acc=GSE213723</w:t>
        </w:r>
      </w:hyperlink>
      <w:r>
        <w:rPr>
          <w:rFonts w:ascii="Verdana" w:hAnsi="Verdana" w:cs="Arial"/>
          <w:sz w:val="17"/>
          <w:szCs w:val="17"/>
        </w:rPr>
        <w:t xml:space="preserve">) and a data availability section has </w:t>
      </w:r>
      <w:proofErr w:type="spellStart"/>
      <w:r>
        <w:rPr>
          <w:rFonts w:ascii="Verdana" w:hAnsi="Verdana" w:cs="Arial"/>
          <w:sz w:val="17"/>
          <w:szCs w:val="17"/>
        </w:rPr>
        <w:t>ben</w:t>
      </w:r>
      <w:proofErr w:type="spellEnd"/>
      <w:r>
        <w:rPr>
          <w:rFonts w:ascii="Verdana" w:hAnsi="Verdana" w:cs="Arial"/>
          <w:sz w:val="17"/>
          <w:szCs w:val="17"/>
        </w:rPr>
        <w:t xml:space="preserve"> added to the paper</w:t>
      </w:r>
      <w:r>
        <w:rPr>
          <w:rFonts w:ascii="Verdana" w:hAnsi="Verdana"/>
          <w:color w:val="000033"/>
          <w:sz w:val="17"/>
          <w:szCs w:val="17"/>
        </w:rPr>
        <w:br/>
      </w:r>
    </w:p>
    <w:p w14:paraId="11F6BAE1" w14:textId="33D8FDD8" w:rsidR="006F3AA8" w:rsidRDefault="006F3AA8" w:rsidP="006F3AA8">
      <w:pPr>
        <w:spacing w:after="0" w:line="240" w:lineRule="auto"/>
        <w:rPr>
          <w:b/>
          <w:bCs/>
          <w:u w:val="single"/>
        </w:rPr>
      </w:pPr>
      <w:r>
        <w:rPr>
          <w:b/>
          <w:bCs/>
          <w:u w:val="single"/>
        </w:rPr>
        <w:t>2</w:t>
      </w:r>
      <w:r w:rsidRPr="006F3AA8">
        <w:rPr>
          <w:b/>
          <w:bCs/>
          <w:u w:val="single"/>
          <w:vertAlign w:val="superscript"/>
        </w:rPr>
        <w:t>nd</w:t>
      </w:r>
      <w:r>
        <w:rPr>
          <w:b/>
          <w:bCs/>
          <w:u w:val="single"/>
        </w:rPr>
        <w:t xml:space="preserve"> round</w:t>
      </w:r>
    </w:p>
    <w:p w14:paraId="48D56A30" w14:textId="7F47960D" w:rsidR="006F3AA8" w:rsidRPr="006F3AA8" w:rsidRDefault="006F3AA8" w:rsidP="006F3AA8">
      <w:pPr>
        <w:spacing w:after="0" w:line="240" w:lineRule="auto"/>
        <w:rPr>
          <w:b/>
          <w:bCs/>
        </w:rPr>
      </w:pPr>
      <w:r>
        <w:rPr>
          <w:b/>
          <w:bCs/>
        </w:rPr>
        <w:t>Reviewer 1</w:t>
      </w:r>
    </w:p>
    <w:p w14:paraId="409165EE" w14:textId="77777777" w:rsidR="006F3AA8" w:rsidRDefault="006F3AA8" w:rsidP="006F3AA8">
      <w:pPr>
        <w:spacing w:after="0" w:line="240" w:lineRule="auto"/>
      </w:pPr>
    </w:p>
    <w:p w14:paraId="268F1792" w14:textId="78546635" w:rsidR="006F3AA8" w:rsidRDefault="006F3AA8" w:rsidP="006F3AA8">
      <w:pPr>
        <w:spacing w:after="0" w:line="240" w:lineRule="auto"/>
      </w:pPr>
      <w:r>
        <w:t>&gt;&gt;&gt;Reviewer 1 Replies</w:t>
      </w:r>
      <w:r>
        <w:br/>
      </w:r>
      <w:r>
        <w:br/>
        <w:t xml:space="preserve">1. With the multiple analysis and sub-analyses, the manuscript becomes difficult to follow for the reader at times. Would benefit from the authors re-assessing readability with a fresh eye. </w:t>
      </w:r>
      <w:r>
        <w:br/>
      </w:r>
      <w:r>
        <w:br/>
        <w:t xml:space="preserve">Response: We have carefully revised the manuscript and have added more supplementary figures and explanations where necessary. </w:t>
      </w:r>
      <w:r>
        <w:br/>
      </w:r>
      <w:r>
        <w:br/>
        <w:t>&gt;&gt;&gt; Great</w:t>
      </w:r>
      <w:r>
        <w:br/>
      </w:r>
      <w:r>
        <w:br/>
        <w:t xml:space="preserve">2. The threshold for RRBS was an appropriate minimum coverage level of 20 reads at each CpG, however, concordance increases with depths &gt;30 [1] - could the authors explore whether higher reads depths show consistency with a representative fraction of their current results? Particularly the effect of only requiring at least 75% of the samples to reach 20 read minimum of the </w:t>
      </w:r>
      <w:proofErr w:type="spellStart"/>
      <w:r>
        <w:t>CpGs</w:t>
      </w:r>
      <w:proofErr w:type="spellEnd"/>
      <w:r>
        <w:t xml:space="preserve"> included in the 4-age group analysis?</w:t>
      </w:r>
      <w:r>
        <w:br/>
      </w:r>
      <w:r>
        <w:br/>
        <w:t xml:space="preserve">Response: We ran the analysis for differential methylation with coverage &gt;30 and permutation where at least 75% of CpG sites had coverage &gt;30 and results are shown below. As seen from the new figures below there is no change in the outcome of the analysis (no methylation change in stem vs non-stem tissues in young animals, ~5-6% changes in methylated CpG sites with aging in both stem and non-stem tissues, high concordance between aging changes in stem cells and those in non-stem cells; see table below). However, using a coverage &gt; 30 reduces the number of CpG sites </w:t>
      </w:r>
      <w:proofErr w:type="spellStart"/>
      <w:r>
        <w:t>analyzed</w:t>
      </w:r>
      <w:proofErr w:type="spellEnd"/>
      <w:r>
        <w:t xml:space="preserve"> from 125,077 to 70,547 resulting in a 43% reduction in the number of sites </w:t>
      </w:r>
      <w:proofErr w:type="spellStart"/>
      <w:r>
        <w:t>analyzed</w:t>
      </w:r>
      <w:proofErr w:type="spellEnd"/>
      <w:r>
        <w:t>. As a result, we prefer to keep the original analysis at 20 reads but provide the analysis at 30 reads in the supplementary figure 2, and on lines 146-151.</w:t>
      </w:r>
      <w:r>
        <w:br/>
      </w:r>
      <w:r>
        <w:br/>
        <w:t>&gt;&gt;&gt; OK great</w:t>
      </w:r>
      <w:r>
        <w:br/>
      </w:r>
      <w:r>
        <w:br/>
        <w:t>3. It is stated 'significant with age (p-value &lt; 0.05)' on line 90 - is this corrected or nominal?</w:t>
      </w:r>
      <w:r>
        <w:br/>
      </w:r>
      <w:r>
        <w:br/>
        <w:t>Response: The p-value&lt; 0.05 refers to the FDR (&lt; 0.05) corrected p-value that was used for most analysis except for the permutation analysis that uses an empirical p-value. However, upon closer reading of the paper we decided that the said analysis was redundant and have removed it from the manuscript.</w:t>
      </w:r>
      <w:r>
        <w:br/>
      </w:r>
      <w:r>
        <w:br/>
        <w:t>&gt;&gt;&gt; Ok</w:t>
      </w:r>
      <w:r>
        <w:br/>
      </w:r>
      <w:r>
        <w:br/>
        <w:t>4. Regarding the RNA-</w:t>
      </w:r>
      <w:proofErr w:type="spellStart"/>
      <w:r>
        <w:t>seq</w:t>
      </w:r>
      <w:proofErr w:type="spellEnd"/>
      <w:r>
        <w:t xml:space="preserve"> analysis and the non-promoter CpG island hypermethylation - was there any evidence of changes in expression of non-canonical isoforms with age?</w:t>
      </w:r>
      <w:r>
        <w:br/>
      </w:r>
      <w:r>
        <w:br/>
        <w:t>Response: We looked at non-canonical isoform changes between RNA-</w:t>
      </w:r>
      <w:proofErr w:type="spellStart"/>
      <w:r>
        <w:t>seq</w:t>
      </w:r>
      <w:proofErr w:type="spellEnd"/>
      <w:r>
        <w:t xml:space="preserve"> samples of different ages and did not find any genes that expresses non-canonical isoforms with age. However, we have a limited number of RNA-</w:t>
      </w:r>
      <w:proofErr w:type="spellStart"/>
      <w:r>
        <w:t>seq</w:t>
      </w:r>
      <w:proofErr w:type="spellEnd"/>
      <w:r>
        <w:t xml:space="preserve"> samples per age so we might not have enough power to properly conduct this analysis. This is now mentioned in the text on line 180-181 and was added to methods section as well. The figure for the analysis is shown below but due to constrains by genome biology </w:t>
      </w:r>
      <w:r>
        <w:lastRenderedPageBreak/>
        <w:t>on the number of supplements we will not including it in the paper</w:t>
      </w:r>
      <w:r>
        <w:br/>
      </w:r>
      <w:r>
        <w:br/>
        <w:t>&gt;&gt;&gt; OK</w:t>
      </w:r>
      <w:r>
        <w:br/>
      </w:r>
      <w:r>
        <w:br/>
        <w:t>5. Brief explanation should be included in the Results of what comprises the definition of the 10,366 loci in the Entropy results - so that the reader does not need to go trawling through methods to understand this.</w:t>
      </w:r>
      <w:r>
        <w:br/>
      </w:r>
      <w:r>
        <w:br/>
        <w:t xml:space="preserve">Response: We apologize for not being clear in the manuscript. The number 10,366 refers to the number of unique loci detected across all samples with a coverage greater than 40. For the PCA analysis we used 270 loci detected in all 44 samples which includes stem and </w:t>
      </w:r>
      <w:proofErr w:type="spellStart"/>
      <w:r>
        <w:t>nonstem</w:t>
      </w:r>
      <w:proofErr w:type="spellEnd"/>
      <w:r>
        <w:t xml:space="preserve"> cell samples of all ages (4,12,18 and 24 months). This was due to the nature of PCA analysis requiring all loci be present in all samples. However, for most of the other analysis, we did not require that loci be detected across all samples, thus there was a considerably larger number of loci in the other analysis. This has now been corrected in the text on line 199-200.</w:t>
      </w:r>
      <w:r>
        <w:br/>
      </w:r>
      <w:r>
        <w:br/>
        <w:t>&gt;&gt;&gt; OK</w:t>
      </w:r>
      <w:r>
        <w:br/>
      </w:r>
      <w:r>
        <w:br/>
        <w:t xml:space="preserve">6.Regarding the </w:t>
      </w:r>
      <w:proofErr w:type="spellStart"/>
      <w:r>
        <w:t>DNAm</w:t>
      </w:r>
      <w:proofErr w:type="spellEnd"/>
      <w:r>
        <w:t xml:space="preserve"> entropy calculated loci - how is this impacted on by CpG density - i.e., is the ageing signal being driven by dense or sparse CpG loci?- look at CpG island vs non island</w:t>
      </w:r>
      <w:r>
        <w:br/>
      </w:r>
      <w:r>
        <w:br/>
        <w:t xml:space="preserve">Response: In our data set 69% of the loci </w:t>
      </w:r>
      <w:proofErr w:type="spellStart"/>
      <w:r>
        <w:t>analyzed</w:t>
      </w:r>
      <w:proofErr w:type="spellEnd"/>
      <w:r>
        <w:t xml:space="preserve"> for entropy are located in </w:t>
      </w:r>
      <w:proofErr w:type="spellStart"/>
      <w:r>
        <w:t>nonCpG</w:t>
      </w:r>
      <w:proofErr w:type="spellEnd"/>
      <w:r>
        <w:t xml:space="preserve">-islands and 31% of the loci are located inside CpG-islands. We divided our analysis into CpG-island and non CpG-island and ran PCA analyses. Results show that both CpG-islands and non CpG-islands clustered with respect to age only. Further </w:t>
      </w:r>
      <w:proofErr w:type="spellStart"/>
      <w:r>
        <w:t>analyzing</w:t>
      </w:r>
      <w:proofErr w:type="spellEnd"/>
      <w:r>
        <w:t xml:space="preserve"> entropy change with age in CpG islands versus non-CpG islands we looked at change in methylation on the y-axis versus change in JSD on the left and CpG islands show more change in methylation and JSD with age when compared to non-CpG island. This will be added as supplementary figure no 8 and addressed in the paper on lines 221-229.</w:t>
      </w:r>
      <w:r>
        <w:br/>
      </w:r>
      <w:r>
        <w:br/>
        <w:t>&gt;&gt;&gt; OK</w:t>
      </w:r>
      <w:r>
        <w:br/>
      </w:r>
      <w:r>
        <w:br/>
        <w:t xml:space="preserve">7. This is not experimentally required for this paper - but authors should acknowledge in the Discussion that it would clearly be of significant interest if a consistent result was found with the now available Illumina mouse </w:t>
      </w:r>
      <w:proofErr w:type="spellStart"/>
      <w:r>
        <w:t>DNAm</w:t>
      </w:r>
      <w:proofErr w:type="spellEnd"/>
      <w:r>
        <w:t xml:space="preserve"> array - which avoids all the vagaries of stochastic sequencing depth variation.</w:t>
      </w:r>
      <w:r>
        <w:br/>
      </w:r>
      <w:r>
        <w:br/>
        <w:t>Response: We agree it would be of significant interest to determine the whether the same dynamics of islands and non-islands and other results we found in our study can be reproduced with illumine mouse arrays or with whole genome sequencing. It would provide more CpG sites for analysis, which could potentially avoid the vagaries of stochastic sequencing and would yield more CpG sites for analysis. However, one drawback in using Illumina mouse arrays is that one cannot measure entropy with array-based methods. We have added a statement regarding this in our discussion regarding this in line 316-320.</w:t>
      </w:r>
      <w:r>
        <w:br/>
      </w:r>
      <w:r>
        <w:br/>
        <w:t>&gt;&gt;&gt; OK</w:t>
      </w:r>
    </w:p>
    <w:p w14:paraId="58E1F843" w14:textId="6FFE09AA" w:rsidR="006F3AA8" w:rsidRDefault="006F3AA8" w:rsidP="006F3AA8">
      <w:pPr>
        <w:spacing w:after="0" w:line="240" w:lineRule="auto"/>
      </w:pPr>
    </w:p>
    <w:p w14:paraId="7FC5AB1A" w14:textId="785A5FA6" w:rsidR="006F3AA8" w:rsidRDefault="006F3AA8" w:rsidP="006F3AA8">
      <w:pPr>
        <w:spacing w:after="0" w:line="240" w:lineRule="auto"/>
        <w:rPr>
          <w:b/>
          <w:bCs/>
        </w:rPr>
      </w:pPr>
      <w:r>
        <w:rPr>
          <w:b/>
          <w:bCs/>
        </w:rPr>
        <w:t>Reviewer 2</w:t>
      </w:r>
    </w:p>
    <w:p w14:paraId="3E1457BE" w14:textId="76E6F538" w:rsidR="006F3AA8" w:rsidRDefault="006F3AA8" w:rsidP="006F3AA8">
      <w:pPr>
        <w:spacing w:after="0" w:line="240" w:lineRule="auto"/>
      </w:pPr>
      <w:r>
        <w:t>The authors have revised their manuscript and addressed each of my comments. Overall, I believe that the concept is innovative, but it is not an easy read and I still have the impression that some findings are overstated.</w:t>
      </w:r>
      <w:r>
        <w:br/>
        <w:t xml:space="preserve">- Their new method of entropy measurement by Jensen Shannon Distance (JSD) is different to </w:t>
      </w:r>
      <w:r>
        <w:lastRenderedPageBreak/>
        <w:t>Shannon´s Entropy, which is more commonly used. While this is now mentioned in few lines in the results section, the reader might be confused. The authors gave a better explanation in their rebuttal letter than in the text. A comparison of the results with Shannon´s Entropy might also be useful.</w:t>
      </w:r>
      <w:r>
        <w:br/>
        <w:t>- Their statement that “while DNA methylation overall is primarily tissue-specific, DNA methylation entropy is exclusively an aging phenomenon.” (</w:t>
      </w:r>
      <w:proofErr w:type="gramStart"/>
      <w:r>
        <w:t>line</w:t>
      </w:r>
      <w:proofErr w:type="gramEnd"/>
      <w:r>
        <w:t xml:space="preserve"> 204) seems to be primarily derived from the PCA results in figure 4C. </w:t>
      </w:r>
      <w:r>
        <w:br/>
        <w:t xml:space="preserve">- I have the impression that the statement that “DNA methylation drift and increased entropy with age is primarily caused by, and is a sensor for, stem cell replication in adult tissues.” (abstract) is mainly due the data points of colon and small intestine. </w:t>
      </w:r>
      <w:r>
        <w:br/>
        <w:t>- Figure 1 appears to be completely wrong: Figure 1a is no scheme, the difference of figure 1a and 1b is not clear. Figure 1c-e is identical with figure 3a-c.</w:t>
      </w:r>
      <w:r>
        <w:br/>
        <w:t>- In figure 5 the panels b and c are confused.</w:t>
      </w:r>
      <w:r>
        <w:br/>
        <w:t>- There are many small typos and inconsistencies throughout the manuscript: Line 69: "separate tissues"; In line 193 they now indicate the samples for their reference distribution “(average JSD in young samples in our)” – probably they refer to the 4-months mice of corresponding tissue, but this important point might be stated more clearly; Line 262 “show”; Line 297 “of methylation analysis”; line 318: “to see if”.</w:t>
      </w:r>
    </w:p>
    <w:p w14:paraId="155A4AF3" w14:textId="43FA0B71" w:rsidR="00283E33" w:rsidRDefault="00283E33" w:rsidP="006F3AA8">
      <w:pPr>
        <w:spacing w:after="0" w:line="240" w:lineRule="auto"/>
      </w:pPr>
    </w:p>
    <w:p w14:paraId="6A95CC9C" w14:textId="107EF3D5" w:rsidR="00283E33" w:rsidRDefault="00283E33" w:rsidP="006F3AA8">
      <w:pPr>
        <w:spacing w:after="0" w:line="240" w:lineRule="auto"/>
        <w:rPr>
          <w:b/>
          <w:bCs/>
        </w:rPr>
      </w:pPr>
      <w:r>
        <w:rPr>
          <w:b/>
          <w:bCs/>
        </w:rPr>
        <w:t>Authors’ response</w:t>
      </w:r>
    </w:p>
    <w:p w14:paraId="01C032C7" w14:textId="77777777" w:rsidR="00283E33" w:rsidRDefault="00283E33" w:rsidP="00283E33">
      <w:pPr>
        <w:rPr>
          <w:rFonts w:ascii="Times New Roman" w:eastAsia="Times New Roman" w:hAnsi="Times New Roman" w:cs="Times New Roman"/>
        </w:rPr>
      </w:pPr>
      <w:r>
        <w:rPr>
          <w:rFonts w:ascii="Times New Roman" w:eastAsia="Times New Roman" w:hAnsi="Times New Roman" w:cs="Times New Roman"/>
        </w:rPr>
        <w:t>We thank the reviewer for the comments and suggestions. Here are our responses:</w:t>
      </w:r>
    </w:p>
    <w:p w14:paraId="4568A488" w14:textId="77777777" w:rsidR="00283E33" w:rsidRDefault="00283E33" w:rsidP="00283E33">
      <w:pPr>
        <w:rPr>
          <w:rFonts w:ascii="Times New Roman" w:eastAsia="Times New Roman" w:hAnsi="Times New Roman" w:cs="Times New Roman"/>
        </w:rPr>
      </w:pPr>
    </w:p>
    <w:p w14:paraId="5A7CBDA3" w14:textId="77777777" w:rsidR="00283E33" w:rsidRDefault="00283E33" w:rsidP="00283E33">
      <w:pPr>
        <w:rPr>
          <w:rFonts w:ascii="Times New Roman" w:eastAsia="Times New Roman" w:hAnsi="Times New Roman" w:cs="Times New Roman"/>
          <w:i/>
          <w:iCs/>
          <w:color w:val="FF0000"/>
        </w:rPr>
      </w:pPr>
      <w:r>
        <w:rPr>
          <w:rFonts w:ascii="Times New Roman" w:eastAsia="Times New Roman" w:hAnsi="Times New Roman" w:cs="Times New Roman"/>
          <w:i/>
          <w:iCs/>
          <w:color w:val="FF0000"/>
        </w:rPr>
        <w:t xml:space="preserve">    Their new method of entropy measurement by Jensen Shannon Distance (JSD) is different to Shannon´s Entropy, which is more commonly used. While this is now mentioned in few lines in the results section, the reader might be confused. The authors gave a better explanation in their rebuttal letter than in the text. A comparison of the results with Shannon´s Entropy might also be useful.</w:t>
      </w:r>
    </w:p>
    <w:p w14:paraId="7E840AF3" w14:textId="77777777" w:rsidR="00283E33" w:rsidRDefault="00283E33" w:rsidP="00283E33">
      <w:pPr>
        <w:rPr>
          <w:rFonts w:ascii="Times New Roman" w:eastAsia="Times New Roman" w:hAnsi="Times New Roman" w:cs="Times New Roman"/>
        </w:rPr>
      </w:pPr>
    </w:p>
    <w:p w14:paraId="2AA50C55" w14:textId="77777777" w:rsidR="00283E33" w:rsidRDefault="00283E33" w:rsidP="00283E33">
      <w:pPr>
        <w:rPr>
          <w:rFonts w:ascii="Times New Roman" w:eastAsia="Times New Roman" w:hAnsi="Times New Roman" w:cs="Times New Roman"/>
        </w:rPr>
      </w:pPr>
      <w:r>
        <w:rPr>
          <w:rFonts w:ascii="Times New Roman" w:eastAsia="Times New Roman" w:hAnsi="Times New Roman" w:cs="Times New Roman"/>
          <w:b/>
          <w:bCs/>
        </w:rPr>
        <w:t>Response:</w:t>
      </w:r>
      <w:r>
        <w:rPr>
          <w:rFonts w:ascii="Times New Roman" w:eastAsia="Times New Roman" w:hAnsi="Times New Roman" w:cs="Times New Roman"/>
        </w:rPr>
        <w:t xml:space="preserve"> We have included a supplementary methods section that mirrors the previous rebuttal letter. In addition, supplementary figure 10 was updated with figures comparing changes in Shannon’s entropy between 4 month and 24-month sample in colon stem cells, colon </w:t>
      </w:r>
      <w:proofErr w:type="spellStart"/>
      <w:r>
        <w:rPr>
          <w:rFonts w:ascii="Times New Roman" w:eastAsia="Times New Roman" w:hAnsi="Times New Roman" w:cs="Times New Roman"/>
        </w:rPr>
        <w:t>nonstem</w:t>
      </w:r>
      <w:proofErr w:type="spellEnd"/>
      <w:r>
        <w:rPr>
          <w:rFonts w:ascii="Times New Roman" w:eastAsia="Times New Roman" w:hAnsi="Times New Roman" w:cs="Times New Roman"/>
        </w:rPr>
        <w:t xml:space="preserve"> cells, heart, liver, kidney, and spleen and this is now included in the paper in line 192-194. Essentially, JSD shows significant changes while Shannon’s entropy does not.</w:t>
      </w:r>
    </w:p>
    <w:p w14:paraId="18D6DCB1" w14:textId="77777777" w:rsidR="00283E33" w:rsidRDefault="00283E33" w:rsidP="00283E33">
      <w:pPr>
        <w:rPr>
          <w:rFonts w:ascii="Times New Roman" w:eastAsia="Times New Roman" w:hAnsi="Times New Roman" w:cs="Times New Roman"/>
        </w:rPr>
      </w:pPr>
    </w:p>
    <w:p w14:paraId="05DD348B" w14:textId="77777777" w:rsidR="00283E33" w:rsidRDefault="00283E33" w:rsidP="00283E33">
      <w:pPr>
        <w:rPr>
          <w:rFonts w:ascii="Times New Roman" w:eastAsia="Times New Roman" w:hAnsi="Times New Roman" w:cs="Times New Roman"/>
        </w:rPr>
      </w:pPr>
    </w:p>
    <w:p w14:paraId="12355B7E" w14:textId="77777777" w:rsidR="00283E33" w:rsidRDefault="00283E33" w:rsidP="00283E33">
      <w:pPr>
        <w:rPr>
          <w:rFonts w:ascii="Times New Roman" w:eastAsia="Times New Roman" w:hAnsi="Times New Roman" w:cs="Times New Roman"/>
          <w:color w:val="FF0000"/>
        </w:rPr>
      </w:pPr>
      <w:r>
        <w:rPr>
          <w:rFonts w:ascii="Times New Roman" w:eastAsia="Times New Roman" w:hAnsi="Times New Roman" w:cs="Times New Roman"/>
        </w:rPr>
        <w:t xml:space="preserve">-       </w:t>
      </w:r>
      <w:r>
        <w:rPr>
          <w:rFonts w:ascii="Times New Roman" w:eastAsia="Times New Roman" w:hAnsi="Times New Roman" w:cs="Times New Roman"/>
          <w:color w:val="FF0000"/>
        </w:rPr>
        <w:t>Their statement that “while DNA methylation overall is primarily tissue-specific, DNA methylation entropy is exclusively an aging phenomenon.” (</w:t>
      </w:r>
      <w:proofErr w:type="gramStart"/>
      <w:r>
        <w:rPr>
          <w:rFonts w:ascii="Times New Roman" w:eastAsia="Times New Roman" w:hAnsi="Times New Roman" w:cs="Times New Roman"/>
          <w:color w:val="FF0000"/>
        </w:rPr>
        <w:t>line</w:t>
      </w:r>
      <w:proofErr w:type="gramEnd"/>
      <w:r>
        <w:rPr>
          <w:rFonts w:ascii="Times New Roman" w:eastAsia="Times New Roman" w:hAnsi="Times New Roman" w:cs="Times New Roman"/>
          <w:color w:val="FF0000"/>
        </w:rPr>
        <w:t xml:space="preserve"> 204) seems to be primarily derived from the PCA results in figure 4C. </w:t>
      </w:r>
    </w:p>
    <w:p w14:paraId="24039D95" w14:textId="77777777" w:rsidR="00283E33" w:rsidRDefault="00283E33" w:rsidP="00283E33">
      <w:pPr>
        <w:rPr>
          <w:rFonts w:ascii="Times New Roman" w:eastAsia="Times New Roman" w:hAnsi="Times New Roman" w:cs="Times New Roman"/>
          <w:color w:val="FF0000"/>
        </w:rPr>
      </w:pPr>
    </w:p>
    <w:p w14:paraId="39C1286F" w14:textId="77777777" w:rsidR="00283E33" w:rsidRDefault="00283E33" w:rsidP="00283E33">
      <w:pP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Response:</w:t>
      </w:r>
      <w:r>
        <w:rPr>
          <w:rFonts w:ascii="Times New Roman" w:eastAsia="Times New Roman" w:hAnsi="Times New Roman" w:cs="Times New Roman"/>
          <w:color w:val="000000" w:themeColor="text1"/>
        </w:rPr>
        <w:t xml:space="preserve"> We came to that conclusion by comparing the associations between age and tissue for both standard DNA methylation (Figure 1b) and DNA methylation entropy (Figure 4C). If you consider the PCA in Figure 1b constructed using standard DNA methylation, the primary variation in the data (PC1) is explained by tissue type as can be seen in the clusters there. In contrast the PCA in Figure 4C, constructed using methylation entropy, shows that age explains the primary variation in the data (PC1). </w:t>
      </w:r>
      <w:r>
        <w:rPr>
          <w:rFonts w:ascii="Times New Roman" w:eastAsia="Times New Roman" w:hAnsi="Times New Roman" w:cs="Times New Roman"/>
          <w:b/>
          <w:bCs/>
          <w:color w:val="000000" w:themeColor="text1"/>
        </w:rPr>
        <w:t>This was addressed in the discussion section 302-307.</w:t>
      </w:r>
      <w:r>
        <w:rPr>
          <w:rFonts w:ascii="Times New Roman" w:eastAsia="Times New Roman" w:hAnsi="Times New Roman" w:cs="Times New Roman"/>
          <w:color w:val="000000" w:themeColor="text1"/>
        </w:rPr>
        <w:t xml:space="preserve"> </w:t>
      </w:r>
    </w:p>
    <w:p w14:paraId="4238F2DB" w14:textId="77777777" w:rsidR="00283E33" w:rsidRDefault="00283E33" w:rsidP="00283E33">
      <w:pPr>
        <w:rPr>
          <w:rFonts w:ascii="Times New Roman" w:eastAsia="Times New Roman" w:hAnsi="Times New Roman" w:cs="Times New Roman"/>
        </w:rPr>
      </w:pPr>
    </w:p>
    <w:p w14:paraId="1DC98ECE" w14:textId="77777777" w:rsidR="00283E33" w:rsidRDefault="00283E33" w:rsidP="00283E33">
      <w:pPr>
        <w:rPr>
          <w:rFonts w:ascii="Times New Roman" w:eastAsia="Times New Roman" w:hAnsi="Times New Roman" w:cs="Times New Roman"/>
        </w:rPr>
      </w:pPr>
    </w:p>
    <w:p w14:paraId="5878471B" w14:textId="77777777" w:rsidR="00283E33" w:rsidRDefault="00283E33" w:rsidP="00283E33">
      <w:pPr>
        <w:rPr>
          <w:rFonts w:ascii="Times New Roman" w:eastAsia="Times New Roman" w:hAnsi="Times New Roman" w:cs="Times New Roman"/>
          <w:color w:val="FF0000"/>
        </w:rPr>
      </w:pPr>
      <w:r>
        <w:rPr>
          <w:rFonts w:ascii="Times New Roman" w:eastAsia="Times New Roman" w:hAnsi="Times New Roman" w:cs="Times New Roman"/>
          <w:color w:val="FF0000"/>
        </w:rPr>
        <w:lastRenderedPageBreak/>
        <w:t xml:space="preserve">-       I have the impression that the statement that “DNA methylation drift and increased entropy with age is primarily caused by, and is a sensor for, stem cell replication in adult tissues.” (abstract) is mainly due the data points of colon and small intestine. </w:t>
      </w:r>
    </w:p>
    <w:p w14:paraId="194CC196" w14:textId="77777777" w:rsidR="00283E33" w:rsidRDefault="00283E33" w:rsidP="00283E33">
      <w:pPr>
        <w:rPr>
          <w:rFonts w:ascii="Times New Roman" w:eastAsia="Times New Roman" w:hAnsi="Times New Roman" w:cs="Times New Roman"/>
        </w:rPr>
      </w:pPr>
    </w:p>
    <w:p w14:paraId="30AB44C0" w14:textId="77777777" w:rsidR="00283E33" w:rsidRDefault="00283E33" w:rsidP="00283E33">
      <w:pPr>
        <w:rPr>
          <w:rFonts w:ascii="Times New Roman" w:eastAsia="Times New Roman" w:hAnsi="Times New Roman" w:cs="Times New Roman"/>
        </w:rPr>
      </w:pPr>
      <w:r>
        <w:rPr>
          <w:rFonts w:ascii="Times New Roman" w:eastAsia="Times New Roman" w:hAnsi="Times New Roman" w:cs="Times New Roman"/>
          <w:b/>
          <w:bCs/>
        </w:rPr>
        <w:t>Response:</w:t>
      </w:r>
      <w:r>
        <w:rPr>
          <w:rFonts w:ascii="Times New Roman" w:eastAsia="Times New Roman" w:hAnsi="Times New Roman" w:cs="Times New Roman"/>
        </w:rPr>
        <w:t xml:space="preserve"> We respectfully disagree. We primarily came to this conclusion with data from three main types of tissues – non-proliferative (best example being heart), mildly proliferative (blood and lung for example) and very highly proliferative (colon and small intestinal epithelium). Aligning these is sufficient to give the strong correlation we observe, and our conclusion. Not all tissues fit neatly in Figure 5b obviously, but this likely reflects biology and unknowns. For example, liver can be quiescent or proliferative depending on exposures over a lifetime. In some cases, the methylation data can be more accurate than the reported tissue renewal rates (blood and spleen likely have a shared ultimate stem cell, explaining similar methylation but different reported turnover rates). Also, methylation data for the organs was generated using whole organs and not purified cell types like epithelium. Some organs are constituted of cell types derived from different stem cells leading to skewing of results. </w:t>
      </w:r>
      <w:r>
        <w:rPr>
          <w:rFonts w:ascii="Times New Roman" w:eastAsia="Times New Roman" w:hAnsi="Times New Roman" w:cs="Times New Roman"/>
          <w:b/>
          <w:bCs/>
        </w:rPr>
        <w:t>This has been addressed in the discussion section line 311-323.</w:t>
      </w:r>
      <w:r>
        <w:rPr>
          <w:rFonts w:ascii="Times New Roman" w:eastAsia="Times New Roman" w:hAnsi="Times New Roman" w:cs="Times New Roman"/>
        </w:rPr>
        <w:t xml:space="preserve"> </w:t>
      </w:r>
    </w:p>
    <w:p w14:paraId="35794880" w14:textId="77777777" w:rsidR="00283E33" w:rsidRDefault="00283E33" w:rsidP="00283E33">
      <w:pPr>
        <w:rPr>
          <w:rFonts w:ascii="Times New Roman" w:eastAsia="Times New Roman" w:hAnsi="Times New Roman" w:cs="Times New Roman"/>
        </w:rPr>
      </w:pPr>
    </w:p>
    <w:p w14:paraId="08DF2CAC" w14:textId="77777777" w:rsidR="00283E33" w:rsidRDefault="00283E33" w:rsidP="00283E33">
      <w:pPr>
        <w:rPr>
          <w:rFonts w:ascii="Times New Roman" w:eastAsia="Times New Roman" w:hAnsi="Times New Roman" w:cs="Times New Roman"/>
        </w:rPr>
      </w:pPr>
    </w:p>
    <w:p w14:paraId="74C1719D" w14:textId="77777777" w:rsidR="00283E33" w:rsidRDefault="00283E33" w:rsidP="00283E33">
      <w:pPr>
        <w:rPr>
          <w:rFonts w:ascii="Times New Roman" w:eastAsia="Times New Roman" w:hAnsi="Times New Roman" w:cs="Times New Roman"/>
        </w:rPr>
      </w:pPr>
    </w:p>
    <w:p w14:paraId="3C30778A" w14:textId="77777777" w:rsidR="00283E33" w:rsidRDefault="00283E33" w:rsidP="00283E33">
      <w:pPr>
        <w:rPr>
          <w:rFonts w:ascii="Times New Roman" w:eastAsia="Times New Roman" w:hAnsi="Times New Roman" w:cs="Times New Roman"/>
          <w:color w:val="FF0000"/>
        </w:rPr>
      </w:pPr>
      <w:r>
        <w:rPr>
          <w:rFonts w:ascii="Times New Roman" w:eastAsia="Times New Roman" w:hAnsi="Times New Roman" w:cs="Times New Roman"/>
          <w:color w:val="FF0000"/>
        </w:rPr>
        <w:t>-       Figure 1 appears to be completely wrong: Figure 1a is no scheme, the difference of figure 1a and 1b is not clear.</w:t>
      </w:r>
    </w:p>
    <w:p w14:paraId="2A66CB5E" w14:textId="77777777" w:rsidR="00283E33" w:rsidRDefault="00283E33" w:rsidP="00283E33">
      <w:pPr>
        <w:rPr>
          <w:rFonts w:ascii="Times New Roman" w:eastAsia="Times New Roman" w:hAnsi="Times New Roman" w:cs="Times New Roman"/>
          <w:color w:val="FF0000"/>
        </w:rPr>
      </w:pPr>
      <w:r>
        <w:rPr>
          <w:rFonts w:ascii="Times New Roman" w:eastAsia="Times New Roman" w:hAnsi="Times New Roman" w:cs="Times New Roman"/>
          <w:color w:val="FF0000"/>
        </w:rPr>
        <w:t>Figure 1c-e is identical with figure 3a-c.</w:t>
      </w:r>
    </w:p>
    <w:p w14:paraId="44948DA5" w14:textId="77777777" w:rsidR="00283E33" w:rsidRDefault="00283E33" w:rsidP="00283E33">
      <w:pPr>
        <w:rPr>
          <w:rFonts w:ascii="Times New Roman" w:eastAsia="Times New Roman" w:hAnsi="Times New Roman" w:cs="Times New Roman"/>
        </w:rPr>
      </w:pPr>
    </w:p>
    <w:p w14:paraId="120ACB23" w14:textId="77777777" w:rsidR="00283E33" w:rsidRDefault="00283E33" w:rsidP="00283E33">
      <w:pPr>
        <w:rPr>
          <w:rFonts w:ascii="Times New Roman" w:eastAsia="Times New Roman" w:hAnsi="Times New Roman" w:cs="Times New Roman"/>
        </w:rPr>
      </w:pPr>
      <w:r>
        <w:rPr>
          <w:rFonts w:ascii="Times New Roman" w:eastAsia="Times New Roman" w:hAnsi="Times New Roman" w:cs="Times New Roman"/>
          <w:b/>
          <w:bCs/>
        </w:rPr>
        <w:t>Response:</w:t>
      </w:r>
      <w:r>
        <w:rPr>
          <w:rFonts w:ascii="Times New Roman" w:eastAsia="Times New Roman" w:hAnsi="Times New Roman" w:cs="Times New Roman"/>
        </w:rPr>
        <w:t xml:space="preserve">  We apologize for this confusion.  The wrong file was uploaded. This has been corrected</w:t>
      </w:r>
    </w:p>
    <w:p w14:paraId="431FA92C" w14:textId="77777777" w:rsidR="00283E33" w:rsidRDefault="00283E33" w:rsidP="00283E33">
      <w:pPr>
        <w:rPr>
          <w:rFonts w:ascii="Times New Roman" w:eastAsia="Times New Roman" w:hAnsi="Times New Roman" w:cs="Times New Roman"/>
        </w:rPr>
      </w:pPr>
    </w:p>
    <w:p w14:paraId="30A9E450" w14:textId="77777777" w:rsidR="00283E33" w:rsidRDefault="00283E33" w:rsidP="00283E33">
      <w:pPr>
        <w:rPr>
          <w:rFonts w:ascii="Times New Roman" w:eastAsia="Times New Roman" w:hAnsi="Times New Roman" w:cs="Times New Roman"/>
        </w:rPr>
      </w:pPr>
    </w:p>
    <w:p w14:paraId="00A8970D" w14:textId="77777777" w:rsidR="00283E33" w:rsidRDefault="00283E33" w:rsidP="00283E33">
      <w:pPr>
        <w:rPr>
          <w:rFonts w:ascii="Times New Roman" w:eastAsia="Times New Roman" w:hAnsi="Times New Roman" w:cs="Times New Roman"/>
        </w:rPr>
      </w:pPr>
    </w:p>
    <w:p w14:paraId="5EB773DC" w14:textId="77777777" w:rsidR="00283E33" w:rsidRDefault="00283E33" w:rsidP="00283E33">
      <w:pPr>
        <w:rPr>
          <w:rFonts w:ascii="Times New Roman" w:eastAsia="Times New Roman" w:hAnsi="Times New Roman" w:cs="Times New Roman"/>
          <w:color w:val="FF0000"/>
        </w:rPr>
      </w:pPr>
      <w:r>
        <w:rPr>
          <w:rFonts w:ascii="Times New Roman" w:eastAsia="Times New Roman" w:hAnsi="Times New Roman" w:cs="Times New Roman"/>
          <w:color w:val="FF0000"/>
        </w:rPr>
        <w:t>-       In figure 5 the panels b and c are confused.</w:t>
      </w:r>
    </w:p>
    <w:p w14:paraId="3EE4AA39" w14:textId="77777777" w:rsidR="00283E33" w:rsidRDefault="00283E33" w:rsidP="00283E33">
      <w:pPr>
        <w:rPr>
          <w:rFonts w:ascii="Times New Roman" w:eastAsia="Times New Roman" w:hAnsi="Times New Roman" w:cs="Times New Roman"/>
        </w:rPr>
      </w:pPr>
      <w:r>
        <w:rPr>
          <w:rFonts w:ascii="Times New Roman" w:eastAsia="Times New Roman" w:hAnsi="Times New Roman" w:cs="Times New Roman"/>
          <w:b/>
          <w:bCs/>
        </w:rPr>
        <w:t>Response:</w:t>
      </w:r>
      <w:r>
        <w:rPr>
          <w:rFonts w:ascii="Times New Roman" w:eastAsia="Times New Roman" w:hAnsi="Times New Roman" w:cs="Times New Roman"/>
        </w:rPr>
        <w:t xml:space="preserve"> We have fixed this error.</w:t>
      </w:r>
    </w:p>
    <w:p w14:paraId="65630FD7" w14:textId="77777777" w:rsidR="00283E33" w:rsidRDefault="00283E33" w:rsidP="00283E33">
      <w:pPr>
        <w:rPr>
          <w:rFonts w:ascii="Times New Roman" w:eastAsia="Times New Roman" w:hAnsi="Times New Roman" w:cs="Times New Roman"/>
        </w:rPr>
      </w:pPr>
    </w:p>
    <w:p w14:paraId="2463A1B8" w14:textId="77777777" w:rsidR="00283E33" w:rsidRDefault="00283E33" w:rsidP="00283E33">
      <w:pPr>
        <w:rPr>
          <w:rFonts w:ascii="Times New Roman" w:eastAsia="Times New Roman" w:hAnsi="Times New Roman" w:cs="Times New Roman"/>
          <w:color w:val="FF0000"/>
        </w:rPr>
      </w:pPr>
      <w:r>
        <w:rPr>
          <w:rFonts w:ascii="Times New Roman" w:eastAsia="Times New Roman" w:hAnsi="Times New Roman" w:cs="Times New Roman"/>
          <w:color w:val="FF0000"/>
        </w:rPr>
        <w:t>-       There are many small typos and inconsistencies throughout the manuscript: Line 69: "separate tissues"; In line 193 they now indicate the samples for their reference distribution “(average JSD in young samples in our)” – probably they refer to the 4-months mice of corresponding tissue, but this important  point might be stated more clearly; Line 262 “show”; Line 297 “of methylation analysis”; line 318: “to see if”.</w:t>
      </w:r>
    </w:p>
    <w:p w14:paraId="1D3FD7ED" w14:textId="77777777" w:rsidR="00283E33" w:rsidRDefault="00283E33" w:rsidP="00283E33">
      <w:pPr>
        <w:rPr>
          <w:rFonts w:ascii="Times New Roman" w:eastAsia="Times New Roman" w:hAnsi="Times New Roman" w:cs="Times New Roman"/>
        </w:rPr>
      </w:pPr>
    </w:p>
    <w:p w14:paraId="354B6EE6" w14:textId="77777777" w:rsidR="00283E33" w:rsidRDefault="00283E33" w:rsidP="00283E33">
      <w:pPr>
        <w:rPr>
          <w:rFonts w:ascii="Times New Roman" w:eastAsia="Times New Roman" w:hAnsi="Times New Roman" w:cs="Times New Roman"/>
        </w:rPr>
      </w:pPr>
      <w:r>
        <w:rPr>
          <w:rFonts w:ascii="Times New Roman" w:eastAsia="Times New Roman" w:hAnsi="Times New Roman" w:cs="Times New Roman"/>
          <w:b/>
          <w:bCs/>
        </w:rPr>
        <w:t>Response:</w:t>
      </w:r>
      <w:r>
        <w:rPr>
          <w:rFonts w:ascii="Times New Roman" w:eastAsia="Times New Roman" w:hAnsi="Times New Roman" w:cs="Times New Roman"/>
        </w:rPr>
        <w:t xml:space="preserve"> We have corrected the above-mentioned errors.</w:t>
      </w:r>
    </w:p>
    <w:p w14:paraId="29EA3231" w14:textId="77777777" w:rsidR="00283E33" w:rsidRDefault="00283E33" w:rsidP="00283E33">
      <w:pPr>
        <w:rPr>
          <w:rFonts w:ascii="Times New Roman" w:eastAsia="Times New Roman" w:hAnsi="Times New Roman" w:cs="Times New Roman"/>
        </w:rPr>
      </w:pPr>
    </w:p>
    <w:p w14:paraId="715CDEA9" w14:textId="77777777" w:rsidR="00283E33" w:rsidRPr="00283E33" w:rsidRDefault="00283E33" w:rsidP="006F3AA8">
      <w:pPr>
        <w:spacing w:after="0" w:line="240" w:lineRule="auto"/>
      </w:pPr>
    </w:p>
    <w:sectPr w:rsidR="00283E33" w:rsidRPr="00283E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693AFE"/>
    <w:multiLevelType w:val="hybridMultilevel"/>
    <w:tmpl w:val="E08E33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DBA"/>
    <w:rsid w:val="00122D85"/>
    <w:rsid w:val="00283E33"/>
    <w:rsid w:val="002D0DBA"/>
    <w:rsid w:val="003076E2"/>
    <w:rsid w:val="003B71F1"/>
    <w:rsid w:val="00581C31"/>
    <w:rsid w:val="00627805"/>
    <w:rsid w:val="006F3AA8"/>
    <w:rsid w:val="00A13E01"/>
    <w:rsid w:val="00EC5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844CC"/>
  <w15:chartTrackingRefBased/>
  <w15:docId w15:val="{7CDBDADA-5552-4F93-BD28-3FF57B374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E01"/>
    <w:pPr>
      <w:ind w:left="720"/>
      <w:contextualSpacing/>
    </w:pPr>
  </w:style>
  <w:style w:type="character" w:styleId="Hyperlink">
    <w:name w:val="Hyperlink"/>
    <w:basedOn w:val="DefaultParagraphFont"/>
    <w:uiPriority w:val="99"/>
    <w:semiHidden/>
    <w:unhideWhenUsed/>
    <w:rsid w:val="006F3AA8"/>
    <w:rPr>
      <w:color w:val="0563C1" w:themeColor="hyperlink"/>
      <w:u w:val="single"/>
    </w:rPr>
  </w:style>
  <w:style w:type="paragraph" w:styleId="NormalWeb">
    <w:name w:val="Normal (Web)"/>
    <w:basedOn w:val="Normal"/>
    <w:uiPriority w:val="99"/>
    <w:semiHidden/>
    <w:unhideWhenUsed/>
    <w:rsid w:val="006F3AA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aption">
    <w:name w:val="caption"/>
    <w:basedOn w:val="Normal"/>
    <w:next w:val="Normal"/>
    <w:uiPriority w:val="35"/>
    <w:semiHidden/>
    <w:unhideWhenUsed/>
    <w:qFormat/>
    <w:rsid w:val="006F3AA8"/>
    <w:pPr>
      <w:spacing w:after="200" w:line="240" w:lineRule="auto"/>
    </w:pPr>
    <w:rPr>
      <w:i/>
      <w:iCs/>
      <w:color w:val="44546A" w:themeColor="text2"/>
      <w:sz w:val="18"/>
      <w:szCs w:val="18"/>
      <w:lang w:val="en-US"/>
    </w:rPr>
  </w:style>
  <w:style w:type="table" w:styleId="TableGrid">
    <w:name w:val="Table Grid"/>
    <w:basedOn w:val="TableNormal"/>
    <w:uiPriority w:val="39"/>
    <w:rsid w:val="006F3AA8"/>
    <w:pPr>
      <w:spacing w:after="0" w:line="240" w:lineRule="auto"/>
    </w:pPr>
    <w:rPr>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40731">
      <w:bodyDiv w:val="1"/>
      <w:marLeft w:val="0"/>
      <w:marRight w:val="0"/>
      <w:marTop w:val="0"/>
      <w:marBottom w:val="0"/>
      <w:divBdr>
        <w:top w:val="none" w:sz="0" w:space="0" w:color="auto"/>
        <w:left w:val="none" w:sz="0" w:space="0" w:color="auto"/>
        <w:bottom w:val="none" w:sz="0" w:space="0" w:color="auto"/>
        <w:right w:val="none" w:sz="0" w:space="0" w:color="auto"/>
      </w:divBdr>
    </w:div>
    <w:div w:id="46092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emf"/><Relationship Id="rId18" Type="http://schemas.openxmlformats.org/officeDocument/2006/relationships/hyperlink" Target="https://www.ncbi.nlm.nih.gov/geo/query/acc.cgi?acc=GSE213723" TargetMode="Externa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png"/><Relationship Id="rId15" Type="http://schemas.openxmlformats.org/officeDocument/2006/relationships/image" Target="media/image11.emf"/><Relationship Id="rId10" Type="http://schemas.openxmlformats.org/officeDocument/2006/relationships/image" Target="media/image6.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18</Pages>
  <Words>6208</Words>
  <Characters>35388</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41513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4</cp:revision>
  <dcterms:created xsi:type="dcterms:W3CDTF">2023-02-01T11:28:00Z</dcterms:created>
  <dcterms:modified xsi:type="dcterms:W3CDTF">2023-02-05T17:17:00Z</dcterms:modified>
</cp:coreProperties>
</file>