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E15924" w14:textId="77777777" w:rsidR="00427871" w:rsidRDefault="00000000">
      <w:pPr>
        <w:spacing w:after="229"/>
        <w:ind w:left="506" w:firstLine="0"/>
      </w:pPr>
      <w:r>
        <w:rPr>
          <w:noProof/>
        </w:rPr>
        <w:drawing>
          <wp:inline distT="0" distB="0" distL="0" distR="0" wp14:anchorId="59CB5F40" wp14:editId="6A11FCB4">
            <wp:extent cx="5699314" cy="5854090"/>
            <wp:effectExtent l="0" t="0" r="0" b="0"/>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6"/>
                    <a:stretch>
                      <a:fillRect/>
                    </a:stretch>
                  </pic:blipFill>
                  <pic:spPr>
                    <a:xfrm>
                      <a:off x="0" y="0"/>
                      <a:ext cx="5699314" cy="5854090"/>
                    </a:xfrm>
                    <a:prstGeom prst="rect">
                      <a:avLst/>
                    </a:prstGeom>
                  </pic:spPr>
                </pic:pic>
              </a:graphicData>
            </a:graphic>
          </wp:inline>
        </w:drawing>
      </w:r>
    </w:p>
    <w:p w14:paraId="0525ABF9" w14:textId="4247A863" w:rsidR="00427871" w:rsidRDefault="004B285A">
      <w:pPr>
        <w:ind w:left="-5"/>
      </w:pPr>
      <w:r>
        <w:rPr>
          <w:b/>
        </w:rPr>
        <w:t>Figure</w:t>
      </w:r>
      <w:r>
        <w:rPr>
          <w:b/>
        </w:rPr>
        <w:t xml:space="preserve"> </w:t>
      </w:r>
      <w:r w:rsidR="00000000">
        <w:rPr>
          <w:b/>
        </w:rPr>
        <w:t xml:space="preserve">S1. </w:t>
      </w:r>
      <w:r w:rsidR="00000000">
        <w:t>The heritability of gene expression and alternative splicing in maize lines (a-b) Correlation between broad sense heritability – individual sample level expression – and narrow sense heritability – for average expression level across all replicates of a given genotype – calculated for the 19,565 expressed genes in this study. Note that because here h</w:t>
      </w:r>
      <w:r w:rsidR="00000000">
        <w:rPr>
          <w:vertAlign w:val="superscript"/>
        </w:rPr>
        <w:t xml:space="preserve">2 </w:t>
      </w:r>
      <w:r w:rsidR="00000000">
        <w:t>is based on the mean expression per genotype and H</w:t>
      </w:r>
      <w:r w:rsidR="00000000">
        <w:rPr>
          <w:vertAlign w:val="superscript"/>
        </w:rPr>
        <w:t xml:space="preserve">2 </w:t>
      </w:r>
      <w:r w:rsidR="00000000">
        <w:t>based on the variance of expression across individual samples h</w:t>
      </w:r>
      <w:r w:rsidR="00000000">
        <w:rPr>
          <w:vertAlign w:val="superscript"/>
        </w:rPr>
        <w:t xml:space="preserve">2 </w:t>
      </w:r>
      <w:r w:rsidR="00000000">
        <w:t>it is theoretically possible for estimated h</w:t>
      </w:r>
      <w:r w:rsidR="00000000">
        <w:rPr>
          <w:vertAlign w:val="superscript"/>
        </w:rPr>
        <w:t xml:space="preserve">2 </w:t>
      </w:r>
      <w:r w:rsidR="00000000">
        <w:t>to exceed H</w:t>
      </w:r>
      <w:r w:rsidR="00000000">
        <w:rPr>
          <w:vertAlign w:val="superscript"/>
        </w:rPr>
        <w:t>2</w:t>
      </w:r>
      <w:r w:rsidR="00000000">
        <w:t>. Red dashed line indicate</w:t>
      </w:r>
      <w:r>
        <w:t>s</w:t>
      </w:r>
      <w:r w:rsidR="00000000">
        <w:t xml:space="preserve"> the x=y relationship corresponding to H</w:t>
      </w:r>
      <w:r w:rsidR="00000000">
        <w:rPr>
          <w:vertAlign w:val="superscript"/>
        </w:rPr>
        <w:t>2</w:t>
      </w:r>
      <w:r w:rsidR="00000000">
        <w:t>=h</w:t>
      </w:r>
      <w:r w:rsidR="00000000">
        <w:rPr>
          <w:vertAlign w:val="superscript"/>
        </w:rPr>
        <w:t>2</w:t>
      </w:r>
      <w:r w:rsidR="00000000">
        <w:t>. (c) Distribution of broad sense heritability of alternative splicing based on PSI values of 82,028 introns. (d) Distribution of broad sense heritability of alternative splicing based on PSI values of 82,028 introns in temperate and tropical maize.</w:t>
      </w:r>
    </w:p>
    <w:p w14:paraId="11432688" w14:textId="77777777" w:rsidR="00427871" w:rsidRDefault="00000000">
      <w:pPr>
        <w:spacing w:after="229"/>
        <w:ind w:left="506" w:firstLine="0"/>
      </w:pPr>
      <w:r>
        <w:rPr>
          <w:noProof/>
        </w:rPr>
        <w:lastRenderedPageBreak/>
        <w:drawing>
          <wp:inline distT="0" distB="0" distL="0" distR="0" wp14:anchorId="4F187927" wp14:editId="78ECBF5B">
            <wp:extent cx="5698580" cy="4496302"/>
            <wp:effectExtent l="0" t="0" r="0" b="0"/>
            <wp:docPr id="53" name="Picture 53"/>
            <wp:cNvGraphicFramePr/>
            <a:graphic xmlns:a="http://schemas.openxmlformats.org/drawingml/2006/main">
              <a:graphicData uri="http://schemas.openxmlformats.org/drawingml/2006/picture">
                <pic:pic xmlns:pic="http://schemas.openxmlformats.org/drawingml/2006/picture">
                  <pic:nvPicPr>
                    <pic:cNvPr id="53" name="Picture 53"/>
                    <pic:cNvPicPr/>
                  </pic:nvPicPr>
                  <pic:blipFill>
                    <a:blip r:embed="rId7"/>
                    <a:stretch>
                      <a:fillRect/>
                    </a:stretch>
                  </pic:blipFill>
                  <pic:spPr>
                    <a:xfrm>
                      <a:off x="0" y="0"/>
                      <a:ext cx="5698580" cy="4496302"/>
                    </a:xfrm>
                    <a:prstGeom prst="rect">
                      <a:avLst/>
                    </a:prstGeom>
                  </pic:spPr>
                </pic:pic>
              </a:graphicData>
            </a:graphic>
          </wp:inline>
        </w:drawing>
      </w:r>
    </w:p>
    <w:p w14:paraId="5829F64A" w14:textId="001B3846" w:rsidR="00427871" w:rsidRDefault="004B285A">
      <w:pPr>
        <w:ind w:left="-5"/>
      </w:pPr>
      <w:r>
        <w:rPr>
          <w:b/>
        </w:rPr>
        <w:t>Figure</w:t>
      </w:r>
      <w:r>
        <w:rPr>
          <w:b/>
        </w:rPr>
        <w:t xml:space="preserve"> </w:t>
      </w:r>
      <w:r w:rsidR="00000000">
        <w:rPr>
          <w:b/>
        </w:rPr>
        <w:t xml:space="preserve">S2. </w:t>
      </w:r>
      <w:r w:rsidR="00000000">
        <w:t xml:space="preserve">Gene Ontology terms enriched in the genes exhibiting reduced expression heritability in temperate maize. Significantly enriched GO terms (FDR </w:t>
      </w:r>
      <w:r w:rsidR="00000000">
        <w:rPr>
          <w:rFonts w:ascii="Cambria" w:eastAsia="Cambria" w:hAnsi="Cambria" w:cs="Cambria"/>
        </w:rPr>
        <w:t xml:space="preserve">≤ </w:t>
      </w:r>
      <w:r w:rsidR="00000000">
        <w:t xml:space="preserve">0.05) for 1,272 genes exhibiting at least an 80% reduction of expression heritability in the temperate maize population relative to the tropical maize population. Bars indicate the enrichment factor (number of genes associated with the overrepresented GO term in the study gene set over the number of genes associated with the GO term in the background gene set). The background gene set is the 19,565 genes used for the </w:t>
      </w:r>
      <w:proofErr w:type="spellStart"/>
      <w:r w:rsidR="00000000">
        <w:t>eGWAS</w:t>
      </w:r>
      <w:proofErr w:type="spellEnd"/>
      <w:r w:rsidR="00000000">
        <w:t>. Negative Log</w:t>
      </w:r>
      <w:r w:rsidR="00000000">
        <w:rPr>
          <w:vertAlign w:val="subscript"/>
        </w:rPr>
        <w:t>10</w:t>
      </w:r>
      <w:r w:rsidR="00000000">
        <w:t xml:space="preserve">-transformed multi-test corrected </w:t>
      </w:r>
      <w:r w:rsidR="00000000">
        <w:rPr>
          <w:i/>
        </w:rPr>
        <w:t>p</w:t>
      </w:r>
      <w:r w:rsidR="00000000">
        <w:t>-values are color-coded.</w:t>
      </w:r>
    </w:p>
    <w:p w14:paraId="5CDA4847" w14:textId="77777777" w:rsidR="00427871" w:rsidRDefault="00000000">
      <w:pPr>
        <w:spacing w:after="230"/>
        <w:ind w:left="506" w:firstLine="0"/>
      </w:pPr>
      <w:r>
        <w:rPr>
          <w:noProof/>
        </w:rPr>
        <w:lastRenderedPageBreak/>
        <w:drawing>
          <wp:inline distT="0" distB="0" distL="0" distR="0" wp14:anchorId="2D75FF5E" wp14:editId="22D295FD">
            <wp:extent cx="5699115" cy="6027408"/>
            <wp:effectExtent l="0" t="0" r="0" b="0"/>
            <wp:docPr id="82" name="Picture 82"/>
            <wp:cNvGraphicFramePr/>
            <a:graphic xmlns:a="http://schemas.openxmlformats.org/drawingml/2006/main">
              <a:graphicData uri="http://schemas.openxmlformats.org/drawingml/2006/picture">
                <pic:pic xmlns:pic="http://schemas.openxmlformats.org/drawingml/2006/picture">
                  <pic:nvPicPr>
                    <pic:cNvPr id="82" name="Picture 82"/>
                    <pic:cNvPicPr/>
                  </pic:nvPicPr>
                  <pic:blipFill>
                    <a:blip r:embed="rId8"/>
                    <a:stretch>
                      <a:fillRect/>
                    </a:stretch>
                  </pic:blipFill>
                  <pic:spPr>
                    <a:xfrm>
                      <a:off x="0" y="0"/>
                      <a:ext cx="5699115" cy="6027408"/>
                    </a:xfrm>
                    <a:prstGeom prst="rect">
                      <a:avLst/>
                    </a:prstGeom>
                  </pic:spPr>
                </pic:pic>
              </a:graphicData>
            </a:graphic>
          </wp:inline>
        </w:drawing>
      </w:r>
    </w:p>
    <w:p w14:paraId="3D13AC00" w14:textId="4934E343" w:rsidR="00427871" w:rsidRDefault="004B285A">
      <w:pPr>
        <w:ind w:left="-5"/>
      </w:pPr>
      <w:r>
        <w:rPr>
          <w:b/>
        </w:rPr>
        <w:t>Figure</w:t>
      </w:r>
      <w:r>
        <w:rPr>
          <w:b/>
        </w:rPr>
        <w:t xml:space="preserve"> </w:t>
      </w:r>
      <w:r w:rsidR="00000000">
        <w:rPr>
          <w:b/>
        </w:rPr>
        <w:t xml:space="preserve">S3. </w:t>
      </w:r>
      <w:r w:rsidR="00000000">
        <w:t xml:space="preserve">Global pattern of </w:t>
      </w:r>
      <w:proofErr w:type="spellStart"/>
      <w:r w:rsidR="00000000">
        <w:t>eQTL</w:t>
      </w:r>
      <w:proofErr w:type="spellEnd"/>
      <w:r w:rsidR="00000000">
        <w:t xml:space="preserve"> and false positive control (a) Number of genes with one or more significant peaks and the proportion of </w:t>
      </w:r>
      <w:r w:rsidR="00000000">
        <w:rPr>
          <w:i/>
        </w:rPr>
        <w:t>cis</w:t>
      </w:r>
      <w:r w:rsidR="00000000">
        <w:t xml:space="preserve">- and detected </w:t>
      </w:r>
      <w:r w:rsidR="00000000">
        <w:rPr>
          <w:i/>
        </w:rPr>
        <w:t>trans</w:t>
      </w:r>
      <w:r w:rsidR="00000000">
        <w:t>-</w:t>
      </w:r>
      <w:proofErr w:type="spellStart"/>
      <w:r w:rsidR="00000000">
        <w:t>eQTLs</w:t>
      </w:r>
      <w:proofErr w:type="spellEnd"/>
      <w:r w:rsidR="00000000">
        <w:t xml:space="preserve"> in genes with only one peak (pie plot). (b) Manhattan plots of </w:t>
      </w:r>
      <w:proofErr w:type="spellStart"/>
      <w:r w:rsidR="00000000">
        <w:t>eGWAS</w:t>
      </w:r>
      <w:proofErr w:type="spellEnd"/>
      <w:r w:rsidR="00000000">
        <w:t xml:space="preserve"> for two example genes with more than 10 peaks. (c) Distribution of minor allele frequency of </w:t>
      </w:r>
      <w:r w:rsidR="00000000">
        <w:rPr>
          <w:i/>
        </w:rPr>
        <w:t>cis</w:t>
      </w:r>
      <w:r w:rsidR="00000000">
        <w:t>-</w:t>
      </w:r>
      <w:proofErr w:type="spellStart"/>
      <w:r w:rsidR="00000000">
        <w:t>eQTLs</w:t>
      </w:r>
      <w:proofErr w:type="spellEnd"/>
      <w:r w:rsidR="00000000">
        <w:t xml:space="preserve"> and </w:t>
      </w:r>
      <w:r w:rsidR="00000000">
        <w:rPr>
          <w:i/>
        </w:rPr>
        <w:t>trans</w:t>
      </w:r>
      <w:r w:rsidR="00000000">
        <w:t>-</w:t>
      </w:r>
      <w:proofErr w:type="spellStart"/>
      <w:r w:rsidR="00000000">
        <w:t>eQTLs</w:t>
      </w:r>
      <w:proofErr w:type="spellEnd"/>
      <w:r w:rsidR="00000000">
        <w:t xml:space="preserve">. 3,662 </w:t>
      </w:r>
      <w:r w:rsidR="00000000">
        <w:rPr>
          <w:i/>
        </w:rPr>
        <w:t>trans</w:t>
      </w:r>
      <w:r w:rsidR="00000000">
        <w:t>-</w:t>
      </w:r>
      <w:proofErr w:type="spellStart"/>
      <w:r w:rsidR="00000000">
        <w:t>eQTLs</w:t>
      </w:r>
      <w:proofErr w:type="spellEnd"/>
      <w:r w:rsidR="00000000">
        <w:t xml:space="preserve"> are with minor allele frequencies </w:t>
      </w:r>
      <w:r w:rsidR="00000000">
        <w:rPr>
          <w:rFonts w:ascii="Cambria" w:eastAsia="Cambria" w:hAnsi="Cambria" w:cs="Cambria"/>
        </w:rPr>
        <w:t xml:space="preserve">≤ </w:t>
      </w:r>
      <w:r w:rsidR="00000000">
        <w:t xml:space="preserve">0.1 and 5,322 </w:t>
      </w:r>
      <w:r w:rsidR="00000000">
        <w:rPr>
          <w:i/>
        </w:rPr>
        <w:t>trans</w:t>
      </w:r>
      <w:r w:rsidR="00000000">
        <w:t>-</w:t>
      </w:r>
      <w:proofErr w:type="spellStart"/>
      <w:r w:rsidR="00000000">
        <w:t>eQTLs</w:t>
      </w:r>
      <w:proofErr w:type="spellEnd"/>
      <w:r w:rsidR="00000000">
        <w:t xml:space="preserve"> have minor allele frequencies </w:t>
      </w:r>
      <w:r w:rsidR="00000000">
        <w:rPr>
          <w:rFonts w:ascii="Cambria" w:eastAsia="Cambria" w:hAnsi="Cambria" w:cs="Cambria"/>
          <w:i/>
        </w:rPr>
        <w:t>&gt;</w:t>
      </w:r>
      <w:r w:rsidR="00000000">
        <w:t xml:space="preserve">0.1. (d) Distribution of expression variation explained by </w:t>
      </w:r>
      <w:r w:rsidR="00000000">
        <w:rPr>
          <w:i/>
        </w:rPr>
        <w:t>cis</w:t>
      </w:r>
      <w:r w:rsidR="00000000">
        <w:t>-</w:t>
      </w:r>
      <w:proofErr w:type="spellStart"/>
      <w:r w:rsidR="00000000">
        <w:t>eQTLs</w:t>
      </w:r>
      <w:proofErr w:type="spellEnd"/>
      <w:r w:rsidR="00000000">
        <w:t xml:space="preserve"> and </w:t>
      </w:r>
      <w:r w:rsidR="00000000">
        <w:rPr>
          <w:i/>
        </w:rPr>
        <w:t>trans</w:t>
      </w:r>
      <w:r w:rsidR="00000000">
        <w:t>-</w:t>
      </w:r>
      <w:proofErr w:type="spellStart"/>
      <w:r w:rsidR="00000000">
        <w:t>eQTLs</w:t>
      </w:r>
      <w:proofErr w:type="spellEnd"/>
      <w:r w:rsidR="00000000">
        <w:t xml:space="preserve">. (e) The proportion of </w:t>
      </w:r>
      <w:r w:rsidR="00000000">
        <w:rPr>
          <w:i/>
        </w:rPr>
        <w:t>cis</w:t>
      </w:r>
      <w:r w:rsidR="00000000">
        <w:t xml:space="preserve">- and </w:t>
      </w:r>
      <w:r w:rsidR="00000000">
        <w:rPr>
          <w:i/>
        </w:rPr>
        <w:t>trans</w:t>
      </w:r>
      <w:r w:rsidR="00000000">
        <w:t>-</w:t>
      </w:r>
      <w:proofErr w:type="spellStart"/>
      <w:r w:rsidR="00000000">
        <w:t>eQTLs</w:t>
      </w:r>
      <w:proofErr w:type="spellEnd"/>
      <w:r w:rsidR="00000000">
        <w:t xml:space="preserve"> identified by </w:t>
      </w:r>
      <w:proofErr w:type="spellStart"/>
      <w:r w:rsidR="00000000">
        <w:t>eQTL</w:t>
      </w:r>
      <w:proofErr w:type="spellEnd"/>
      <w:r w:rsidR="00000000">
        <w:t xml:space="preserve"> mapping in this study. (f) The proportion of e-traits with single </w:t>
      </w:r>
      <w:r w:rsidR="00000000">
        <w:rPr>
          <w:i/>
        </w:rPr>
        <w:t>cis</w:t>
      </w:r>
      <w:r w:rsidR="00000000">
        <w:t>-</w:t>
      </w:r>
      <w:proofErr w:type="spellStart"/>
      <w:r w:rsidR="00000000">
        <w:t>eQTL</w:t>
      </w:r>
      <w:proofErr w:type="spellEnd"/>
      <w:r w:rsidR="00000000">
        <w:t xml:space="preserve">, single </w:t>
      </w:r>
      <w:r w:rsidR="00000000">
        <w:rPr>
          <w:i/>
        </w:rPr>
        <w:t>trans</w:t>
      </w:r>
      <w:r w:rsidR="00000000">
        <w:t>-</w:t>
      </w:r>
      <w:proofErr w:type="spellStart"/>
      <w:r w:rsidR="00000000">
        <w:t>eQTL</w:t>
      </w:r>
      <w:proofErr w:type="spellEnd"/>
      <w:r w:rsidR="00000000">
        <w:t xml:space="preserve"> and both. (g) P-values of the association between the SNP dataset of which the genotype were permutated and gene expression calculated by </w:t>
      </w:r>
      <w:proofErr w:type="spellStart"/>
      <w:r w:rsidR="00000000">
        <w:t>matrixEQTL</w:t>
      </w:r>
      <w:proofErr w:type="spellEnd"/>
      <w:r w:rsidR="00000000">
        <w:t xml:space="preserve"> and the overlap between the p values of </w:t>
      </w:r>
      <w:proofErr w:type="spellStart"/>
      <w:r w:rsidR="00000000">
        <w:t>eQTLs</w:t>
      </w:r>
      <w:proofErr w:type="spellEnd"/>
      <w:r w:rsidR="00000000">
        <w:t xml:space="preserve"> identified using the original dataset in this study. 95 percentile of the minimum p-values (-log10 transformed) of random permutation of all 19,565 genes is corresponding to 7.83 and the p-value cutoff used for </w:t>
      </w:r>
      <w:proofErr w:type="spellStart"/>
      <w:r w:rsidR="00000000">
        <w:t>eQTL</w:t>
      </w:r>
      <w:proofErr w:type="spellEnd"/>
      <w:r w:rsidR="00000000">
        <w:t xml:space="preserve"> mapping in this study is corresponding to 8.39 (-log10(0.05/12191984)).</w:t>
      </w:r>
    </w:p>
    <w:p w14:paraId="36BA5E88" w14:textId="77777777" w:rsidR="00427871" w:rsidRDefault="00000000">
      <w:pPr>
        <w:spacing w:after="229"/>
        <w:ind w:left="506" w:firstLine="0"/>
      </w:pPr>
      <w:r>
        <w:rPr>
          <w:noProof/>
        </w:rPr>
        <w:lastRenderedPageBreak/>
        <w:drawing>
          <wp:inline distT="0" distB="0" distL="0" distR="0" wp14:anchorId="03D0C06A" wp14:editId="7A724A24">
            <wp:extent cx="5698237" cy="3798824"/>
            <wp:effectExtent l="0" t="0" r="0" b="0"/>
            <wp:docPr id="185" name="Picture 185"/>
            <wp:cNvGraphicFramePr/>
            <a:graphic xmlns:a="http://schemas.openxmlformats.org/drawingml/2006/main">
              <a:graphicData uri="http://schemas.openxmlformats.org/drawingml/2006/picture">
                <pic:pic xmlns:pic="http://schemas.openxmlformats.org/drawingml/2006/picture">
                  <pic:nvPicPr>
                    <pic:cNvPr id="185" name="Picture 185"/>
                    <pic:cNvPicPr/>
                  </pic:nvPicPr>
                  <pic:blipFill>
                    <a:blip r:embed="rId9"/>
                    <a:stretch>
                      <a:fillRect/>
                    </a:stretch>
                  </pic:blipFill>
                  <pic:spPr>
                    <a:xfrm>
                      <a:off x="0" y="0"/>
                      <a:ext cx="5698237" cy="3798824"/>
                    </a:xfrm>
                    <a:prstGeom prst="rect">
                      <a:avLst/>
                    </a:prstGeom>
                  </pic:spPr>
                </pic:pic>
              </a:graphicData>
            </a:graphic>
          </wp:inline>
        </w:drawing>
      </w:r>
    </w:p>
    <w:p w14:paraId="26C95BC7" w14:textId="06E99895" w:rsidR="00427871" w:rsidRDefault="004B285A">
      <w:pPr>
        <w:ind w:left="-5"/>
      </w:pPr>
      <w:r>
        <w:rPr>
          <w:b/>
        </w:rPr>
        <w:t>Figure</w:t>
      </w:r>
      <w:r>
        <w:rPr>
          <w:b/>
        </w:rPr>
        <w:t xml:space="preserve"> </w:t>
      </w:r>
      <w:r w:rsidR="00000000">
        <w:rPr>
          <w:b/>
        </w:rPr>
        <w:t xml:space="preserve">S4. </w:t>
      </w:r>
      <w:r w:rsidR="00000000">
        <w:t xml:space="preserve">Comparison of </w:t>
      </w:r>
      <w:proofErr w:type="spellStart"/>
      <w:r w:rsidR="00000000">
        <w:t>eQTLs</w:t>
      </w:r>
      <w:proofErr w:type="spellEnd"/>
      <w:r w:rsidR="00000000">
        <w:t xml:space="preserve"> identified by GEMMA and </w:t>
      </w:r>
      <w:proofErr w:type="spellStart"/>
      <w:r w:rsidR="00000000">
        <w:t>matrixEQTL</w:t>
      </w:r>
      <w:proofErr w:type="spellEnd"/>
      <w:r w:rsidR="00000000">
        <w:t xml:space="preserve"> for a subset of 3,000 genes (a) Number of genes with 0, 1 and more than 1 </w:t>
      </w:r>
      <w:proofErr w:type="spellStart"/>
      <w:r w:rsidR="00000000">
        <w:t>eQTLs</w:t>
      </w:r>
      <w:proofErr w:type="spellEnd"/>
      <w:r w:rsidR="00000000">
        <w:t xml:space="preserve"> identified by GEMMA and </w:t>
      </w:r>
      <w:proofErr w:type="spellStart"/>
      <w:r w:rsidR="00000000">
        <w:t>MatrixEQTL</w:t>
      </w:r>
      <w:proofErr w:type="spellEnd"/>
      <w:r w:rsidR="00000000">
        <w:t xml:space="preserve">. (b) Minor allele frequency of </w:t>
      </w:r>
      <w:r w:rsidR="00000000">
        <w:rPr>
          <w:i/>
        </w:rPr>
        <w:t>cis</w:t>
      </w:r>
      <w:r w:rsidR="00000000">
        <w:t>-</w:t>
      </w:r>
      <w:proofErr w:type="spellStart"/>
      <w:r w:rsidR="00000000">
        <w:t>eQTL</w:t>
      </w:r>
      <w:proofErr w:type="spellEnd"/>
      <w:r w:rsidR="00000000">
        <w:t xml:space="preserve"> and </w:t>
      </w:r>
      <w:r w:rsidR="00000000">
        <w:rPr>
          <w:i/>
        </w:rPr>
        <w:t>trans</w:t>
      </w:r>
      <w:r w:rsidR="00000000">
        <w:t>-</w:t>
      </w:r>
      <w:proofErr w:type="spellStart"/>
      <w:r w:rsidR="00000000">
        <w:t>eQTL</w:t>
      </w:r>
      <w:proofErr w:type="spellEnd"/>
      <w:r w:rsidR="00000000">
        <w:t xml:space="preserve"> identified by GEMMA and </w:t>
      </w:r>
      <w:proofErr w:type="spellStart"/>
      <w:r w:rsidR="00000000">
        <w:t>MatrixEQTL</w:t>
      </w:r>
      <w:proofErr w:type="spellEnd"/>
      <w:r w:rsidR="00000000">
        <w:t xml:space="preserve">. (c) Different number of peaks identified by GEMMA and </w:t>
      </w:r>
      <w:proofErr w:type="spellStart"/>
      <w:r w:rsidR="00000000">
        <w:t>MatrixEQTL</w:t>
      </w:r>
      <w:proofErr w:type="spellEnd"/>
      <w:r w:rsidR="00000000">
        <w:t xml:space="preserve">. Manhattan plots is generated based on the p-values from Mixed Linear Model (MLM) implemented in GEMMA for gene Zm00001d000501. GEMMA identified only one </w:t>
      </w:r>
      <w:proofErr w:type="spellStart"/>
      <w:r w:rsidR="00000000">
        <w:t>eQTL</w:t>
      </w:r>
      <w:proofErr w:type="spellEnd"/>
      <w:r w:rsidR="00000000">
        <w:t xml:space="preserve"> on chromosome 3 at the threshold 4.10e-9 (blue dashed horizontal line), while </w:t>
      </w:r>
      <w:proofErr w:type="spellStart"/>
      <w:r w:rsidR="00000000">
        <w:t>MatrixEQTL</w:t>
      </w:r>
      <w:proofErr w:type="spellEnd"/>
      <w:r w:rsidR="00000000">
        <w:t xml:space="preserve"> identified four (red vertical lines). However, there are weak peak signals above 1e-5 (red dashed horizontal line), at the three </w:t>
      </w:r>
      <w:proofErr w:type="spellStart"/>
      <w:r w:rsidR="00000000">
        <w:t>eQTLs</w:t>
      </w:r>
      <w:proofErr w:type="spellEnd"/>
      <w:r w:rsidR="00000000">
        <w:t xml:space="preserve"> not identified by GEMMA.</w:t>
      </w:r>
    </w:p>
    <w:p w14:paraId="15D2A901" w14:textId="77777777" w:rsidR="00427871" w:rsidRDefault="00000000">
      <w:pPr>
        <w:spacing w:after="230"/>
        <w:ind w:left="506" w:firstLine="0"/>
      </w:pPr>
      <w:r>
        <w:rPr>
          <w:noProof/>
        </w:rPr>
        <w:lastRenderedPageBreak/>
        <w:drawing>
          <wp:inline distT="0" distB="0" distL="0" distR="0" wp14:anchorId="0D934AA8" wp14:editId="66A3C102">
            <wp:extent cx="5698331" cy="4499981"/>
            <wp:effectExtent l="0" t="0" r="0" b="0"/>
            <wp:docPr id="223" name="Picture 223"/>
            <wp:cNvGraphicFramePr/>
            <a:graphic xmlns:a="http://schemas.openxmlformats.org/drawingml/2006/main">
              <a:graphicData uri="http://schemas.openxmlformats.org/drawingml/2006/picture">
                <pic:pic xmlns:pic="http://schemas.openxmlformats.org/drawingml/2006/picture">
                  <pic:nvPicPr>
                    <pic:cNvPr id="223" name="Picture 223"/>
                    <pic:cNvPicPr/>
                  </pic:nvPicPr>
                  <pic:blipFill>
                    <a:blip r:embed="rId10"/>
                    <a:stretch>
                      <a:fillRect/>
                    </a:stretch>
                  </pic:blipFill>
                  <pic:spPr>
                    <a:xfrm>
                      <a:off x="0" y="0"/>
                      <a:ext cx="5698331" cy="4499981"/>
                    </a:xfrm>
                    <a:prstGeom prst="rect">
                      <a:avLst/>
                    </a:prstGeom>
                  </pic:spPr>
                </pic:pic>
              </a:graphicData>
            </a:graphic>
          </wp:inline>
        </w:drawing>
      </w:r>
    </w:p>
    <w:p w14:paraId="4DAA3852" w14:textId="705F9C22" w:rsidR="00427871" w:rsidRDefault="004B285A">
      <w:pPr>
        <w:ind w:left="-5"/>
      </w:pPr>
      <w:r>
        <w:rPr>
          <w:b/>
        </w:rPr>
        <w:t>Figure</w:t>
      </w:r>
      <w:r>
        <w:rPr>
          <w:b/>
        </w:rPr>
        <w:t xml:space="preserve"> </w:t>
      </w:r>
      <w:r w:rsidR="00000000">
        <w:rPr>
          <w:b/>
        </w:rPr>
        <w:t xml:space="preserve">S5. </w:t>
      </w:r>
      <w:proofErr w:type="spellStart"/>
      <w:r w:rsidR="00000000">
        <w:t>sQTL</w:t>
      </w:r>
      <w:proofErr w:type="spellEnd"/>
      <w:r w:rsidR="00000000">
        <w:t xml:space="preserve"> composition and distribution (a) Number of introns with one or more significant </w:t>
      </w:r>
      <w:proofErr w:type="spellStart"/>
      <w:r w:rsidR="00000000">
        <w:t>sQTL</w:t>
      </w:r>
      <w:proofErr w:type="spellEnd"/>
      <w:r w:rsidR="00000000">
        <w:t xml:space="preserve"> peaks. (b)</w:t>
      </w:r>
    </w:p>
    <w:p w14:paraId="163F7B08" w14:textId="77777777" w:rsidR="00427871" w:rsidRDefault="00000000">
      <w:pPr>
        <w:ind w:left="-5"/>
      </w:pPr>
      <w:r>
        <w:t xml:space="preserve">Expression variation explained by their associated </w:t>
      </w:r>
      <w:r>
        <w:rPr>
          <w:i/>
        </w:rPr>
        <w:t>cis</w:t>
      </w:r>
      <w:r>
        <w:t xml:space="preserve">- and </w:t>
      </w:r>
      <w:r>
        <w:rPr>
          <w:i/>
        </w:rPr>
        <w:t>trans</w:t>
      </w:r>
      <w:r>
        <w:t>-</w:t>
      </w:r>
      <w:proofErr w:type="spellStart"/>
      <w:r>
        <w:t>sQTLs</w:t>
      </w:r>
      <w:proofErr w:type="spellEnd"/>
      <w:r>
        <w:t xml:space="preserve">. (c) Proportion of </w:t>
      </w:r>
      <w:r>
        <w:rPr>
          <w:i/>
        </w:rPr>
        <w:t>cis</w:t>
      </w:r>
      <w:r>
        <w:t xml:space="preserve">- and </w:t>
      </w:r>
      <w:r>
        <w:rPr>
          <w:i/>
        </w:rPr>
        <w:t>trans</w:t>
      </w:r>
      <w:r>
        <w:t>-</w:t>
      </w:r>
      <w:proofErr w:type="spellStart"/>
      <w:r>
        <w:t>sQTLs</w:t>
      </w:r>
      <w:proofErr w:type="spellEnd"/>
      <w:r>
        <w:t xml:space="preserve"> identified by </w:t>
      </w:r>
      <w:proofErr w:type="spellStart"/>
      <w:r>
        <w:t>sQTL</w:t>
      </w:r>
      <w:proofErr w:type="spellEnd"/>
      <w:r>
        <w:t xml:space="preserve"> mapping in this study. (d) Proportions among the 19,684 splicing events (introns) associated with just </w:t>
      </w:r>
      <w:r>
        <w:rPr>
          <w:i/>
        </w:rPr>
        <w:t>cis</w:t>
      </w:r>
      <w:r>
        <w:t xml:space="preserve">-, just </w:t>
      </w:r>
      <w:r>
        <w:rPr>
          <w:i/>
        </w:rPr>
        <w:t>trans</w:t>
      </w:r>
      <w:r>
        <w:t xml:space="preserve">-, or both </w:t>
      </w:r>
      <w:r>
        <w:rPr>
          <w:i/>
        </w:rPr>
        <w:t>cis</w:t>
      </w:r>
      <w:r>
        <w:t xml:space="preserve">- and </w:t>
      </w:r>
      <w:r>
        <w:rPr>
          <w:i/>
        </w:rPr>
        <w:t>trans</w:t>
      </w:r>
      <w:r>
        <w:t>-</w:t>
      </w:r>
      <w:proofErr w:type="spellStart"/>
      <w:r>
        <w:t>sQTLs</w:t>
      </w:r>
      <w:proofErr w:type="spellEnd"/>
      <w:r>
        <w:t>.</w:t>
      </w:r>
    </w:p>
    <w:p w14:paraId="1C5FA232" w14:textId="77777777" w:rsidR="00427871" w:rsidRDefault="00000000">
      <w:pPr>
        <w:spacing w:after="228"/>
        <w:ind w:left="506" w:firstLine="0"/>
      </w:pPr>
      <w:r>
        <w:rPr>
          <w:noProof/>
        </w:rPr>
        <w:lastRenderedPageBreak/>
        <w:drawing>
          <wp:inline distT="0" distB="0" distL="0" distR="0" wp14:anchorId="3330497C" wp14:editId="5E7FF921">
            <wp:extent cx="5698419" cy="3299826"/>
            <wp:effectExtent l="0" t="0" r="0" b="0"/>
            <wp:docPr id="286" name="Picture 286"/>
            <wp:cNvGraphicFramePr/>
            <a:graphic xmlns:a="http://schemas.openxmlformats.org/drawingml/2006/main">
              <a:graphicData uri="http://schemas.openxmlformats.org/drawingml/2006/picture">
                <pic:pic xmlns:pic="http://schemas.openxmlformats.org/drawingml/2006/picture">
                  <pic:nvPicPr>
                    <pic:cNvPr id="286" name="Picture 286"/>
                    <pic:cNvPicPr/>
                  </pic:nvPicPr>
                  <pic:blipFill>
                    <a:blip r:embed="rId11"/>
                    <a:stretch>
                      <a:fillRect/>
                    </a:stretch>
                  </pic:blipFill>
                  <pic:spPr>
                    <a:xfrm>
                      <a:off x="0" y="0"/>
                      <a:ext cx="5698419" cy="3299826"/>
                    </a:xfrm>
                    <a:prstGeom prst="rect">
                      <a:avLst/>
                    </a:prstGeom>
                  </pic:spPr>
                </pic:pic>
              </a:graphicData>
            </a:graphic>
          </wp:inline>
        </w:drawing>
      </w:r>
    </w:p>
    <w:p w14:paraId="1BDE2C29" w14:textId="6C9E062F" w:rsidR="00427871" w:rsidRDefault="004B285A">
      <w:pPr>
        <w:spacing w:after="15" w:line="251" w:lineRule="auto"/>
        <w:ind w:left="2" w:hanging="10"/>
      </w:pPr>
      <w:r>
        <w:rPr>
          <w:b/>
        </w:rPr>
        <w:t>Figure</w:t>
      </w:r>
      <w:r>
        <w:rPr>
          <w:b/>
        </w:rPr>
        <w:t xml:space="preserve"> </w:t>
      </w:r>
      <w:r w:rsidR="00000000">
        <w:rPr>
          <w:b/>
        </w:rPr>
        <w:t xml:space="preserve">S6. </w:t>
      </w:r>
      <w:r w:rsidR="00000000">
        <w:t>Percentage (blue curve)</w:t>
      </w:r>
      <w:r>
        <w:t xml:space="preserve"> </w:t>
      </w:r>
      <w:r w:rsidR="00000000">
        <w:t>and cumulative percentage (green curve) of variance explained by independent components.</w:t>
      </w:r>
      <w:r>
        <w:t xml:space="preserve"> </w:t>
      </w:r>
      <w:r w:rsidR="00000000">
        <w:t>The red dashed vertical line indicate</w:t>
      </w:r>
      <w:r>
        <w:t>s</w:t>
      </w:r>
      <w:r w:rsidR="00000000">
        <w:t xml:space="preserve"> the threshold 80% which can be explained by the first 166 components.</w:t>
      </w:r>
      <w:r w:rsidR="00000000">
        <w:br w:type="page"/>
      </w:r>
    </w:p>
    <w:p w14:paraId="3550EC20" w14:textId="77777777" w:rsidR="00427871" w:rsidRDefault="00000000">
      <w:pPr>
        <w:spacing w:after="229"/>
        <w:ind w:left="506" w:firstLine="0"/>
      </w:pPr>
      <w:r>
        <w:rPr>
          <w:noProof/>
        </w:rPr>
        <w:lastRenderedPageBreak/>
        <w:drawing>
          <wp:inline distT="0" distB="0" distL="0" distR="0" wp14:anchorId="6E855415" wp14:editId="5C86CB48">
            <wp:extent cx="5438692" cy="6520070"/>
            <wp:effectExtent l="0" t="0" r="0" b="0"/>
            <wp:docPr id="299" name="Picture 299"/>
            <wp:cNvGraphicFramePr/>
            <a:graphic xmlns:a="http://schemas.openxmlformats.org/drawingml/2006/main">
              <a:graphicData uri="http://schemas.openxmlformats.org/drawingml/2006/picture">
                <pic:pic xmlns:pic="http://schemas.openxmlformats.org/drawingml/2006/picture">
                  <pic:nvPicPr>
                    <pic:cNvPr id="299" name="Picture 299"/>
                    <pic:cNvPicPr/>
                  </pic:nvPicPr>
                  <pic:blipFill>
                    <a:blip r:embed="rId12"/>
                    <a:stretch>
                      <a:fillRect/>
                    </a:stretch>
                  </pic:blipFill>
                  <pic:spPr>
                    <a:xfrm>
                      <a:off x="0" y="0"/>
                      <a:ext cx="5473151" cy="6561381"/>
                    </a:xfrm>
                    <a:prstGeom prst="rect">
                      <a:avLst/>
                    </a:prstGeom>
                  </pic:spPr>
                </pic:pic>
              </a:graphicData>
            </a:graphic>
          </wp:inline>
        </w:drawing>
      </w:r>
    </w:p>
    <w:p w14:paraId="7C7F492F" w14:textId="55462433" w:rsidR="00427871" w:rsidRDefault="004B285A">
      <w:pPr>
        <w:ind w:left="-5"/>
      </w:pPr>
      <w:r>
        <w:rPr>
          <w:b/>
        </w:rPr>
        <w:t>Figure</w:t>
      </w:r>
      <w:r>
        <w:rPr>
          <w:b/>
        </w:rPr>
        <w:t xml:space="preserve"> </w:t>
      </w:r>
      <w:r w:rsidR="00000000">
        <w:rPr>
          <w:b/>
        </w:rPr>
        <w:t xml:space="preserve">S7. </w:t>
      </w:r>
      <w:r w:rsidR="00000000">
        <w:t>Expression patterns of the genes within each of the co-expression modules associated with IC39, IC79 and IC101. (a) Differences in expression broad sense herit</w:t>
      </w:r>
      <w:r>
        <w:t>a</w:t>
      </w:r>
      <w:r w:rsidR="00000000">
        <w:t xml:space="preserve">bility of five candidate genes shown in Fig. </w:t>
      </w:r>
      <w:r>
        <w:t>3</w:t>
      </w:r>
      <w:r w:rsidR="00000000">
        <w:t xml:space="preserve"> in tropical and temperate maize. (b) Expression pattern of co-expression module associated with IC39 in temperate (left) and tropical maize (right). Each grey line indicates the log2 transformed expression pattern of a single gene significantly associated with IC39 across all temperate maize samples included in our study population. Each blue line indicates the log2 transformed expression pattern of a single gene significantly associated with IC39 across all tropical maize samples included in our study population. (c) Expression pattern of co-expression module associated with IC79 in temperate (left) and tropical maize (right), visualized as described in panel (b). (d) Expression pattern of co-expression module associated with IC101 in temperate (left) and tropical maize (right), visualized as described in panel (b).</w:t>
      </w:r>
    </w:p>
    <w:p w14:paraId="3A278DCE" w14:textId="77777777" w:rsidR="00427871" w:rsidRDefault="00000000">
      <w:pPr>
        <w:spacing w:after="229"/>
        <w:ind w:left="506" w:firstLine="0"/>
      </w:pPr>
      <w:r>
        <w:rPr>
          <w:noProof/>
        </w:rPr>
        <w:lastRenderedPageBreak/>
        <w:drawing>
          <wp:inline distT="0" distB="0" distL="0" distR="0" wp14:anchorId="342D454E" wp14:editId="47C883B9">
            <wp:extent cx="5699108" cy="7321384"/>
            <wp:effectExtent l="0" t="0" r="0" b="0"/>
            <wp:docPr id="335" name="Picture 335"/>
            <wp:cNvGraphicFramePr/>
            <a:graphic xmlns:a="http://schemas.openxmlformats.org/drawingml/2006/main">
              <a:graphicData uri="http://schemas.openxmlformats.org/drawingml/2006/picture">
                <pic:pic xmlns:pic="http://schemas.openxmlformats.org/drawingml/2006/picture">
                  <pic:nvPicPr>
                    <pic:cNvPr id="335" name="Picture 335"/>
                    <pic:cNvPicPr/>
                  </pic:nvPicPr>
                  <pic:blipFill>
                    <a:blip r:embed="rId13"/>
                    <a:stretch>
                      <a:fillRect/>
                    </a:stretch>
                  </pic:blipFill>
                  <pic:spPr>
                    <a:xfrm>
                      <a:off x="0" y="0"/>
                      <a:ext cx="5699108" cy="7321384"/>
                    </a:xfrm>
                    <a:prstGeom prst="rect">
                      <a:avLst/>
                    </a:prstGeom>
                  </pic:spPr>
                </pic:pic>
              </a:graphicData>
            </a:graphic>
          </wp:inline>
        </w:drawing>
      </w:r>
    </w:p>
    <w:p w14:paraId="055458F9" w14:textId="2577DA07" w:rsidR="00427871" w:rsidRDefault="00000000" w:rsidP="004B285A">
      <w:pPr>
        <w:spacing w:after="15" w:line="251" w:lineRule="auto"/>
        <w:ind w:left="2" w:hanging="10"/>
      </w:pPr>
      <w:r>
        <w:rPr>
          <w:b/>
        </w:rPr>
        <w:t xml:space="preserve">Figure S8. </w:t>
      </w:r>
      <w:r w:rsidR="004B285A">
        <w:t xml:space="preserve">GWAS results of 14 organismal phenotypes used for this study. </w:t>
      </w:r>
    </w:p>
    <w:p w14:paraId="0FE60215" w14:textId="77777777" w:rsidR="00427871" w:rsidRDefault="00000000">
      <w:pPr>
        <w:spacing w:after="229"/>
        <w:ind w:left="2002" w:firstLine="0"/>
      </w:pPr>
      <w:r>
        <w:rPr>
          <w:noProof/>
        </w:rPr>
        <w:lastRenderedPageBreak/>
        <w:drawing>
          <wp:inline distT="0" distB="0" distL="0" distR="0" wp14:anchorId="7272277F" wp14:editId="2062246E">
            <wp:extent cx="3799387" cy="2964156"/>
            <wp:effectExtent l="0" t="0" r="0" b="0"/>
            <wp:docPr id="356" name="Picture 356"/>
            <wp:cNvGraphicFramePr/>
            <a:graphic xmlns:a="http://schemas.openxmlformats.org/drawingml/2006/main">
              <a:graphicData uri="http://schemas.openxmlformats.org/drawingml/2006/picture">
                <pic:pic xmlns:pic="http://schemas.openxmlformats.org/drawingml/2006/picture">
                  <pic:nvPicPr>
                    <pic:cNvPr id="356" name="Picture 356"/>
                    <pic:cNvPicPr/>
                  </pic:nvPicPr>
                  <pic:blipFill>
                    <a:blip r:embed="rId14"/>
                    <a:stretch>
                      <a:fillRect/>
                    </a:stretch>
                  </pic:blipFill>
                  <pic:spPr>
                    <a:xfrm>
                      <a:off x="0" y="0"/>
                      <a:ext cx="3799387" cy="2964156"/>
                    </a:xfrm>
                    <a:prstGeom prst="rect">
                      <a:avLst/>
                    </a:prstGeom>
                  </pic:spPr>
                </pic:pic>
              </a:graphicData>
            </a:graphic>
          </wp:inline>
        </w:drawing>
      </w:r>
    </w:p>
    <w:p w14:paraId="05EA86E5" w14:textId="77777777" w:rsidR="00427871" w:rsidRDefault="00000000">
      <w:pPr>
        <w:spacing w:after="15" w:line="251" w:lineRule="auto"/>
        <w:ind w:left="2" w:hanging="10"/>
      </w:pPr>
      <w:r>
        <w:rPr>
          <w:b/>
        </w:rPr>
        <w:t xml:space="preserve">Figure S9. </w:t>
      </w:r>
      <w:r>
        <w:t>Gene sets identified by genome-wide selection analysis for maize domestication and improvement (Hufford et al. (2012)) and temperate adaptation (Liu et al. (2015)) and temperate adaptation conducted in this study. Gene IDs</w:t>
      </w:r>
    </w:p>
    <w:p w14:paraId="1145B990" w14:textId="77777777" w:rsidR="00427871" w:rsidRDefault="00000000">
      <w:pPr>
        <w:ind w:left="-5" w:right="2448"/>
      </w:pPr>
      <w:r>
        <w:t xml:space="preserve">were translated into B73 </w:t>
      </w:r>
      <w:proofErr w:type="spellStart"/>
      <w:r>
        <w:t>RefGene</w:t>
      </w:r>
      <w:proofErr w:type="spellEnd"/>
      <w:r>
        <w:t xml:space="preserve"> v4 based on the ID conversion in </w:t>
      </w:r>
      <w:proofErr w:type="spellStart"/>
      <w:r>
        <w:t>MaizeGDB</w:t>
      </w:r>
      <w:proofErr w:type="spellEnd"/>
      <w:r>
        <w:t xml:space="preserve"> database (https //www.maizegdb.org/gene center/</w:t>
      </w:r>
      <w:proofErr w:type="spellStart"/>
      <w:r>
        <w:t>gene#translate</w:t>
      </w:r>
      <w:proofErr w:type="spellEnd"/>
      <w:r>
        <w:t>).</w:t>
      </w:r>
      <w:r>
        <w:br w:type="page"/>
      </w:r>
    </w:p>
    <w:p w14:paraId="3AEC8FE5" w14:textId="77777777" w:rsidR="00427871" w:rsidRDefault="00000000">
      <w:pPr>
        <w:spacing w:after="228"/>
        <w:ind w:left="506" w:firstLine="0"/>
      </w:pPr>
      <w:r>
        <w:rPr>
          <w:noProof/>
        </w:rPr>
        <w:lastRenderedPageBreak/>
        <w:drawing>
          <wp:inline distT="0" distB="0" distL="0" distR="0" wp14:anchorId="701C5C03" wp14:editId="0B02C6F2">
            <wp:extent cx="5699126" cy="3561954"/>
            <wp:effectExtent l="0" t="0" r="0" b="0"/>
            <wp:docPr id="377" name="Picture 377"/>
            <wp:cNvGraphicFramePr/>
            <a:graphic xmlns:a="http://schemas.openxmlformats.org/drawingml/2006/main">
              <a:graphicData uri="http://schemas.openxmlformats.org/drawingml/2006/picture">
                <pic:pic xmlns:pic="http://schemas.openxmlformats.org/drawingml/2006/picture">
                  <pic:nvPicPr>
                    <pic:cNvPr id="377" name="Picture 377"/>
                    <pic:cNvPicPr/>
                  </pic:nvPicPr>
                  <pic:blipFill>
                    <a:blip r:embed="rId15"/>
                    <a:stretch>
                      <a:fillRect/>
                    </a:stretch>
                  </pic:blipFill>
                  <pic:spPr>
                    <a:xfrm>
                      <a:off x="0" y="0"/>
                      <a:ext cx="5699126" cy="3561954"/>
                    </a:xfrm>
                    <a:prstGeom prst="rect">
                      <a:avLst/>
                    </a:prstGeom>
                  </pic:spPr>
                </pic:pic>
              </a:graphicData>
            </a:graphic>
          </wp:inline>
        </w:drawing>
      </w:r>
    </w:p>
    <w:p w14:paraId="20592214" w14:textId="77777777" w:rsidR="00427871" w:rsidRDefault="00000000">
      <w:pPr>
        <w:spacing w:after="15" w:line="251" w:lineRule="auto"/>
        <w:ind w:left="114" w:hanging="10"/>
      </w:pPr>
      <w:r>
        <w:rPr>
          <w:b/>
        </w:rPr>
        <w:t xml:space="preserve">Figure S10. </w:t>
      </w:r>
      <w:r>
        <w:t xml:space="preserve">Expression patterns (FPKM) of </w:t>
      </w:r>
      <w:r>
        <w:rPr>
          <w:i/>
        </w:rPr>
        <w:t xml:space="preserve">mcm4 </w:t>
      </w:r>
      <w:r>
        <w:t>across different flowering tissues in maize reference inbred B73</w:t>
      </w:r>
      <w:r>
        <w:br w:type="page"/>
      </w:r>
    </w:p>
    <w:p w14:paraId="167D2399" w14:textId="77777777" w:rsidR="00427871" w:rsidRDefault="00000000">
      <w:pPr>
        <w:ind w:left="-5"/>
      </w:pPr>
      <w:r>
        <w:rPr>
          <w:noProof/>
        </w:rPr>
        <w:lastRenderedPageBreak/>
        <w:drawing>
          <wp:anchor distT="0" distB="0" distL="114300" distR="114300" simplePos="0" relativeHeight="251658240" behindDoc="0" locked="0" layoutInCell="1" allowOverlap="0" wp14:anchorId="0496DC1A" wp14:editId="2A868F0A">
            <wp:simplePos x="0" y="0"/>
            <wp:positionH relativeFrom="page">
              <wp:posOffset>720001</wp:posOffset>
            </wp:positionH>
            <wp:positionV relativeFrom="page">
              <wp:posOffset>810026</wp:posOffset>
            </wp:positionV>
            <wp:extent cx="6331546" cy="1548770"/>
            <wp:effectExtent l="0" t="0" r="0" b="0"/>
            <wp:wrapTopAndBottom/>
            <wp:docPr id="390" name="Picture 390"/>
            <wp:cNvGraphicFramePr/>
            <a:graphic xmlns:a="http://schemas.openxmlformats.org/drawingml/2006/main">
              <a:graphicData uri="http://schemas.openxmlformats.org/drawingml/2006/picture">
                <pic:pic xmlns:pic="http://schemas.openxmlformats.org/drawingml/2006/picture">
                  <pic:nvPicPr>
                    <pic:cNvPr id="390" name="Picture 390"/>
                    <pic:cNvPicPr/>
                  </pic:nvPicPr>
                  <pic:blipFill>
                    <a:blip r:embed="rId16"/>
                    <a:stretch>
                      <a:fillRect/>
                    </a:stretch>
                  </pic:blipFill>
                  <pic:spPr>
                    <a:xfrm>
                      <a:off x="0" y="0"/>
                      <a:ext cx="6331546" cy="1548770"/>
                    </a:xfrm>
                    <a:prstGeom prst="rect">
                      <a:avLst/>
                    </a:prstGeom>
                  </pic:spPr>
                </pic:pic>
              </a:graphicData>
            </a:graphic>
          </wp:anchor>
        </w:drawing>
      </w:r>
      <w:r>
        <w:rPr>
          <w:b/>
        </w:rPr>
        <w:t xml:space="preserve">Figure S11. </w:t>
      </w:r>
      <w:r>
        <w:t xml:space="preserve">Selection features of </w:t>
      </w:r>
      <w:r>
        <w:rPr>
          <w:i/>
        </w:rPr>
        <w:t xml:space="preserve">DSC1 </w:t>
      </w:r>
      <w:r>
        <w:t xml:space="preserve">associated with kernel development </w:t>
      </w:r>
      <w:proofErr w:type="gramStart"/>
      <w:r>
        <w:t>From</w:t>
      </w:r>
      <w:proofErr w:type="gramEnd"/>
      <w:r>
        <w:t xml:space="preserve"> left to right, selective sweep signals (XP-CLR and </w:t>
      </w:r>
      <w:proofErr w:type="spellStart"/>
      <w:r>
        <w:t>Fst</w:t>
      </w:r>
      <w:proofErr w:type="spellEnd"/>
      <w:r>
        <w:t>), expression broad sense heritability (H</w:t>
      </w:r>
      <w:r>
        <w:rPr>
          <w:vertAlign w:val="superscript"/>
        </w:rPr>
        <w:t>2</w:t>
      </w:r>
      <w:r>
        <w:t xml:space="preserve">), expression level (FPKM) in roots, and </w:t>
      </w:r>
      <w:r>
        <w:rPr>
          <w:i/>
        </w:rPr>
        <w:t>cis</w:t>
      </w:r>
      <w:r>
        <w:t>-</w:t>
      </w:r>
      <w:proofErr w:type="spellStart"/>
      <w:r>
        <w:t>eQTL</w:t>
      </w:r>
      <w:proofErr w:type="spellEnd"/>
      <w:r>
        <w:t xml:space="preserve"> lead SNP allele frequency comparison between tropical and temperate maize</w:t>
      </w:r>
    </w:p>
    <w:sectPr w:rsidR="00427871">
      <w:footerReference w:type="even" r:id="rId17"/>
      <w:footerReference w:type="default" r:id="rId18"/>
      <w:footerReference w:type="first" r:id="rId19"/>
      <w:pgSz w:w="12240" w:h="15840"/>
      <w:pgMar w:top="1275" w:right="1101" w:bottom="1292" w:left="1127" w:header="720" w:footer="63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2AF46C" w14:textId="77777777" w:rsidR="00EC5175" w:rsidRDefault="00EC5175">
      <w:pPr>
        <w:spacing w:after="0" w:line="240" w:lineRule="auto"/>
      </w:pPr>
      <w:r>
        <w:separator/>
      </w:r>
    </w:p>
  </w:endnote>
  <w:endnote w:type="continuationSeparator" w:id="0">
    <w:p w14:paraId="77685F3F" w14:textId="77777777" w:rsidR="00EC5175" w:rsidRDefault="00EC51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DengXian Light">
    <w:altName w:val="等线 Light"/>
    <w:panose1 w:val="02010600030101010101"/>
    <w:charset w:val="86"/>
    <w:family w:val="auto"/>
    <w:pitch w:val="variable"/>
    <w:sig w:usb0="00000000"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2DCE3" w14:textId="77777777" w:rsidR="00427871" w:rsidRDefault="00000000">
    <w:pPr>
      <w:spacing w:after="0"/>
      <w:ind w:left="0" w:right="33" w:firstLine="0"/>
      <w:jc w:val="right"/>
    </w:pPr>
    <w:r>
      <w:fldChar w:fldCharType="begin"/>
    </w:r>
    <w:r>
      <w:instrText xml:space="preserve"> PAGE   \* MERGEFORMAT </w:instrText>
    </w:r>
    <w:r>
      <w:fldChar w:fldCharType="separate"/>
    </w:r>
    <w:r>
      <w:rPr>
        <w:b/>
        <w:sz w:val="18"/>
      </w:rPr>
      <w:t>1</w:t>
    </w:r>
    <w:r>
      <w:rPr>
        <w:b/>
        <w:sz w:val="18"/>
      </w:rPr>
      <w:fldChar w:fldCharType="end"/>
    </w:r>
    <w:r>
      <w:rPr>
        <w:b/>
        <w:sz w:val="18"/>
      </w:rPr>
      <w:t>/</w:t>
    </w:r>
    <w:fldSimple w:instr=" NUMPAGES   \* MERGEFORMAT ">
      <w:r>
        <w:rPr>
          <w:b/>
          <w:sz w:val="18"/>
        </w:rPr>
        <w:t>11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AF395" w14:textId="77777777" w:rsidR="00427871" w:rsidRDefault="00000000">
    <w:pPr>
      <w:spacing w:after="0"/>
      <w:ind w:left="0" w:right="33" w:firstLine="0"/>
      <w:jc w:val="right"/>
    </w:pPr>
    <w:r>
      <w:fldChar w:fldCharType="begin"/>
    </w:r>
    <w:r>
      <w:instrText xml:space="preserve"> PAGE   \* MERGEFORMAT </w:instrText>
    </w:r>
    <w:r>
      <w:fldChar w:fldCharType="separate"/>
    </w:r>
    <w:r>
      <w:rPr>
        <w:b/>
        <w:sz w:val="18"/>
      </w:rPr>
      <w:t>1</w:t>
    </w:r>
    <w:r>
      <w:rPr>
        <w:b/>
        <w:sz w:val="18"/>
      </w:rPr>
      <w:fldChar w:fldCharType="end"/>
    </w:r>
    <w:r>
      <w:rPr>
        <w:b/>
        <w:sz w:val="18"/>
      </w:rPr>
      <w:t>/</w:t>
    </w:r>
    <w:fldSimple w:instr=" NUMPAGES   \* MERGEFORMAT ">
      <w:r>
        <w:rPr>
          <w:b/>
          <w:sz w:val="18"/>
        </w:rPr>
        <w:t>11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3E8DF" w14:textId="77777777" w:rsidR="00427871" w:rsidRDefault="00000000">
    <w:pPr>
      <w:spacing w:after="0"/>
      <w:ind w:left="0" w:right="33" w:firstLine="0"/>
      <w:jc w:val="right"/>
    </w:pPr>
    <w:r>
      <w:fldChar w:fldCharType="begin"/>
    </w:r>
    <w:r>
      <w:instrText xml:space="preserve"> PAGE   \* MERGEFORMAT </w:instrText>
    </w:r>
    <w:r>
      <w:fldChar w:fldCharType="separate"/>
    </w:r>
    <w:r>
      <w:rPr>
        <w:b/>
        <w:sz w:val="18"/>
      </w:rPr>
      <w:t>1</w:t>
    </w:r>
    <w:r>
      <w:rPr>
        <w:b/>
        <w:sz w:val="18"/>
      </w:rPr>
      <w:fldChar w:fldCharType="end"/>
    </w:r>
    <w:r>
      <w:rPr>
        <w:b/>
        <w:sz w:val="18"/>
      </w:rPr>
      <w:t>/</w:t>
    </w:r>
    <w:fldSimple w:instr=" NUMPAGES   \* MERGEFORMAT ">
      <w:r>
        <w:rPr>
          <w:b/>
          <w:sz w:val="18"/>
        </w:rPr>
        <w:t>11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219150" w14:textId="77777777" w:rsidR="00EC5175" w:rsidRDefault="00EC5175">
      <w:pPr>
        <w:spacing w:after="0" w:line="240" w:lineRule="auto"/>
      </w:pPr>
      <w:r>
        <w:separator/>
      </w:r>
    </w:p>
  </w:footnote>
  <w:footnote w:type="continuationSeparator" w:id="0">
    <w:p w14:paraId="159266ED" w14:textId="77777777" w:rsidR="00EC5175" w:rsidRDefault="00EC517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871"/>
    <w:rsid w:val="00427871"/>
    <w:rsid w:val="004B285A"/>
    <w:rsid w:val="00A6685B"/>
    <w:rsid w:val="00EC51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5E05A109"/>
  <w15:docId w15:val="{2BB008E6-493D-0E45-B055-B72CB3D40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3" w:line="259" w:lineRule="auto"/>
      <w:ind w:left="10" w:hanging="3"/>
    </w:pPr>
    <w:rPr>
      <w:rFonts w:ascii="Calibri" w:eastAsia="Calibri" w:hAnsi="Calibri" w:cs="Calibri"/>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image" Target="media/image8.jpg"/><Relationship Id="rId18" Type="http://schemas.openxmlformats.org/officeDocument/2006/relationships/footer" Target="footer2.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2.jpg"/><Relationship Id="rId12" Type="http://schemas.openxmlformats.org/officeDocument/2006/relationships/image" Target="media/image7.jpg"/><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image" Target="media/image11.jp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image" Target="media/image6.jpg"/><Relationship Id="rId5" Type="http://schemas.openxmlformats.org/officeDocument/2006/relationships/endnotes" Target="endnotes.xml"/><Relationship Id="rId15" Type="http://schemas.openxmlformats.org/officeDocument/2006/relationships/image" Target="media/image10.jpg"/><Relationship Id="rId10" Type="http://schemas.openxmlformats.org/officeDocument/2006/relationships/image" Target="media/image5.jpg"/><Relationship Id="rId19"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image" Target="media/image4.jpg"/><Relationship Id="rId14" Type="http://schemas.openxmlformats.org/officeDocument/2006/relationships/image" Target="media/image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897</Words>
  <Characters>5116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 Guangchao, Ph.D.</dc:creator>
  <cp:keywords/>
  <cp:lastModifiedBy>Sun, Guangchao, Ph.D.</cp:lastModifiedBy>
  <cp:revision>2</cp:revision>
  <dcterms:created xsi:type="dcterms:W3CDTF">2023-02-19T03:49:00Z</dcterms:created>
  <dcterms:modified xsi:type="dcterms:W3CDTF">2023-02-19T03:49:00Z</dcterms:modified>
</cp:coreProperties>
</file>