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FEF7E6" w14:textId="76DD9A9B" w:rsidR="00560E98" w:rsidRDefault="00286092" w:rsidP="00560E98">
      <w:pPr>
        <w:widowControl w:val="0"/>
        <w:spacing w:after="110" w:line="480" w:lineRule="auto"/>
        <w:ind w:left="584"/>
        <w:rPr>
          <w:b/>
          <w:sz w:val="28"/>
          <w:szCs w:val="28"/>
        </w:rPr>
      </w:pPr>
      <w:r w:rsidRPr="007B7E07">
        <w:rPr>
          <w:b/>
          <w:sz w:val="28"/>
          <w:szCs w:val="28"/>
        </w:rPr>
        <w:t>Supplementary figures</w:t>
      </w:r>
    </w:p>
    <w:p w14:paraId="2E812B9D" w14:textId="77777777" w:rsidR="007B7E07" w:rsidRPr="007B7E07" w:rsidRDefault="007B7E07" w:rsidP="00560E98">
      <w:pPr>
        <w:widowControl w:val="0"/>
        <w:spacing w:after="110" w:line="480" w:lineRule="auto"/>
        <w:ind w:left="584"/>
        <w:rPr>
          <w:b/>
          <w:sz w:val="28"/>
          <w:szCs w:val="28"/>
        </w:rPr>
      </w:pPr>
    </w:p>
    <w:p w14:paraId="4926E346" w14:textId="1FF65949" w:rsidR="00286092" w:rsidRDefault="00286092" w:rsidP="00286092">
      <w:pPr>
        <w:widowControl w:val="0"/>
        <w:spacing w:after="110" w:line="480" w:lineRule="auto"/>
        <w:jc w:val="both"/>
      </w:pPr>
      <w:r>
        <w:rPr>
          <w:noProof/>
        </w:rPr>
        <w:drawing>
          <wp:inline distT="0" distB="0" distL="0" distR="0" wp14:anchorId="3A37AB5C" wp14:editId="04B5B05B">
            <wp:extent cx="5731200" cy="3581400"/>
            <wp:effectExtent l="0" t="0" r="0" b="0"/>
            <wp:docPr id="7" name="image5.png"/>
            <wp:cNvGraphicFramePr/>
            <a:graphic xmlns:a="http://schemas.openxmlformats.org/drawingml/2006/main">
              <a:graphicData uri="http://schemas.openxmlformats.org/drawingml/2006/picture">
                <pic:pic xmlns:pic="http://schemas.openxmlformats.org/drawingml/2006/picture">
                  <pic:nvPicPr>
                    <pic:cNvPr id="0" name="image5.png"/>
                    <pic:cNvPicPr/>
                  </pic:nvPicPr>
                  <pic:blipFill>
                    <a:blip r:embed="rId8"/>
                    <a:stretch/>
                  </pic:blipFill>
                  <pic:spPr bwMode="auto">
                    <a:xfrm>
                      <a:off x="0" y="0"/>
                      <a:ext cx="5731200" cy="3581400"/>
                    </a:xfrm>
                    <a:prstGeom prst="rect">
                      <a:avLst/>
                    </a:prstGeom>
                    <a:ln/>
                  </pic:spPr>
                </pic:pic>
              </a:graphicData>
            </a:graphic>
          </wp:inline>
        </w:drawing>
      </w:r>
      <w:r w:rsidRPr="00560E98">
        <w:rPr>
          <w:b/>
          <w:bCs/>
        </w:rPr>
        <w:t xml:space="preserve">Figure S1. Comparison of gene ages predicted with DIAMOND and JackHMMER in the proteome of </w:t>
      </w:r>
      <w:r w:rsidRPr="009421A9">
        <w:rPr>
          <w:b/>
          <w:bCs/>
          <w:i/>
          <w:iCs/>
        </w:rPr>
        <w:t>S. cerevisiae</w:t>
      </w:r>
      <w:r w:rsidRPr="00560E98">
        <w:rPr>
          <w:b/>
          <w:bCs/>
        </w:rPr>
        <w:t>.</w:t>
      </w:r>
      <w:r>
        <w:t xml:space="preserve"> The inferred gene ages using DIAMOND</w:t>
      </w:r>
      <w:r w:rsidR="00263DC5">
        <w:t xml:space="preserve"> [ 1 ]</w:t>
      </w:r>
      <w:r>
        <w:t xml:space="preserve"> were reassessed by running JackHMMER</w:t>
      </w:r>
      <w:r w:rsidR="00263DC5">
        <w:t xml:space="preserve"> [ 2 ]</w:t>
      </w:r>
      <w:r>
        <w:t xml:space="preserve"> from the fourth oldest taxonomic level onwards. JackHMMER is able to detect more distant homologs on most of the intermediate taxonomic levels, but its efficacy is reduced on the youngest taxonomic levels. Furthermore, many of the reassessed genes in the youngest taxonomic levels were filtered (FLT) due to the detection of taxonomically-inconsistent sequence hits against the database (taxonomic representativeness scores &lt; 30).</w:t>
      </w:r>
    </w:p>
    <w:p w14:paraId="73E9D9BB" w14:textId="77777777" w:rsidR="00286092" w:rsidRDefault="00286092" w:rsidP="00286092">
      <w:pPr>
        <w:widowControl w:val="0"/>
        <w:spacing w:after="110" w:line="480" w:lineRule="auto"/>
        <w:ind w:left="584"/>
      </w:pPr>
      <w:r>
        <w:rPr>
          <w:noProof/>
        </w:rPr>
        <w:lastRenderedPageBreak/>
        <w:drawing>
          <wp:inline distT="0" distB="0" distL="0" distR="0" wp14:anchorId="493B54EC" wp14:editId="0435AE9D">
            <wp:extent cx="5731200" cy="3581400"/>
            <wp:effectExtent l="0" t="0" r="0" b="0"/>
            <wp:docPr id="8" name="image6.png"/>
            <wp:cNvGraphicFramePr/>
            <a:graphic xmlns:a="http://schemas.openxmlformats.org/drawingml/2006/main">
              <a:graphicData uri="http://schemas.openxmlformats.org/drawingml/2006/picture">
                <pic:pic xmlns:pic="http://schemas.openxmlformats.org/drawingml/2006/picture">
                  <pic:nvPicPr>
                    <pic:cNvPr id="0" name="image6.png"/>
                    <pic:cNvPicPr/>
                  </pic:nvPicPr>
                  <pic:blipFill>
                    <a:blip r:embed="rId9"/>
                    <a:stretch/>
                  </pic:blipFill>
                  <pic:spPr bwMode="auto">
                    <a:xfrm>
                      <a:off x="0" y="0"/>
                      <a:ext cx="5731200" cy="3581400"/>
                    </a:xfrm>
                    <a:prstGeom prst="rect">
                      <a:avLst/>
                    </a:prstGeom>
                    <a:ln/>
                  </pic:spPr>
                </pic:pic>
              </a:graphicData>
            </a:graphic>
          </wp:inline>
        </w:drawing>
      </w:r>
    </w:p>
    <w:p w14:paraId="6D52CAF3" w14:textId="77777777" w:rsidR="00286092" w:rsidRDefault="00286092" w:rsidP="00286092">
      <w:pPr>
        <w:widowControl w:val="0"/>
        <w:spacing w:after="110" w:line="480" w:lineRule="auto"/>
        <w:jc w:val="both"/>
        <w:rPr>
          <w:sz w:val="20"/>
          <w:szCs w:val="20"/>
        </w:rPr>
      </w:pPr>
      <w:r>
        <w:rPr>
          <w:b/>
          <w:sz w:val="20"/>
          <w:szCs w:val="20"/>
        </w:rPr>
        <w:t xml:space="preserve">Figure S2. Distribution of taxa in the NR with sequence matches against the proteome of </w:t>
      </w:r>
      <w:r>
        <w:rPr>
          <w:b/>
          <w:i/>
          <w:sz w:val="20"/>
          <w:szCs w:val="20"/>
        </w:rPr>
        <w:t>S. cerevisiae</w:t>
      </w:r>
      <w:r>
        <w:rPr>
          <w:b/>
          <w:sz w:val="20"/>
          <w:szCs w:val="20"/>
        </w:rPr>
        <w:t>.</w:t>
      </w:r>
      <w:r>
        <w:rPr>
          <w:sz w:val="20"/>
          <w:szCs w:val="20"/>
        </w:rPr>
        <w:t xml:space="preserve"> Most of the taxa in the NCBI non-redundant database contain 50 or less proteins (</w:t>
      </w:r>
      <w:r>
        <w:rPr>
          <w:i/>
          <w:sz w:val="20"/>
          <w:szCs w:val="20"/>
        </w:rPr>
        <w:t>e.g.</w:t>
      </w:r>
      <w:r>
        <w:rPr>
          <w:sz w:val="20"/>
          <w:szCs w:val="20"/>
        </w:rPr>
        <w:t>, sequence data generated for phylogenetic studies), which could lead to an unreliable gene age assignment. An empirical threshold of 10% total hits against the query proteome can successfully detect these cases (red dashed line). This allows GenEra to assign ages only to the taxonomic levels where genomic data is available.</w:t>
      </w:r>
    </w:p>
    <w:p w14:paraId="1C40BB66" w14:textId="77777777" w:rsidR="00286092" w:rsidRDefault="00286092" w:rsidP="00286092">
      <w:pPr>
        <w:widowControl w:val="0"/>
        <w:spacing w:after="110" w:line="480" w:lineRule="auto"/>
        <w:jc w:val="both"/>
        <w:rPr>
          <w:sz w:val="20"/>
          <w:szCs w:val="20"/>
        </w:rPr>
      </w:pPr>
      <w:r>
        <w:rPr>
          <w:noProof/>
          <w:sz w:val="20"/>
          <w:szCs w:val="20"/>
        </w:rPr>
        <w:lastRenderedPageBreak/>
        <w:drawing>
          <wp:inline distT="0" distB="0" distL="0" distR="0" wp14:anchorId="1A787E73" wp14:editId="1B97CB36">
            <wp:extent cx="5731200" cy="7416800"/>
            <wp:effectExtent l="0" t="0" r="0" b="0"/>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0"/>
                    <a:stretch/>
                  </pic:blipFill>
                  <pic:spPr bwMode="auto">
                    <a:xfrm>
                      <a:off x="0" y="0"/>
                      <a:ext cx="5731200" cy="7416800"/>
                    </a:xfrm>
                    <a:prstGeom prst="rect">
                      <a:avLst/>
                    </a:prstGeom>
                    <a:ln/>
                  </pic:spPr>
                </pic:pic>
              </a:graphicData>
            </a:graphic>
          </wp:inline>
        </w:drawing>
      </w:r>
    </w:p>
    <w:p w14:paraId="7A61F9EA" w14:textId="1B97F4D3" w:rsidR="00286092" w:rsidRDefault="00286092" w:rsidP="00286092">
      <w:pPr>
        <w:widowControl w:val="0"/>
        <w:spacing w:line="480" w:lineRule="auto"/>
        <w:jc w:val="both"/>
        <w:rPr>
          <w:sz w:val="20"/>
          <w:szCs w:val="20"/>
        </w:rPr>
      </w:pPr>
      <w:r w:rsidRPr="00286092">
        <w:rPr>
          <w:b/>
          <w:bCs/>
          <w:sz w:val="20"/>
          <w:szCs w:val="20"/>
        </w:rPr>
        <w:t>Figure S3. Example of a ladder-like topology when dealing with monophyletic groups.</w:t>
      </w:r>
      <w:r>
        <w:rPr>
          <w:sz w:val="20"/>
          <w:szCs w:val="20"/>
        </w:rPr>
        <w:t xml:space="preserve"> We use the phylogeny of Fungi published by Li </w:t>
      </w:r>
      <w:r w:rsidRPr="009421A9">
        <w:rPr>
          <w:i/>
          <w:iCs/>
          <w:sz w:val="20"/>
          <w:szCs w:val="20"/>
        </w:rPr>
        <w:t>et al</w:t>
      </w:r>
      <w:r>
        <w:rPr>
          <w:sz w:val="20"/>
          <w:szCs w:val="20"/>
        </w:rPr>
        <w:t>.</w:t>
      </w:r>
      <w:r w:rsidR="007D0585">
        <w:rPr>
          <w:sz w:val="20"/>
          <w:szCs w:val="20"/>
        </w:rPr>
        <w:t xml:space="preserve"> </w:t>
      </w:r>
      <w:r w:rsidR="007D0585">
        <w:rPr>
          <w:sz w:val="20"/>
          <w:szCs w:val="20"/>
        </w:rPr>
        <w:t>[</w:t>
      </w:r>
      <w:r w:rsidR="00263DC5">
        <w:rPr>
          <w:sz w:val="20"/>
          <w:szCs w:val="20"/>
        </w:rPr>
        <w:t xml:space="preserve"> 3 </w:t>
      </w:r>
      <w:r w:rsidR="007D0585">
        <w:rPr>
          <w:sz w:val="20"/>
          <w:szCs w:val="20"/>
        </w:rPr>
        <w:t>]</w:t>
      </w:r>
      <w:r w:rsidR="007D0585">
        <w:rPr>
          <w:sz w:val="20"/>
          <w:szCs w:val="20"/>
        </w:rPr>
        <w:t xml:space="preserve"> </w:t>
      </w:r>
      <w:r>
        <w:rPr>
          <w:sz w:val="20"/>
          <w:szCs w:val="20"/>
        </w:rPr>
        <w:t xml:space="preserve">to depict the way GenEra interprets evolutionary relationships between species, with </w:t>
      </w:r>
      <w:r w:rsidRPr="009421A9">
        <w:rPr>
          <w:i/>
          <w:iCs/>
          <w:sz w:val="20"/>
          <w:szCs w:val="20"/>
        </w:rPr>
        <w:t>S. cerevisiae</w:t>
      </w:r>
      <w:r>
        <w:rPr>
          <w:sz w:val="20"/>
          <w:szCs w:val="20"/>
        </w:rPr>
        <w:t xml:space="preserve"> as the query species. As long as the taxonomic ranks represent monophyletic groups, the evolutionary relationships between species can be interpreted as </w:t>
      </w:r>
      <w:r>
        <w:rPr>
          <w:sz w:val="20"/>
          <w:szCs w:val="20"/>
        </w:rPr>
        <w:lastRenderedPageBreak/>
        <w:t>a ladder-like topology, where all the inner nodes within each taxonomic rank are treated as polytomies. Therefore, only the nodes that define the taxonomic groups become relevant for the assessment of gene ages and the calculation of taxonomic representativeness scores.</w:t>
      </w:r>
    </w:p>
    <w:p w14:paraId="1BBD7940" w14:textId="77777777" w:rsidR="00286092" w:rsidRDefault="00286092" w:rsidP="00286092">
      <w:pPr>
        <w:widowControl w:val="0"/>
        <w:spacing w:after="110" w:line="480" w:lineRule="auto"/>
        <w:jc w:val="both"/>
        <w:rPr>
          <w:b/>
        </w:rPr>
      </w:pPr>
    </w:p>
    <w:p w14:paraId="4EE14DD0" w14:textId="77777777" w:rsidR="00286092" w:rsidRDefault="00286092" w:rsidP="00286092">
      <w:pPr>
        <w:widowControl w:val="0"/>
        <w:spacing w:after="110" w:line="480" w:lineRule="auto"/>
        <w:jc w:val="both"/>
        <w:rPr>
          <w:b/>
        </w:rPr>
      </w:pPr>
      <w:r>
        <w:rPr>
          <w:b/>
          <w:noProof/>
        </w:rPr>
        <w:drawing>
          <wp:inline distT="0" distB="0" distL="0" distR="0" wp14:anchorId="295B8A65" wp14:editId="37D90BE0">
            <wp:extent cx="5731200" cy="6477000"/>
            <wp:effectExtent l="0" t="0" r="0" b="0"/>
            <wp:docPr id="10" name="image8.png"/>
            <wp:cNvGraphicFramePr/>
            <a:graphic xmlns:a="http://schemas.openxmlformats.org/drawingml/2006/main">
              <a:graphicData uri="http://schemas.openxmlformats.org/drawingml/2006/picture">
                <pic:pic xmlns:pic="http://schemas.openxmlformats.org/drawingml/2006/picture">
                  <pic:nvPicPr>
                    <pic:cNvPr id="0" name="image8.png"/>
                    <pic:cNvPicPr/>
                  </pic:nvPicPr>
                  <pic:blipFill>
                    <a:blip r:embed="rId11"/>
                    <a:stretch/>
                  </pic:blipFill>
                  <pic:spPr bwMode="auto">
                    <a:xfrm>
                      <a:off x="0" y="0"/>
                      <a:ext cx="5731200" cy="6477000"/>
                    </a:xfrm>
                    <a:prstGeom prst="rect">
                      <a:avLst/>
                    </a:prstGeom>
                    <a:ln/>
                  </pic:spPr>
                </pic:pic>
              </a:graphicData>
            </a:graphic>
          </wp:inline>
        </w:drawing>
      </w:r>
    </w:p>
    <w:p w14:paraId="127A5BE9" w14:textId="53A55C27" w:rsidR="00286092" w:rsidRDefault="00286092" w:rsidP="00286092">
      <w:pPr>
        <w:widowControl w:val="0"/>
        <w:spacing w:after="110" w:line="480" w:lineRule="auto"/>
        <w:jc w:val="both"/>
        <w:rPr>
          <w:sz w:val="20"/>
          <w:szCs w:val="20"/>
        </w:rPr>
      </w:pPr>
      <w:r>
        <w:rPr>
          <w:b/>
          <w:sz w:val="20"/>
          <w:szCs w:val="20"/>
        </w:rPr>
        <w:t xml:space="preserve">Figure S4. Decoupling </w:t>
      </w:r>
      <w:r w:rsidR="00B86D37">
        <w:rPr>
          <w:b/>
          <w:sz w:val="20"/>
          <w:szCs w:val="20"/>
        </w:rPr>
        <w:t>gene founder events</w:t>
      </w:r>
      <w:r>
        <w:rPr>
          <w:b/>
          <w:sz w:val="20"/>
          <w:szCs w:val="20"/>
        </w:rPr>
        <w:t xml:space="preserve"> from </w:t>
      </w:r>
      <w:r w:rsidR="004D5A52">
        <w:rPr>
          <w:b/>
          <w:sz w:val="20"/>
          <w:szCs w:val="20"/>
        </w:rPr>
        <w:t>homology detection failure (</w:t>
      </w:r>
      <w:r>
        <w:rPr>
          <w:b/>
          <w:sz w:val="20"/>
          <w:szCs w:val="20"/>
        </w:rPr>
        <w:t>HDF</w:t>
      </w:r>
      <w:r w:rsidR="004D5A52">
        <w:rPr>
          <w:b/>
          <w:sz w:val="20"/>
          <w:szCs w:val="20"/>
        </w:rPr>
        <w:t>)</w:t>
      </w:r>
      <w:r>
        <w:rPr>
          <w:b/>
          <w:sz w:val="20"/>
          <w:szCs w:val="20"/>
        </w:rPr>
        <w:t xml:space="preserve">. </w:t>
      </w:r>
      <w:r>
        <w:rPr>
          <w:sz w:val="20"/>
          <w:szCs w:val="20"/>
        </w:rPr>
        <w:t xml:space="preserve">Bitscore decay plots as a function of evolutionary distance in two genes of </w:t>
      </w:r>
      <w:r>
        <w:rPr>
          <w:i/>
          <w:sz w:val="20"/>
          <w:szCs w:val="20"/>
        </w:rPr>
        <w:t>S. cerevisiae</w:t>
      </w:r>
      <w:r>
        <w:rPr>
          <w:sz w:val="20"/>
          <w:szCs w:val="20"/>
        </w:rPr>
        <w:t xml:space="preserve"> across different fungal species (green bar) and other closely related opisthokonts (red bar).</w:t>
      </w:r>
      <w:r w:rsidR="00B86D37">
        <w:rPr>
          <w:sz w:val="20"/>
          <w:szCs w:val="20"/>
        </w:rPr>
        <w:t xml:space="preserve"> Both genes lack detectable </w:t>
      </w:r>
      <w:r w:rsidR="00B86D37">
        <w:rPr>
          <w:sz w:val="20"/>
          <w:szCs w:val="20"/>
        </w:rPr>
        <w:lastRenderedPageBreak/>
        <w:t>homologs outside of the Fungi kingdom.</w:t>
      </w:r>
      <w:r>
        <w:rPr>
          <w:sz w:val="20"/>
          <w:szCs w:val="20"/>
        </w:rPr>
        <w:t xml:space="preserve"> Each species in the horizontal axis is represented by its NCBI Taxonomy ID. The bitscore values were retrieved from a DIAMOND search against the NR using GenEra, while the pairwise evolutionary distances (substitutions per site) were retrieved from a previously published maximum likelihood tree</w:t>
      </w:r>
      <w:r w:rsidR="007D0585">
        <w:rPr>
          <w:sz w:val="20"/>
          <w:szCs w:val="20"/>
        </w:rPr>
        <w:t xml:space="preserve"> [</w:t>
      </w:r>
      <w:r w:rsidR="00263DC5">
        <w:rPr>
          <w:sz w:val="20"/>
          <w:szCs w:val="20"/>
        </w:rPr>
        <w:t xml:space="preserve"> 3 </w:t>
      </w:r>
      <w:r w:rsidR="007D0585">
        <w:rPr>
          <w:sz w:val="20"/>
          <w:szCs w:val="20"/>
        </w:rPr>
        <w:t>].</w:t>
      </w:r>
      <w:r>
        <w:rPr>
          <w:sz w:val="20"/>
          <w:szCs w:val="20"/>
        </w:rPr>
        <w:t xml:space="preserve"> The bitscore prediction and the detection failure probabilities were calculated using abSENSE </w:t>
      </w:r>
      <w:r w:rsidR="00864C92" w:rsidRPr="00864C92">
        <w:rPr>
          <w:sz w:val="20"/>
          <w:szCs w:val="20"/>
        </w:rPr>
        <w:t>[</w:t>
      </w:r>
      <w:r w:rsidR="00263DC5">
        <w:rPr>
          <w:sz w:val="20"/>
          <w:szCs w:val="20"/>
        </w:rPr>
        <w:t xml:space="preserve"> 4 </w:t>
      </w:r>
      <w:r w:rsidR="00864C92" w:rsidRPr="00864C92">
        <w:rPr>
          <w:sz w:val="20"/>
          <w:szCs w:val="20"/>
        </w:rPr>
        <w:t>].</w:t>
      </w:r>
      <w:r w:rsidRPr="00864C92">
        <w:rPr>
          <w:sz w:val="20"/>
          <w:szCs w:val="20"/>
        </w:rPr>
        <w:t xml:space="preserve"> </w:t>
      </w:r>
      <w:r w:rsidRPr="009421A9">
        <w:rPr>
          <w:b/>
          <w:bCs/>
          <w:sz w:val="24"/>
          <w:szCs w:val="24"/>
        </w:rPr>
        <w:t>A</w:t>
      </w:r>
      <w:r>
        <w:rPr>
          <w:sz w:val="20"/>
          <w:szCs w:val="20"/>
        </w:rPr>
        <w:t xml:space="preserve"> Bitscore decay of the gene YLR152C, which shows homolog genes </w:t>
      </w:r>
      <w:r w:rsidR="00B86D37">
        <w:rPr>
          <w:sz w:val="20"/>
          <w:szCs w:val="20"/>
        </w:rPr>
        <w:t>only within</w:t>
      </w:r>
      <w:r>
        <w:rPr>
          <w:sz w:val="20"/>
          <w:szCs w:val="20"/>
        </w:rPr>
        <w:t xml:space="preserve"> the Fungi kingdom</w:t>
      </w:r>
      <w:r w:rsidR="00B86D37">
        <w:rPr>
          <w:sz w:val="20"/>
          <w:szCs w:val="20"/>
        </w:rPr>
        <w:t>, but is</w:t>
      </w:r>
      <w:r>
        <w:rPr>
          <w:sz w:val="20"/>
          <w:szCs w:val="20"/>
        </w:rPr>
        <w:t xml:space="preserve"> predicted to have detectable bitscore values in </w:t>
      </w:r>
      <w:r>
        <w:rPr>
          <w:i/>
          <w:sz w:val="20"/>
          <w:szCs w:val="20"/>
        </w:rPr>
        <w:t xml:space="preserve">Fonticula alba </w:t>
      </w:r>
      <w:r>
        <w:rPr>
          <w:sz w:val="20"/>
          <w:szCs w:val="20"/>
        </w:rPr>
        <w:t>and in other closely-related animal genomes (detection failure probability of 0.01 in the outgroup species). Th</w:t>
      </w:r>
      <w:r w:rsidR="00B86D37">
        <w:rPr>
          <w:sz w:val="20"/>
          <w:szCs w:val="20"/>
        </w:rPr>
        <w:t xml:space="preserve">e absence of </w:t>
      </w:r>
      <w:r w:rsidR="00B86D37">
        <w:rPr>
          <w:sz w:val="20"/>
          <w:szCs w:val="20"/>
        </w:rPr>
        <w:t>YLR152C</w:t>
      </w:r>
      <w:r w:rsidR="00B86D37">
        <w:rPr>
          <w:sz w:val="20"/>
          <w:szCs w:val="20"/>
        </w:rPr>
        <w:t xml:space="preserve"> homologs</w:t>
      </w:r>
      <w:r>
        <w:rPr>
          <w:sz w:val="20"/>
          <w:szCs w:val="20"/>
        </w:rPr>
        <w:t xml:space="preserve"> </w:t>
      </w:r>
      <w:r w:rsidR="00B86D37">
        <w:rPr>
          <w:sz w:val="20"/>
          <w:szCs w:val="20"/>
        </w:rPr>
        <w:t>outside of Fungi</w:t>
      </w:r>
      <w:r>
        <w:rPr>
          <w:sz w:val="20"/>
          <w:szCs w:val="20"/>
        </w:rPr>
        <w:t xml:space="preserve"> is thereby regarded as a </w:t>
      </w:r>
      <w:r w:rsidR="00B86D37">
        <w:rPr>
          <w:sz w:val="20"/>
          <w:szCs w:val="20"/>
        </w:rPr>
        <w:t>gene founder event</w:t>
      </w:r>
      <w:r>
        <w:rPr>
          <w:sz w:val="20"/>
          <w:szCs w:val="20"/>
        </w:rPr>
        <w:t xml:space="preserve">. </w:t>
      </w:r>
      <w:r w:rsidRPr="009421A9">
        <w:rPr>
          <w:b/>
          <w:bCs/>
          <w:sz w:val="24"/>
          <w:szCs w:val="24"/>
        </w:rPr>
        <w:t>B</w:t>
      </w:r>
      <w:r>
        <w:rPr>
          <w:sz w:val="20"/>
          <w:szCs w:val="20"/>
        </w:rPr>
        <w:t xml:space="preserve"> </w:t>
      </w:r>
      <w:r w:rsidR="009421A9">
        <w:rPr>
          <w:sz w:val="20"/>
          <w:szCs w:val="20"/>
        </w:rPr>
        <w:t>T</w:t>
      </w:r>
      <w:r w:rsidR="009421A9" w:rsidRPr="009421A9">
        <w:rPr>
          <w:sz w:val="20"/>
          <w:szCs w:val="20"/>
        </w:rPr>
        <w:t xml:space="preserve">he gene YMR228W appears to be restricted to the Fungi kingdom, </w:t>
      </w:r>
      <w:r w:rsidR="009421A9">
        <w:rPr>
          <w:sz w:val="20"/>
          <w:szCs w:val="20"/>
        </w:rPr>
        <w:t xml:space="preserve">but </w:t>
      </w:r>
      <w:r w:rsidR="009421A9" w:rsidRPr="009421A9">
        <w:rPr>
          <w:sz w:val="20"/>
          <w:szCs w:val="20"/>
        </w:rPr>
        <w:t>its expected bitscore has decayed to below the detectability threshold (indicated by the dashed line) not only in Fonticula alba but also in other closely-related animal genomes</w:t>
      </w:r>
      <w:r w:rsidR="009421A9" w:rsidRPr="009421A9">
        <w:rPr>
          <w:sz w:val="20"/>
          <w:szCs w:val="20"/>
        </w:rPr>
        <w:t xml:space="preserve"> </w:t>
      </w:r>
      <w:r>
        <w:rPr>
          <w:sz w:val="20"/>
          <w:szCs w:val="20"/>
        </w:rPr>
        <w:t>(detection failure probability of 1 in the outgroup species). Therefore, the seeming absence of this gene outside the Fungi kingdom can be explained by HDF.</w:t>
      </w:r>
    </w:p>
    <w:p w14:paraId="56DA007F" w14:textId="77777777" w:rsidR="00263DC5" w:rsidRDefault="00263DC5" w:rsidP="00286092">
      <w:pPr>
        <w:widowControl w:val="0"/>
        <w:spacing w:after="110" w:line="480" w:lineRule="auto"/>
        <w:jc w:val="both"/>
        <w:rPr>
          <w:sz w:val="20"/>
          <w:szCs w:val="20"/>
        </w:rPr>
      </w:pPr>
    </w:p>
    <w:p w14:paraId="566DAD70" w14:textId="49C5FF7F" w:rsidR="00263DC5" w:rsidRPr="00263DC5" w:rsidRDefault="00263DC5" w:rsidP="00286092">
      <w:pPr>
        <w:widowControl w:val="0"/>
        <w:spacing w:after="110" w:line="480" w:lineRule="auto"/>
        <w:jc w:val="both"/>
        <w:rPr>
          <w:b/>
          <w:bCs/>
          <w:sz w:val="24"/>
          <w:szCs w:val="24"/>
        </w:rPr>
      </w:pPr>
      <w:r w:rsidRPr="00263DC5">
        <w:rPr>
          <w:b/>
          <w:bCs/>
          <w:sz w:val="24"/>
          <w:szCs w:val="24"/>
        </w:rPr>
        <w:t>References</w:t>
      </w:r>
    </w:p>
    <w:p w14:paraId="69B777A0" w14:textId="77777777" w:rsidR="00237C04" w:rsidRDefault="00263DC5" w:rsidP="00263DC5">
      <w:pPr>
        <w:pStyle w:val="ListParagraph"/>
        <w:widowControl w:val="0"/>
        <w:numPr>
          <w:ilvl w:val="0"/>
          <w:numId w:val="1"/>
        </w:numPr>
        <w:spacing w:after="110" w:line="480" w:lineRule="auto"/>
        <w:jc w:val="both"/>
      </w:pPr>
      <w:r w:rsidRPr="00263DC5">
        <w:rPr>
          <w:lang w:val="de-DE"/>
        </w:rPr>
        <w:t xml:space="preserve">Buchfink B, Reuter K, </w:t>
      </w:r>
      <w:proofErr w:type="spellStart"/>
      <w:r w:rsidRPr="00263DC5">
        <w:rPr>
          <w:lang w:val="de-DE"/>
        </w:rPr>
        <w:t>Drost</w:t>
      </w:r>
      <w:proofErr w:type="spellEnd"/>
      <w:r w:rsidRPr="00263DC5">
        <w:rPr>
          <w:lang w:val="de-DE"/>
        </w:rPr>
        <w:t xml:space="preserve"> H-G. </w:t>
      </w:r>
      <w:r w:rsidRPr="00263DC5">
        <w:t>Sensitive protein alignments at tree-of-life scale using DIAMOND. Nat Methods. 2021;18(4):366–8.</w:t>
      </w:r>
      <w:r w:rsidR="00237C04" w:rsidRPr="00237C04">
        <w:t xml:space="preserve"> </w:t>
      </w:r>
    </w:p>
    <w:p w14:paraId="43BEF7A7" w14:textId="77684CB6" w:rsidR="00263DC5" w:rsidRDefault="00237C04" w:rsidP="00263DC5">
      <w:pPr>
        <w:pStyle w:val="ListParagraph"/>
        <w:widowControl w:val="0"/>
        <w:numPr>
          <w:ilvl w:val="0"/>
          <w:numId w:val="1"/>
        </w:numPr>
        <w:spacing w:after="110" w:line="480" w:lineRule="auto"/>
        <w:jc w:val="both"/>
      </w:pPr>
      <w:r w:rsidRPr="00237C04">
        <w:t xml:space="preserve">Johnson LS, Eddy SR, </w:t>
      </w:r>
      <w:proofErr w:type="spellStart"/>
      <w:r w:rsidRPr="00237C04">
        <w:t>Portugaly</w:t>
      </w:r>
      <w:proofErr w:type="spellEnd"/>
      <w:r w:rsidRPr="00237C04">
        <w:t xml:space="preserve"> E. Hidden Markov model speed heuristic and iterative HMM search procedure. BMC Bioinformatics. 2010;11:431.</w:t>
      </w:r>
    </w:p>
    <w:p w14:paraId="322A3544" w14:textId="1665356B" w:rsidR="00263DC5" w:rsidRDefault="00263DC5" w:rsidP="00263DC5">
      <w:pPr>
        <w:pStyle w:val="ListParagraph"/>
        <w:widowControl w:val="0"/>
        <w:numPr>
          <w:ilvl w:val="0"/>
          <w:numId w:val="1"/>
        </w:numPr>
        <w:spacing w:after="110" w:line="480" w:lineRule="auto"/>
        <w:jc w:val="both"/>
      </w:pPr>
      <w:r w:rsidRPr="00263DC5">
        <w:t xml:space="preserve">Li Y, </w:t>
      </w:r>
      <w:proofErr w:type="spellStart"/>
      <w:r w:rsidRPr="00263DC5">
        <w:t>Steenwyk</w:t>
      </w:r>
      <w:proofErr w:type="spellEnd"/>
      <w:r w:rsidRPr="00263DC5">
        <w:t xml:space="preserve"> JL, Chang Y, Wang Y, James TY, </w:t>
      </w:r>
      <w:proofErr w:type="spellStart"/>
      <w:r w:rsidRPr="00263DC5">
        <w:t>Stajich</w:t>
      </w:r>
      <w:proofErr w:type="spellEnd"/>
      <w:r w:rsidRPr="00263DC5">
        <w:t xml:space="preserve"> JE, et al. A genome-scale phylogeny of the kingdom Fungi. </w:t>
      </w:r>
      <w:proofErr w:type="spellStart"/>
      <w:r w:rsidRPr="00263DC5">
        <w:t>Curr</w:t>
      </w:r>
      <w:proofErr w:type="spellEnd"/>
      <w:r w:rsidRPr="00263DC5">
        <w:t xml:space="preserve"> Biol. 2021;31(8):1653-1665.e5.</w:t>
      </w:r>
    </w:p>
    <w:p w14:paraId="0AE28823" w14:textId="0B2C00E0" w:rsidR="00263DC5" w:rsidRPr="00286092" w:rsidRDefault="00263DC5" w:rsidP="00263DC5">
      <w:pPr>
        <w:pStyle w:val="ListParagraph"/>
        <w:widowControl w:val="0"/>
        <w:numPr>
          <w:ilvl w:val="0"/>
          <w:numId w:val="1"/>
        </w:numPr>
        <w:spacing w:after="110" w:line="480" w:lineRule="auto"/>
        <w:jc w:val="both"/>
      </w:pPr>
      <w:r w:rsidRPr="00263DC5">
        <w:t>Weisman CM, Murray AW,</w:t>
      </w:r>
      <w:proofErr w:type="spellStart"/>
      <w:r w:rsidRPr="00263DC5">
        <w:t xml:space="preserve"> Eddy S</w:t>
      </w:r>
      <w:proofErr w:type="spellEnd"/>
      <w:r w:rsidRPr="00263DC5">
        <w:t xml:space="preserve">R. Many, but not all, lineage-specific genes can be explained by homology detection failure. </w:t>
      </w:r>
      <w:proofErr w:type="spellStart"/>
      <w:r w:rsidRPr="00263DC5">
        <w:t>PLoS</w:t>
      </w:r>
      <w:proofErr w:type="spellEnd"/>
      <w:r w:rsidRPr="00263DC5">
        <w:t xml:space="preserve"> Biol. 2020;18(11):e3000862.</w:t>
      </w:r>
    </w:p>
    <w:sectPr w:rsidR="00263DC5" w:rsidRPr="00286092" w:rsidSect="00597911">
      <w:headerReference w:type="default" r:id="rId12"/>
      <w:footerReference w:type="default" r:id="rId13"/>
      <w:pgSz w:w="11909" w:h="16834"/>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73000B" w14:textId="77777777" w:rsidR="001524B8" w:rsidRDefault="001524B8" w:rsidP="00560E98">
      <w:pPr>
        <w:spacing w:line="240" w:lineRule="auto"/>
      </w:pPr>
      <w:r>
        <w:separator/>
      </w:r>
    </w:p>
  </w:endnote>
  <w:endnote w:type="continuationSeparator" w:id="0">
    <w:p w14:paraId="520F1800" w14:textId="77777777" w:rsidR="001524B8" w:rsidRDefault="001524B8" w:rsidP="00560E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83DA7" w14:textId="78886EE9" w:rsidR="00C851DD" w:rsidRDefault="00C851DD">
    <w:pPr>
      <w:pStyle w:val="Footer"/>
      <w:jc w:val="right"/>
    </w:pPr>
    <w:r>
      <w:rPr>
        <w:color w:val="4472C4" w:themeColor="accent1"/>
        <w:sz w:val="20"/>
        <w:szCs w:val="20"/>
      </w:rPr>
      <w:t xml:space="preserve"> </w:t>
    </w:r>
    <w:r>
      <w:rPr>
        <w:color w:val="4472C4" w:themeColor="accent1"/>
        <w:sz w:val="20"/>
        <w:szCs w:val="20"/>
      </w:rPr>
      <w:fldChar w:fldCharType="begin"/>
    </w:r>
    <w:r>
      <w:rPr>
        <w:color w:val="4472C4" w:themeColor="accent1"/>
        <w:sz w:val="20"/>
        <w:szCs w:val="20"/>
      </w:rPr>
      <w:instrText xml:space="preserve"> PAGE  \* Arabic </w:instrText>
    </w:r>
    <w:r>
      <w:rPr>
        <w:color w:val="4472C4" w:themeColor="accent1"/>
        <w:sz w:val="20"/>
        <w:szCs w:val="20"/>
      </w:rPr>
      <w:fldChar w:fldCharType="separate"/>
    </w:r>
    <w:r>
      <w:rPr>
        <w:noProof/>
        <w:color w:val="4472C4" w:themeColor="accent1"/>
        <w:sz w:val="20"/>
        <w:szCs w:val="20"/>
      </w:rPr>
      <w:t>1</w:t>
    </w:r>
    <w:r>
      <w:rPr>
        <w:color w:val="4472C4" w:themeColor="accent1"/>
        <w:sz w:val="20"/>
        <w:szCs w:val="20"/>
      </w:rPr>
      <w:fldChar w:fldCharType="end"/>
    </w:r>
  </w:p>
  <w:p w14:paraId="2593F08A" w14:textId="77777777" w:rsidR="00C851DD" w:rsidRDefault="00C851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9C97CC" w14:textId="77777777" w:rsidR="001524B8" w:rsidRDefault="001524B8" w:rsidP="00560E98">
      <w:pPr>
        <w:spacing w:line="240" w:lineRule="auto"/>
      </w:pPr>
      <w:r>
        <w:separator/>
      </w:r>
    </w:p>
  </w:footnote>
  <w:footnote w:type="continuationSeparator" w:id="0">
    <w:p w14:paraId="310A782D" w14:textId="77777777" w:rsidR="001524B8" w:rsidRDefault="001524B8" w:rsidP="00560E9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95948" w14:textId="77777777" w:rsidR="00041AF0" w:rsidRDefault="00000000">
    <w:pPr>
      <w:spacing w:line="480" w:lineRule="auto"/>
      <w:jc w:val="both"/>
    </w:pPr>
  </w:p>
  <w:p w14:paraId="27D2EEE2" w14:textId="77777777" w:rsidR="00041AF0" w:rsidRDefault="0000000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1859FA"/>
    <w:multiLevelType w:val="hybridMultilevel"/>
    <w:tmpl w:val="120484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590172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092"/>
    <w:rsid w:val="00000A4B"/>
    <w:rsid w:val="0001022C"/>
    <w:rsid w:val="00024181"/>
    <w:rsid w:val="00032970"/>
    <w:rsid w:val="00043BE4"/>
    <w:rsid w:val="000607AC"/>
    <w:rsid w:val="00071C42"/>
    <w:rsid w:val="000802F1"/>
    <w:rsid w:val="00081677"/>
    <w:rsid w:val="00090194"/>
    <w:rsid w:val="00093A0A"/>
    <w:rsid w:val="00094078"/>
    <w:rsid w:val="000A37BF"/>
    <w:rsid w:val="000A4876"/>
    <w:rsid w:val="000A62BB"/>
    <w:rsid w:val="000B4BAE"/>
    <w:rsid w:val="000C2298"/>
    <w:rsid w:val="000C2B7F"/>
    <w:rsid w:val="000D2F71"/>
    <w:rsid w:val="000E3A7B"/>
    <w:rsid w:val="000F3F0B"/>
    <w:rsid w:val="0010113A"/>
    <w:rsid w:val="00117045"/>
    <w:rsid w:val="00136D5B"/>
    <w:rsid w:val="00137DCF"/>
    <w:rsid w:val="001524B8"/>
    <w:rsid w:val="00152FCB"/>
    <w:rsid w:val="00163241"/>
    <w:rsid w:val="00167EEB"/>
    <w:rsid w:val="00170F62"/>
    <w:rsid w:val="001A501F"/>
    <w:rsid w:val="001A5D47"/>
    <w:rsid w:val="001B79D3"/>
    <w:rsid w:val="001D2F32"/>
    <w:rsid w:val="001E70BD"/>
    <w:rsid w:val="001F0CC9"/>
    <w:rsid w:val="001F13F0"/>
    <w:rsid w:val="001F1BC4"/>
    <w:rsid w:val="0021526C"/>
    <w:rsid w:val="00216CFD"/>
    <w:rsid w:val="00224226"/>
    <w:rsid w:val="00237C04"/>
    <w:rsid w:val="00251971"/>
    <w:rsid w:val="00263DC5"/>
    <w:rsid w:val="00270FA4"/>
    <w:rsid w:val="002770B7"/>
    <w:rsid w:val="00286092"/>
    <w:rsid w:val="0029559B"/>
    <w:rsid w:val="002B10A6"/>
    <w:rsid w:val="002B1A1A"/>
    <w:rsid w:val="002B4773"/>
    <w:rsid w:val="002C1891"/>
    <w:rsid w:val="002C51DD"/>
    <w:rsid w:val="002C73D7"/>
    <w:rsid w:val="00301D55"/>
    <w:rsid w:val="00303908"/>
    <w:rsid w:val="00310138"/>
    <w:rsid w:val="003158E8"/>
    <w:rsid w:val="0033050F"/>
    <w:rsid w:val="00331F47"/>
    <w:rsid w:val="00333EBF"/>
    <w:rsid w:val="00343AC6"/>
    <w:rsid w:val="00346F1F"/>
    <w:rsid w:val="00355315"/>
    <w:rsid w:val="003638FF"/>
    <w:rsid w:val="0037738C"/>
    <w:rsid w:val="003A78E6"/>
    <w:rsid w:val="003C7569"/>
    <w:rsid w:val="003D1DB1"/>
    <w:rsid w:val="003D6533"/>
    <w:rsid w:val="003F0EB5"/>
    <w:rsid w:val="00400108"/>
    <w:rsid w:val="00410419"/>
    <w:rsid w:val="00417909"/>
    <w:rsid w:val="0042431C"/>
    <w:rsid w:val="004254E1"/>
    <w:rsid w:val="004356CD"/>
    <w:rsid w:val="00442D69"/>
    <w:rsid w:val="00446E56"/>
    <w:rsid w:val="004650F2"/>
    <w:rsid w:val="00494344"/>
    <w:rsid w:val="004A33AA"/>
    <w:rsid w:val="004B307B"/>
    <w:rsid w:val="004B41C7"/>
    <w:rsid w:val="004B476C"/>
    <w:rsid w:val="004C6571"/>
    <w:rsid w:val="004D5A52"/>
    <w:rsid w:val="004E18E2"/>
    <w:rsid w:val="004E2D48"/>
    <w:rsid w:val="004E4ACC"/>
    <w:rsid w:val="00511382"/>
    <w:rsid w:val="00515F0A"/>
    <w:rsid w:val="00516351"/>
    <w:rsid w:val="00523613"/>
    <w:rsid w:val="00531E23"/>
    <w:rsid w:val="005459F2"/>
    <w:rsid w:val="00560E98"/>
    <w:rsid w:val="00571882"/>
    <w:rsid w:val="005728E3"/>
    <w:rsid w:val="0058149E"/>
    <w:rsid w:val="00596C40"/>
    <w:rsid w:val="005A26AD"/>
    <w:rsid w:val="005B047F"/>
    <w:rsid w:val="005D649F"/>
    <w:rsid w:val="005E22A0"/>
    <w:rsid w:val="005E6BE2"/>
    <w:rsid w:val="00601D78"/>
    <w:rsid w:val="00632FC2"/>
    <w:rsid w:val="00646170"/>
    <w:rsid w:val="006547DC"/>
    <w:rsid w:val="00657EEE"/>
    <w:rsid w:val="00660025"/>
    <w:rsid w:val="0066237C"/>
    <w:rsid w:val="00667818"/>
    <w:rsid w:val="00674B1A"/>
    <w:rsid w:val="00693740"/>
    <w:rsid w:val="006B0661"/>
    <w:rsid w:val="006C1887"/>
    <w:rsid w:val="006D5E94"/>
    <w:rsid w:val="006E24EB"/>
    <w:rsid w:val="006F1320"/>
    <w:rsid w:val="006F1A66"/>
    <w:rsid w:val="00701E6F"/>
    <w:rsid w:val="00704673"/>
    <w:rsid w:val="00711D18"/>
    <w:rsid w:val="00736C91"/>
    <w:rsid w:val="007561D3"/>
    <w:rsid w:val="00763892"/>
    <w:rsid w:val="00781692"/>
    <w:rsid w:val="00796179"/>
    <w:rsid w:val="007A2946"/>
    <w:rsid w:val="007B7E07"/>
    <w:rsid w:val="007C0029"/>
    <w:rsid w:val="007D0585"/>
    <w:rsid w:val="007E6839"/>
    <w:rsid w:val="007F16AD"/>
    <w:rsid w:val="00804287"/>
    <w:rsid w:val="00810929"/>
    <w:rsid w:val="00813216"/>
    <w:rsid w:val="00820C81"/>
    <w:rsid w:val="008362AE"/>
    <w:rsid w:val="00844ABA"/>
    <w:rsid w:val="00864C92"/>
    <w:rsid w:val="00876AD2"/>
    <w:rsid w:val="00886437"/>
    <w:rsid w:val="0089026D"/>
    <w:rsid w:val="00896FA2"/>
    <w:rsid w:val="008A00C8"/>
    <w:rsid w:val="008B1E25"/>
    <w:rsid w:val="008C7593"/>
    <w:rsid w:val="008D30E8"/>
    <w:rsid w:val="008E0A24"/>
    <w:rsid w:val="008F1114"/>
    <w:rsid w:val="00903ECA"/>
    <w:rsid w:val="009215D6"/>
    <w:rsid w:val="009252C3"/>
    <w:rsid w:val="00934379"/>
    <w:rsid w:val="00935162"/>
    <w:rsid w:val="00940B70"/>
    <w:rsid w:val="009421A9"/>
    <w:rsid w:val="00942C70"/>
    <w:rsid w:val="0094582A"/>
    <w:rsid w:val="0096148F"/>
    <w:rsid w:val="009635A0"/>
    <w:rsid w:val="00967A21"/>
    <w:rsid w:val="0097056A"/>
    <w:rsid w:val="009754D4"/>
    <w:rsid w:val="009931B1"/>
    <w:rsid w:val="009A73FB"/>
    <w:rsid w:val="009B0117"/>
    <w:rsid w:val="009C3BA3"/>
    <w:rsid w:val="009C662B"/>
    <w:rsid w:val="009D4627"/>
    <w:rsid w:val="009D71F0"/>
    <w:rsid w:val="009E7C45"/>
    <w:rsid w:val="009F00F0"/>
    <w:rsid w:val="00A014DC"/>
    <w:rsid w:val="00A13ABC"/>
    <w:rsid w:val="00A15CD1"/>
    <w:rsid w:val="00A16433"/>
    <w:rsid w:val="00A35106"/>
    <w:rsid w:val="00A41FCD"/>
    <w:rsid w:val="00A57413"/>
    <w:rsid w:val="00A66752"/>
    <w:rsid w:val="00A750B2"/>
    <w:rsid w:val="00A80A19"/>
    <w:rsid w:val="00A8138D"/>
    <w:rsid w:val="00A86D80"/>
    <w:rsid w:val="00A95CF4"/>
    <w:rsid w:val="00A97D1A"/>
    <w:rsid w:val="00AA4FDE"/>
    <w:rsid w:val="00AD7EEF"/>
    <w:rsid w:val="00AF0E91"/>
    <w:rsid w:val="00AF2B2C"/>
    <w:rsid w:val="00AF653A"/>
    <w:rsid w:val="00B0034E"/>
    <w:rsid w:val="00B04B73"/>
    <w:rsid w:val="00B12076"/>
    <w:rsid w:val="00B159C4"/>
    <w:rsid w:val="00B17BD5"/>
    <w:rsid w:val="00B25E77"/>
    <w:rsid w:val="00B525F3"/>
    <w:rsid w:val="00B60ACD"/>
    <w:rsid w:val="00B75AC5"/>
    <w:rsid w:val="00B855E3"/>
    <w:rsid w:val="00B86D37"/>
    <w:rsid w:val="00B954C9"/>
    <w:rsid w:val="00BB02C1"/>
    <w:rsid w:val="00BC6E87"/>
    <w:rsid w:val="00BD5D12"/>
    <w:rsid w:val="00BE3DB5"/>
    <w:rsid w:val="00BE5B43"/>
    <w:rsid w:val="00BE6B45"/>
    <w:rsid w:val="00C13C69"/>
    <w:rsid w:val="00C15A35"/>
    <w:rsid w:val="00C17A53"/>
    <w:rsid w:val="00C25688"/>
    <w:rsid w:val="00C277D0"/>
    <w:rsid w:val="00C30FBC"/>
    <w:rsid w:val="00C44A0A"/>
    <w:rsid w:val="00C73C83"/>
    <w:rsid w:val="00C851DD"/>
    <w:rsid w:val="00CA3227"/>
    <w:rsid w:val="00CB2739"/>
    <w:rsid w:val="00CB6A56"/>
    <w:rsid w:val="00CD5ADC"/>
    <w:rsid w:val="00CE43CC"/>
    <w:rsid w:val="00D301CA"/>
    <w:rsid w:val="00D3392B"/>
    <w:rsid w:val="00D378B7"/>
    <w:rsid w:val="00D37EE0"/>
    <w:rsid w:val="00D47388"/>
    <w:rsid w:val="00D51F16"/>
    <w:rsid w:val="00D60DC3"/>
    <w:rsid w:val="00D7581B"/>
    <w:rsid w:val="00D7629B"/>
    <w:rsid w:val="00D91AED"/>
    <w:rsid w:val="00DA2711"/>
    <w:rsid w:val="00DB73F9"/>
    <w:rsid w:val="00DC45ED"/>
    <w:rsid w:val="00DD1B44"/>
    <w:rsid w:val="00DE7269"/>
    <w:rsid w:val="00DF4B7C"/>
    <w:rsid w:val="00E27B2D"/>
    <w:rsid w:val="00E574EA"/>
    <w:rsid w:val="00E8155D"/>
    <w:rsid w:val="00E82D35"/>
    <w:rsid w:val="00E90F33"/>
    <w:rsid w:val="00E9356D"/>
    <w:rsid w:val="00EC2E11"/>
    <w:rsid w:val="00EC68BB"/>
    <w:rsid w:val="00ED6CC8"/>
    <w:rsid w:val="00EE324B"/>
    <w:rsid w:val="00EE682F"/>
    <w:rsid w:val="00F02E79"/>
    <w:rsid w:val="00F04C35"/>
    <w:rsid w:val="00F14B89"/>
    <w:rsid w:val="00F277CD"/>
    <w:rsid w:val="00F50F72"/>
    <w:rsid w:val="00F52C1B"/>
    <w:rsid w:val="00F6436C"/>
    <w:rsid w:val="00F70BD4"/>
    <w:rsid w:val="00F830AC"/>
    <w:rsid w:val="00F9474C"/>
    <w:rsid w:val="00F9517D"/>
    <w:rsid w:val="00FB2DF3"/>
    <w:rsid w:val="00FB4697"/>
    <w:rsid w:val="00FD5706"/>
    <w:rsid w:val="00FE40E1"/>
    <w:rsid w:val="00FE6156"/>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ecimalSymbol w:val=","/>
  <w:listSeparator w:val=","/>
  <w14:docId w14:val="13D41AE7"/>
  <w15:chartTrackingRefBased/>
  <w15:docId w15:val="{9662979D-A70E-C146-B2C2-4E9A5396F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092"/>
    <w:pPr>
      <w:spacing w:line="276" w:lineRule="auto"/>
    </w:pPr>
    <w:rPr>
      <w:rFonts w:ascii="Arial" w:eastAsia="Arial" w:hAnsi="Arial" w:cs="Arial"/>
      <w:sz w:val="22"/>
      <w:szCs w:val="22"/>
      <w:lang w:val="en"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0E98"/>
    <w:pPr>
      <w:tabs>
        <w:tab w:val="center" w:pos="4513"/>
        <w:tab w:val="right" w:pos="9026"/>
      </w:tabs>
      <w:spacing w:line="240" w:lineRule="auto"/>
    </w:pPr>
  </w:style>
  <w:style w:type="character" w:customStyle="1" w:styleId="HeaderChar">
    <w:name w:val="Header Char"/>
    <w:basedOn w:val="DefaultParagraphFont"/>
    <w:link w:val="Header"/>
    <w:uiPriority w:val="99"/>
    <w:rsid w:val="00560E98"/>
    <w:rPr>
      <w:rFonts w:ascii="Arial" w:eastAsia="Arial" w:hAnsi="Arial" w:cs="Arial"/>
      <w:sz w:val="22"/>
      <w:szCs w:val="22"/>
      <w:lang w:val="en" w:eastAsia="en-GB"/>
    </w:rPr>
  </w:style>
  <w:style w:type="paragraph" w:styleId="Footer">
    <w:name w:val="footer"/>
    <w:basedOn w:val="Normal"/>
    <w:link w:val="FooterChar"/>
    <w:uiPriority w:val="99"/>
    <w:unhideWhenUsed/>
    <w:rsid w:val="00560E98"/>
    <w:pPr>
      <w:tabs>
        <w:tab w:val="center" w:pos="4513"/>
        <w:tab w:val="right" w:pos="9026"/>
      </w:tabs>
      <w:spacing w:line="240" w:lineRule="auto"/>
    </w:pPr>
  </w:style>
  <w:style w:type="character" w:customStyle="1" w:styleId="FooterChar">
    <w:name w:val="Footer Char"/>
    <w:basedOn w:val="DefaultParagraphFont"/>
    <w:link w:val="Footer"/>
    <w:uiPriority w:val="99"/>
    <w:rsid w:val="00560E98"/>
    <w:rPr>
      <w:rFonts w:ascii="Arial" w:eastAsia="Arial" w:hAnsi="Arial" w:cs="Arial"/>
      <w:sz w:val="22"/>
      <w:szCs w:val="22"/>
      <w:lang w:val="en" w:eastAsia="en-GB"/>
    </w:rPr>
  </w:style>
  <w:style w:type="paragraph" w:styleId="ListParagraph">
    <w:name w:val="List Paragraph"/>
    <w:basedOn w:val="Normal"/>
    <w:uiPriority w:val="34"/>
    <w:qFormat/>
    <w:rsid w:val="00263D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72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18965F-6173-3149-8D46-53CDF6CE9B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5</Pages>
  <Words>586</Words>
  <Characters>3342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9</cp:revision>
  <dcterms:created xsi:type="dcterms:W3CDTF">2023-03-03T09:44:00Z</dcterms:created>
  <dcterms:modified xsi:type="dcterms:W3CDTF">2023-03-21T13:13:00Z</dcterms:modified>
</cp:coreProperties>
</file>