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5BAF2" w14:textId="77777777" w:rsidR="00C9468D" w:rsidRPr="00903AF6" w:rsidRDefault="00C9468D" w:rsidP="00C9468D">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rPr>
        <w:t>Review History</w:t>
      </w:r>
    </w:p>
    <w:p w14:paraId="0BE19455" w14:textId="77777777"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First round of review</w:t>
      </w:r>
    </w:p>
    <w:p w14:paraId="6804401E" w14:textId="77777777"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061CA46E" w14:textId="77777777" w:rsidR="00C9468D" w:rsidRPr="00903AF6" w:rsidRDefault="00C9468D" w:rsidP="00C9468D">
      <w:pPr>
        <w:spacing w:after="0" w:line="240" w:lineRule="auto"/>
        <w:rPr>
          <w:rFonts w:ascii="Times New Roman" w:eastAsia="Times New Roman" w:hAnsi="Times New Roman" w:cs="Times New Roman"/>
          <w:sz w:val="24"/>
          <w:szCs w:val="24"/>
        </w:rPr>
      </w:pPr>
    </w:p>
    <w:p w14:paraId="13DCC829" w14:textId="02C1F40A"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w:t>
      </w:r>
      <w:r>
        <w:rPr>
          <w:rFonts w:ascii="Times New Roman" w:eastAsia="Times New Roman" w:hAnsi="Times New Roman" w:cs="Times New Roman"/>
          <w:b/>
          <w:bCs/>
          <w:shd w:val="clear" w:color="auto" w:fill="FFFFFF"/>
        </w:rPr>
        <w:t xml:space="preserve"> </w:t>
      </w:r>
      <w:r>
        <w:rPr>
          <w:rFonts w:ascii="Times New Roman" w:eastAsia="Times New Roman" w:hAnsi="Times New Roman" w:cs="Times New Roman"/>
          <w:bCs/>
          <w:shd w:val="clear" w:color="auto" w:fill="FFFFFF"/>
        </w:rPr>
        <w:t>No, I do not feel adequately qualified to assess the statistics</w:t>
      </w:r>
      <w:r>
        <w:rPr>
          <w:rFonts w:ascii="Times New Roman" w:eastAsia="Times New Roman" w:hAnsi="Times New Roman" w:cs="Times New Roman"/>
          <w:bCs/>
          <w:shd w:val="clear" w:color="auto" w:fill="FFFFFF"/>
        </w:rPr>
        <w:t>.</w:t>
      </w:r>
    </w:p>
    <w:p w14:paraId="17F78937" w14:textId="77777777" w:rsidR="00C9468D" w:rsidRPr="00903AF6" w:rsidRDefault="00C9468D" w:rsidP="00C9468D">
      <w:pPr>
        <w:spacing w:after="0" w:line="240" w:lineRule="auto"/>
        <w:rPr>
          <w:rFonts w:ascii="Times New Roman" w:eastAsia="Times New Roman" w:hAnsi="Times New Roman" w:cs="Times New Roman"/>
          <w:sz w:val="24"/>
          <w:szCs w:val="24"/>
        </w:rPr>
      </w:pPr>
    </w:p>
    <w:p w14:paraId="0E57BEED" w14:textId="77777777"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57444990" w14:textId="48238EFA" w:rsidR="00C9468D" w:rsidRDefault="00C9468D" w:rsidP="00C9468D">
      <w:pPr>
        <w:spacing w:after="240" w:line="240" w:lineRule="auto"/>
        <w:rPr>
          <w:rFonts w:ascii="Times New Roman" w:eastAsia="Times New Roman" w:hAnsi="Times New Roman" w:cs="Times New Roman"/>
          <w:sz w:val="24"/>
          <w:szCs w:val="24"/>
        </w:rPr>
      </w:pPr>
    </w:p>
    <w:p w14:paraId="7C2D26B0" w14:textId="65BBCC6E"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This paper by Glaser et el. explores the possibility of performing multiplex gene editing in primary human T cells to generate off-the-shelf CAR T cells carrying multiple genetic edits. In this setting, the conventional CRISPR/Cas system would fall short due to the high risk of translocations (supported by experimental data in the manuscript) when multiple DNA breaks are induced simultaneously. To mitigate this risk, the authors make use of a nuclease-active Cas enzyme for inserting the CAR gene into the TRAC locus while employing base editors to make single base edits that knock out class I and II genes. Combining this approach takes out the two-way </w:t>
      </w:r>
      <w:proofErr w:type="spellStart"/>
      <w:r w:rsidRPr="00C9468D">
        <w:rPr>
          <w:rFonts w:ascii="Times New Roman" w:eastAsia="Times New Roman" w:hAnsi="Times New Roman" w:cs="Times New Roman"/>
          <w:sz w:val="24"/>
          <w:szCs w:val="24"/>
        </w:rPr>
        <w:t>allo</w:t>
      </w:r>
      <w:proofErr w:type="spellEnd"/>
      <w:r w:rsidRPr="00C9468D">
        <w:rPr>
          <w:rFonts w:ascii="Times New Roman" w:eastAsia="Times New Roman" w:hAnsi="Times New Roman" w:cs="Times New Roman"/>
          <w:sz w:val="24"/>
          <w:szCs w:val="24"/>
        </w:rPr>
        <w:t>-reactivity between donor and recipient cells. This approach to generate allogeneic T cells is as such not novel (see for example PMID 32321775), but the technological method of doing this is elegant and has to my knowledge not been reported before, i.e. combining targeted knock-in using a nuclease-active Cas enzyme with that of base editors. As the authors show, this significantly reduces the number of translocations and constitutes a significant advance in the path for generating safer allogeneic T cell therapies. The experiments are performed in a vigorous manner and the data presented well (with exception of a few minor points below). The conclusions reached are sounds, and I only have minor comments that the authors should address.</w:t>
      </w:r>
    </w:p>
    <w:p w14:paraId="7D2143D7" w14:textId="709E8146"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2, Line 34: This sentence seems a bit odd. I'm not sure how the proof reading comes into play during a translocation.</w:t>
      </w:r>
    </w:p>
    <w:p w14:paraId="7D19C80B" w14:textId="0BD24368"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2, Line 57: I believe it's worth mentioning that there still have been (at least to my knowledge) no adverse events reported in clinical gene editing trials or in experiments with primary cells in vitro due to translocations, and that the significance of the risk for tumorigenesis is still debatable, particularly when designing sgRNAs carefully.</w:t>
      </w:r>
    </w:p>
    <w:p w14:paraId="164436D6" w14:textId="1C70B2B1"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3, end of introduction. I suggest adding citations that back up the claim or at least suggest that MHC-I and particularly MHC-II knockout is necessary in allogeneic CAR T cells.</w:t>
      </w:r>
    </w:p>
    <w:p w14:paraId="45501B7C" w14:textId="2A83F5D6"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3, Line 34. PMID: 32241852 is missing as an important reference for TRAC knock-in.</w:t>
      </w:r>
    </w:p>
    <w:p w14:paraId="53DEE95A" w14:textId="237ADBCD"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Several lines have a German sentence that begins with "</w:t>
      </w:r>
      <w:proofErr w:type="spellStart"/>
      <w:r w:rsidRPr="00C9468D">
        <w:rPr>
          <w:rFonts w:ascii="Times New Roman" w:eastAsia="Times New Roman" w:hAnsi="Times New Roman" w:cs="Times New Roman"/>
          <w:sz w:val="24"/>
          <w:szCs w:val="24"/>
        </w:rPr>
        <w:t>Fehler</w:t>
      </w:r>
      <w:proofErr w:type="spellEnd"/>
      <w:r w:rsidRPr="00C9468D">
        <w:rPr>
          <w:rFonts w:ascii="Times New Roman" w:eastAsia="Times New Roman" w:hAnsi="Times New Roman" w:cs="Times New Roman"/>
          <w:sz w:val="24"/>
          <w:szCs w:val="24"/>
        </w:rPr>
        <w:t>....". Please correct all instances.</w:t>
      </w:r>
    </w:p>
    <w:p w14:paraId="223B0904" w14:textId="3B4EFEC5"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Headline for Figure 1B should be rephrased to Potential translocations with...</w:t>
      </w:r>
    </w:p>
    <w:p w14:paraId="4DD5B3DF" w14:textId="77777777"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Figures reporting on translocations. I was wondering how the translocations were calculated as '% of cells'. With </w:t>
      </w:r>
      <w:proofErr w:type="spellStart"/>
      <w:r w:rsidRPr="00C9468D">
        <w:rPr>
          <w:rFonts w:ascii="Times New Roman" w:eastAsia="Times New Roman" w:hAnsi="Times New Roman" w:cs="Times New Roman"/>
          <w:sz w:val="24"/>
          <w:szCs w:val="24"/>
        </w:rPr>
        <w:t>ddPCR</w:t>
      </w:r>
      <w:proofErr w:type="spellEnd"/>
      <w:r w:rsidRPr="00C9468D">
        <w:rPr>
          <w:rFonts w:ascii="Times New Roman" w:eastAsia="Times New Roman" w:hAnsi="Times New Roman" w:cs="Times New Roman"/>
          <w:sz w:val="24"/>
          <w:szCs w:val="24"/>
        </w:rPr>
        <w:t xml:space="preserve"> you don't know the distribution of the translocations among the cells. For example, consider two cell equivalents measured by the reference assay (four copies) and </w:t>
      </w:r>
      <w:r w:rsidRPr="00C9468D">
        <w:rPr>
          <w:rFonts w:ascii="Times New Roman" w:eastAsia="Times New Roman" w:hAnsi="Times New Roman" w:cs="Times New Roman"/>
          <w:sz w:val="24"/>
          <w:szCs w:val="24"/>
        </w:rPr>
        <w:lastRenderedPageBreak/>
        <w:t>two translocations measured (of the same translocation type). The two translocations could be distributed with one translocation in each cell (100% of cells carrying translocations) or both translocations occurring in the same cell (50% of cells carrying translocations). So I suppose translocations can only be reported as something like "% translocations per haploid genome"?</w:t>
      </w:r>
    </w:p>
    <w:p w14:paraId="486C3736" w14:textId="6090A75A"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4, line 15. Please explain "base modified " in more detail.</w:t>
      </w:r>
    </w:p>
    <w:p w14:paraId="58C44E28" w14:textId="28711518"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Figure 2+6. Please optimize the color choice since the light and dark blue are difficult to distinguish.</w:t>
      </w:r>
    </w:p>
    <w:p w14:paraId="109DAE76" w14:textId="1542F4B1"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The data in Figure 2 indicating that the sgRNAs are exchanged between Cas9 and BEs is intriguing. I suggest the authors back this claim up by findings in PMID: 30297964.</w:t>
      </w:r>
    </w:p>
    <w:p w14:paraId="3EA2BD43" w14:textId="44B1DBE7"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Figure 4a. Can you elaborate on the HDR donor design. Normally, one would design the SpCas9 donor to have the homology arms split on the cut site, thereby eliminating any need to mutate the PAM to avoid donor cutting. This figure indicates that the intact </w:t>
      </w:r>
      <w:proofErr w:type="spellStart"/>
      <w:r w:rsidRPr="00C9468D">
        <w:rPr>
          <w:rFonts w:ascii="Times New Roman" w:eastAsia="Times New Roman" w:hAnsi="Times New Roman" w:cs="Times New Roman"/>
          <w:sz w:val="24"/>
          <w:szCs w:val="24"/>
        </w:rPr>
        <w:t>protospacer+PAM</w:t>
      </w:r>
      <w:proofErr w:type="spellEnd"/>
      <w:r w:rsidRPr="00C9468D">
        <w:rPr>
          <w:rFonts w:ascii="Times New Roman" w:eastAsia="Times New Roman" w:hAnsi="Times New Roman" w:cs="Times New Roman"/>
          <w:sz w:val="24"/>
          <w:szCs w:val="24"/>
        </w:rPr>
        <w:t xml:space="preserve"> is in the right homology arm?</w:t>
      </w:r>
    </w:p>
    <w:p w14:paraId="2E862FA5" w14:textId="764E1032"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Figure 4g. It is unclear why the legend below Figure 4g is placed here. I assume it relates to all of c, e, f, and g?</w:t>
      </w:r>
    </w:p>
    <w:p w14:paraId="301C4D18" w14:textId="2BD041DB"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Page 5, Line 16. Please elaborate on this phenomenon on higher HLA-A/B/C levels with Cas12 rather than Cas9. The cells are all still negative as I assume the vertical line denotes a negative/positive gate?</w:t>
      </w:r>
    </w:p>
    <w:p w14:paraId="7E10AA84" w14:textId="6F7B336A" w:rsidR="00C9468D" w:rsidRPr="00C9468D"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Discussion: One might add PASTE and CAST systems for DSB-free approaches for targeted large-gene knock-in.</w:t>
      </w:r>
    </w:p>
    <w:p w14:paraId="1730DDD2" w14:textId="606A8535" w:rsidR="00C9468D" w:rsidRPr="00903AF6" w:rsidRDefault="00C9468D" w:rsidP="00C9468D">
      <w:pPr>
        <w:spacing w:after="24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Discussion: The missing self-response by NK cells should be introduced in the introduction as skilled immunologists might already wonder why this hasn't been at least textually addressed in the editing approach when trying to remove class I and II.</w:t>
      </w:r>
    </w:p>
    <w:p w14:paraId="4729E1B9" w14:textId="77777777" w:rsidR="00C9468D" w:rsidRDefault="00C9468D" w:rsidP="00C9468D">
      <w:pPr>
        <w:spacing w:after="0" w:line="240" w:lineRule="auto"/>
        <w:rPr>
          <w:rFonts w:ascii="Times New Roman" w:eastAsia="Times New Roman" w:hAnsi="Times New Roman" w:cs="Times New Roman"/>
          <w:b/>
          <w:bCs/>
        </w:rPr>
      </w:pPr>
    </w:p>
    <w:p w14:paraId="71C6ED61" w14:textId="647066F0"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2</w:t>
      </w:r>
    </w:p>
    <w:p w14:paraId="778D9ACB" w14:textId="77777777" w:rsidR="00C9468D" w:rsidRPr="00903AF6" w:rsidRDefault="00C9468D" w:rsidP="00C9468D">
      <w:pPr>
        <w:spacing w:after="0" w:line="240" w:lineRule="auto"/>
        <w:rPr>
          <w:rFonts w:ascii="Times New Roman" w:eastAsia="Times New Roman" w:hAnsi="Times New Roman" w:cs="Times New Roman"/>
          <w:sz w:val="24"/>
          <w:szCs w:val="24"/>
        </w:rPr>
      </w:pPr>
    </w:p>
    <w:p w14:paraId="0E7867FE" w14:textId="77777777" w:rsidR="00C9468D" w:rsidRPr="00903AF6" w:rsidRDefault="00C9468D" w:rsidP="00C9468D">
      <w:pPr>
        <w:spacing w:after="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shd w:val="clear" w:color="auto" w:fill="FFFFFF"/>
        </w:rPr>
        <w:t>Are you able to assess all statistics in the manuscript, including the appropriateness of statistical tests used? </w:t>
      </w:r>
      <w:r>
        <w:rPr>
          <w:rFonts w:ascii="Times New Roman" w:eastAsia="Times New Roman" w:hAnsi="Times New Roman" w:cs="Times New Roman"/>
          <w:bCs/>
          <w:shd w:val="clear" w:color="auto" w:fill="FFFFFF"/>
        </w:rPr>
        <w:t>Yes, and I have assessed the statistics in my report.</w:t>
      </w:r>
    </w:p>
    <w:p w14:paraId="3C3A33B2" w14:textId="77777777" w:rsidR="00C9468D" w:rsidRPr="00903AF6" w:rsidRDefault="00C9468D" w:rsidP="00C9468D">
      <w:pPr>
        <w:spacing w:after="0" w:line="240" w:lineRule="auto"/>
        <w:rPr>
          <w:rFonts w:ascii="Times New Roman" w:eastAsia="Times New Roman" w:hAnsi="Times New Roman" w:cs="Times New Roman"/>
          <w:sz w:val="24"/>
          <w:szCs w:val="24"/>
        </w:rPr>
      </w:pPr>
    </w:p>
    <w:p w14:paraId="1FDE04E3" w14:textId="77777777" w:rsidR="00C9468D" w:rsidRPr="00903AF6" w:rsidRDefault="00C9468D" w:rsidP="00C9468D">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Comments to author:</w:t>
      </w:r>
    </w:p>
    <w:p w14:paraId="6F13D6DB"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SUMMARY</w:t>
      </w:r>
    </w:p>
    <w:p w14:paraId="67268EB6"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Glaser et al. report a combination of nuclease/HDR mediated knock-in (KI) and base editor (BE) mediated multiplex knock-out (KO) in human T cells with reduced translocation byproducts.</w:t>
      </w:r>
    </w:p>
    <w:p w14:paraId="4D3DCD09"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KI of a CD19-CAR into the TRAC locus is accompanied by concurrent KO of B2M and CIITA to generate an allogeneic CAR-T cell product.</w:t>
      </w:r>
    </w:p>
    <w:p w14:paraId="56EFA1D8"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The authors describe how using SpCas9 nuclease together with SpCas9-based ABE leads to gRNA swapping with persisting (albeit reduced) translocations.</w:t>
      </w:r>
    </w:p>
    <w:p w14:paraId="4220B190"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lastRenderedPageBreak/>
        <w:t>They overcome this problem by using an AsCas12a variant for HDR-mediated KI together with a SpCas9-based ABE variant.</w:t>
      </w:r>
    </w:p>
    <w:p w14:paraId="7B48AFD6"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This final constellation enables therapeutically relevant (and increased) CAR KI rates of ~30% (similar to </w:t>
      </w:r>
      <w:proofErr w:type="spellStart"/>
      <w:r w:rsidRPr="00C9468D">
        <w:rPr>
          <w:rFonts w:ascii="Times New Roman" w:eastAsia="Times New Roman" w:hAnsi="Times New Roman" w:cs="Times New Roman"/>
          <w:sz w:val="24"/>
          <w:szCs w:val="24"/>
        </w:rPr>
        <w:t>lentivirally</w:t>
      </w:r>
      <w:proofErr w:type="spellEnd"/>
      <w:r w:rsidRPr="00C9468D">
        <w:rPr>
          <w:rFonts w:ascii="Times New Roman" w:eastAsia="Times New Roman" w:hAnsi="Times New Roman" w:cs="Times New Roman"/>
          <w:sz w:val="24"/>
          <w:szCs w:val="24"/>
        </w:rPr>
        <w:t xml:space="preserve"> transduced CAR-T products in clinical use),</w:t>
      </w:r>
    </w:p>
    <w:p w14:paraId="2E8E8C5F"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efficient ABE-mediated multiplex-KO that prevents NK cell mediated destruction of the allogeneic CAR-T product, and substantially reduced translocation frequencies.</w:t>
      </w:r>
    </w:p>
    <w:p w14:paraId="2DABD415"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33F3EC9E"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ASSESSMENT</w:t>
      </w:r>
    </w:p>
    <w:p w14:paraId="2FC92BB6"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This study is well-executed and the findings are highly relevant.</w:t>
      </w:r>
    </w:p>
    <w:p w14:paraId="539EB570"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The combination of different CRISPR editing modalities to yield complex cell products is both elegant and exciting.</w:t>
      </w:r>
    </w:p>
    <w:p w14:paraId="0AA37F1B"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This approach enables safety-enhanced cell products with large payload integration (HDR) and multiplex-KO which is relevant to the entire field of gene/cell therapy.</w:t>
      </w:r>
    </w:p>
    <w:p w14:paraId="3D4FD420"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The focus on translocations (and reduction thereof) is important for clinical translation of newer CAR-T therapies, given similar products are in clinical development and multiplex-KO is needed in all allogeneic T cell products.</w:t>
      </w:r>
    </w:p>
    <w:p w14:paraId="3A8994A2"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4B17EFDB"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MINOR</w:t>
      </w:r>
    </w:p>
    <w:p w14:paraId="705978B3"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33786A8E"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P4, Lines 50-56: I don't understand this case. The study was halted because CAR-T cells showed translocations but the CAR-T product didn't contain cells with translocations?</w:t>
      </w:r>
    </w:p>
    <w:p w14:paraId="2D9CA96C"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6E1C53EC"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P5, Lines 5-7 vs. 9-11 are redundant.</w:t>
      </w:r>
    </w:p>
    <w:p w14:paraId="4FCC6DB5"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7099A506"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P7, Lines 53-54: Why is MHC class I expression in TRAC-CAR KI (Cas12a) + MHC </w:t>
      </w:r>
      <w:proofErr w:type="spellStart"/>
      <w:r w:rsidRPr="00C9468D">
        <w:rPr>
          <w:rFonts w:ascii="Times New Roman" w:eastAsia="Times New Roman" w:hAnsi="Times New Roman" w:cs="Times New Roman"/>
          <w:sz w:val="24"/>
          <w:szCs w:val="24"/>
        </w:rPr>
        <w:t>dKO</w:t>
      </w:r>
      <w:proofErr w:type="spellEnd"/>
      <w:r w:rsidRPr="00C9468D">
        <w:rPr>
          <w:rFonts w:ascii="Times New Roman" w:eastAsia="Times New Roman" w:hAnsi="Times New Roman" w:cs="Times New Roman"/>
          <w:sz w:val="24"/>
          <w:szCs w:val="24"/>
        </w:rPr>
        <w:t xml:space="preserve"> (BE) cells higher (and compared to what)? Sorry, if I missed this.</w:t>
      </w:r>
    </w:p>
    <w:p w14:paraId="515CC313"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6EB49F51"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P9, Lines 17-19: REF for the passage on AAV6-enhanced KI?</w:t>
      </w:r>
    </w:p>
    <w:p w14:paraId="2250EA74"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153F19B8"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Fig. 1f: Could the authors please explain why ~50% of the mock treated cells are single+?</w:t>
      </w:r>
    </w:p>
    <w:p w14:paraId="30CA5673"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5D6352DE" w14:textId="77777777" w:rsidR="00C9468D" w:rsidRP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 xml:space="preserve">Fig. 1h: Somewhat hard to grasp how mock negative control (grey) vs. TRAC-KO + MHC </w:t>
      </w:r>
      <w:proofErr w:type="spellStart"/>
      <w:r w:rsidRPr="00C9468D">
        <w:rPr>
          <w:rFonts w:ascii="Times New Roman" w:eastAsia="Times New Roman" w:hAnsi="Times New Roman" w:cs="Times New Roman"/>
          <w:sz w:val="24"/>
          <w:szCs w:val="24"/>
        </w:rPr>
        <w:t>dKO</w:t>
      </w:r>
      <w:proofErr w:type="spellEnd"/>
      <w:r w:rsidRPr="00C9468D">
        <w:rPr>
          <w:rFonts w:ascii="Times New Roman" w:eastAsia="Times New Roman" w:hAnsi="Times New Roman" w:cs="Times New Roman"/>
          <w:sz w:val="24"/>
          <w:szCs w:val="24"/>
        </w:rPr>
        <w:t xml:space="preserve"> (pink) is not significantly different? Is this the right statistical test? Pink vs. blue being </w:t>
      </w:r>
      <w:proofErr w:type="spellStart"/>
      <w:r w:rsidRPr="00C9468D">
        <w:rPr>
          <w:rFonts w:ascii="Times New Roman" w:eastAsia="Times New Roman" w:hAnsi="Times New Roman" w:cs="Times New Roman"/>
          <w:sz w:val="24"/>
          <w:szCs w:val="24"/>
        </w:rPr>
        <w:t>n.s</w:t>
      </w:r>
      <w:proofErr w:type="spellEnd"/>
      <w:r w:rsidRPr="00C9468D">
        <w:rPr>
          <w:rFonts w:ascii="Times New Roman" w:eastAsia="Times New Roman" w:hAnsi="Times New Roman" w:cs="Times New Roman"/>
          <w:sz w:val="24"/>
          <w:szCs w:val="24"/>
        </w:rPr>
        <w:t>. makes sense. Wouldn't this mean that there are no significant translocations in triple-DSB cells vs. untreated cells?</w:t>
      </w:r>
    </w:p>
    <w:p w14:paraId="466EE75D" w14:textId="77777777" w:rsidR="00C9468D" w:rsidRPr="00C9468D" w:rsidRDefault="00C9468D" w:rsidP="00C9468D">
      <w:pPr>
        <w:spacing w:after="0" w:line="240" w:lineRule="auto"/>
        <w:rPr>
          <w:rFonts w:ascii="Times New Roman" w:eastAsia="Times New Roman" w:hAnsi="Times New Roman" w:cs="Times New Roman"/>
          <w:sz w:val="24"/>
          <w:szCs w:val="24"/>
        </w:rPr>
      </w:pPr>
    </w:p>
    <w:p w14:paraId="236E4E69" w14:textId="74B02BA8" w:rsidR="00C9468D" w:rsidRDefault="00C9468D" w:rsidP="00C9468D">
      <w:pPr>
        <w:spacing w:after="0" w:line="240" w:lineRule="auto"/>
        <w:rPr>
          <w:rFonts w:ascii="Times New Roman" w:eastAsia="Times New Roman" w:hAnsi="Times New Roman" w:cs="Times New Roman"/>
          <w:sz w:val="24"/>
          <w:szCs w:val="24"/>
        </w:rPr>
      </w:pPr>
      <w:r w:rsidRPr="00C9468D">
        <w:rPr>
          <w:rFonts w:ascii="Times New Roman" w:eastAsia="Times New Roman" w:hAnsi="Times New Roman" w:cs="Times New Roman"/>
          <w:sz w:val="24"/>
          <w:szCs w:val="24"/>
        </w:rPr>
        <w:t>Fig. 4c, e, g: Could the authors speculate as to why PAM disruption prevents re-targeting (and increases HDR) with Cas12a but not with Cas9?</w:t>
      </w:r>
    </w:p>
    <w:p w14:paraId="2587BB01" w14:textId="631DC949" w:rsidR="00C9468D" w:rsidRDefault="00C9468D" w:rsidP="00C9468D">
      <w:pPr>
        <w:spacing w:after="0" w:line="240" w:lineRule="auto"/>
        <w:rPr>
          <w:rFonts w:ascii="Times New Roman" w:eastAsia="Times New Roman" w:hAnsi="Times New Roman" w:cs="Times New Roman"/>
          <w:sz w:val="24"/>
          <w:szCs w:val="24"/>
        </w:rPr>
      </w:pPr>
    </w:p>
    <w:p w14:paraId="08BFF101" w14:textId="1EDEDC2E" w:rsidR="00C9468D" w:rsidRDefault="00C9468D" w:rsidP="00C9468D">
      <w:pPr>
        <w:spacing w:after="0" w:line="240" w:lineRule="auto"/>
        <w:rPr>
          <w:rFonts w:ascii="Times New Roman" w:eastAsia="Times New Roman" w:hAnsi="Times New Roman" w:cs="Times New Roman"/>
          <w:sz w:val="24"/>
          <w:szCs w:val="24"/>
        </w:rPr>
      </w:pPr>
    </w:p>
    <w:p w14:paraId="66B196C4" w14:textId="45F1D709" w:rsidR="00C9468D" w:rsidRDefault="00C9468D" w:rsidP="00C9468D">
      <w:pPr>
        <w:spacing w:after="0" w:line="240" w:lineRule="auto"/>
        <w:rPr>
          <w:rFonts w:ascii="Times New Roman" w:eastAsia="Times New Roman" w:hAnsi="Times New Roman" w:cs="Times New Roman"/>
          <w:sz w:val="24"/>
          <w:szCs w:val="24"/>
        </w:rPr>
      </w:pPr>
    </w:p>
    <w:p w14:paraId="69D35B72" w14:textId="6C6802D2" w:rsidR="00C9468D" w:rsidRDefault="00C9468D" w:rsidP="00C9468D">
      <w:pPr>
        <w:spacing w:after="0" w:line="240" w:lineRule="auto"/>
        <w:rPr>
          <w:rFonts w:ascii="Times New Roman" w:eastAsia="Times New Roman" w:hAnsi="Times New Roman" w:cs="Times New Roman"/>
          <w:sz w:val="24"/>
          <w:szCs w:val="24"/>
        </w:rPr>
      </w:pPr>
    </w:p>
    <w:p w14:paraId="6D412D65" w14:textId="78776650" w:rsidR="00C9468D" w:rsidRDefault="00C9468D" w:rsidP="00C9468D">
      <w:pPr>
        <w:spacing w:after="0" w:line="240" w:lineRule="auto"/>
        <w:rPr>
          <w:rFonts w:ascii="Times New Roman" w:eastAsia="Times New Roman" w:hAnsi="Times New Roman" w:cs="Times New Roman"/>
          <w:sz w:val="24"/>
          <w:szCs w:val="24"/>
        </w:rPr>
      </w:pPr>
    </w:p>
    <w:p w14:paraId="179CF730" w14:textId="7BC3A41B" w:rsidR="00C9468D" w:rsidRDefault="00C9468D" w:rsidP="00C9468D">
      <w:pPr>
        <w:spacing w:after="0" w:line="240" w:lineRule="auto"/>
        <w:rPr>
          <w:rFonts w:ascii="Times New Roman" w:eastAsia="Times New Roman" w:hAnsi="Times New Roman" w:cs="Times New Roman"/>
          <w:sz w:val="24"/>
          <w:szCs w:val="24"/>
        </w:rPr>
      </w:pPr>
    </w:p>
    <w:p w14:paraId="1B7B9E71" w14:textId="707A07A0" w:rsidR="00C9468D" w:rsidRDefault="00C9468D" w:rsidP="00C9468D">
      <w:pPr>
        <w:spacing w:after="0" w:line="240" w:lineRule="auto"/>
        <w:rPr>
          <w:rFonts w:ascii="Times New Roman" w:eastAsia="Times New Roman" w:hAnsi="Times New Roman" w:cs="Times New Roman"/>
          <w:sz w:val="24"/>
          <w:szCs w:val="24"/>
        </w:rPr>
      </w:pPr>
    </w:p>
    <w:p w14:paraId="14837645" w14:textId="77777777" w:rsidR="00C9468D" w:rsidRPr="00903AF6" w:rsidRDefault="00C9468D" w:rsidP="00C9468D">
      <w:pPr>
        <w:spacing w:after="0" w:line="240" w:lineRule="auto"/>
        <w:jc w:val="center"/>
        <w:rPr>
          <w:rFonts w:ascii="Times New Roman" w:eastAsia="Times New Roman" w:hAnsi="Times New Roman" w:cs="Times New Roman"/>
          <w:sz w:val="24"/>
          <w:szCs w:val="24"/>
        </w:rPr>
      </w:pPr>
    </w:p>
    <w:p w14:paraId="30D70475" w14:textId="77777777" w:rsidR="00C9468D" w:rsidRPr="00C9468D" w:rsidRDefault="00C9468D" w:rsidP="00C9468D">
      <w:pPr>
        <w:spacing w:after="0" w:line="240" w:lineRule="auto"/>
        <w:jc w:val="center"/>
        <w:rPr>
          <w:rFonts w:ascii="Arial" w:eastAsia="Calibri" w:hAnsi="Arial" w:cs="Arial"/>
          <w:b/>
          <w:bCs/>
          <w:sz w:val="24"/>
          <w:szCs w:val="24"/>
        </w:rPr>
      </w:pPr>
      <w:r w:rsidRPr="00C9468D">
        <w:rPr>
          <w:rFonts w:ascii="Arial" w:eastAsia="Calibri" w:hAnsi="Arial" w:cs="Arial"/>
          <w:b/>
          <w:bCs/>
          <w:sz w:val="24"/>
          <w:szCs w:val="24"/>
        </w:rPr>
        <w:lastRenderedPageBreak/>
        <w:t>Point-by-point response to peer review for manuscript</w:t>
      </w:r>
    </w:p>
    <w:p w14:paraId="43D2CA34" w14:textId="77777777" w:rsidR="00C9468D" w:rsidRPr="00C9468D" w:rsidRDefault="00C9468D" w:rsidP="00C9468D">
      <w:pPr>
        <w:spacing w:after="0" w:line="240" w:lineRule="auto"/>
        <w:jc w:val="center"/>
        <w:rPr>
          <w:rFonts w:ascii="Arial" w:eastAsia="Calibri" w:hAnsi="Arial" w:cs="Arial"/>
          <w:b/>
          <w:bCs/>
          <w:sz w:val="24"/>
          <w:szCs w:val="24"/>
        </w:rPr>
      </w:pPr>
      <w:r w:rsidRPr="00C9468D">
        <w:rPr>
          <w:rFonts w:ascii="Arial" w:eastAsia="Calibri" w:hAnsi="Arial" w:cs="Arial"/>
          <w:b/>
          <w:bCs/>
          <w:sz w:val="24"/>
          <w:szCs w:val="24"/>
        </w:rPr>
        <w:t>GBIO-D-22-01703</w:t>
      </w:r>
    </w:p>
    <w:p w14:paraId="08A41498" w14:textId="77777777" w:rsidR="00C9468D" w:rsidRPr="00C9468D" w:rsidRDefault="00C9468D" w:rsidP="00C9468D">
      <w:pPr>
        <w:spacing w:after="0" w:line="240" w:lineRule="auto"/>
        <w:jc w:val="center"/>
        <w:rPr>
          <w:rFonts w:ascii="Arial" w:eastAsia="Calibri" w:hAnsi="Arial" w:cs="Arial"/>
          <w:sz w:val="24"/>
          <w:szCs w:val="24"/>
        </w:rPr>
      </w:pPr>
      <w:r w:rsidRPr="00C9468D">
        <w:rPr>
          <w:rFonts w:ascii="Arial" w:eastAsia="Calibri" w:hAnsi="Arial" w:cs="Arial"/>
          <w:sz w:val="24"/>
          <w:szCs w:val="24"/>
        </w:rPr>
        <w:t>“Combining different CRISPR nucleases for simultaneous knock-in and base editing prevents translocations in multiplex-edited CAR T cells”</w:t>
      </w:r>
    </w:p>
    <w:p w14:paraId="19B6CDAF" w14:textId="77777777" w:rsidR="00C9468D" w:rsidRPr="00C9468D" w:rsidRDefault="00C9468D" w:rsidP="00C9468D">
      <w:pPr>
        <w:spacing w:after="0" w:line="240" w:lineRule="auto"/>
        <w:jc w:val="both"/>
        <w:rPr>
          <w:rFonts w:ascii="Arial" w:eastAsia="Calibri" w:hAnsi="Arial" w:cs="Arial"/>
          <w:sz w:val="24"/>
          <w:szCs w:val="24"/>
        </w:rPr>
      </w:pPr>
    </w:p>
    <w:p w14:paraId="14FD6A79" w14:textId="77777777" w:rsidR="00C9468D" w:rsidRPr="00C9468D" w:rsidRDefault="00C9468D" w:rsidP="00C9468D">
      <w:pPr>
        <w:spacing w:after="0" w:line="240" w:lineRule="auto"/>
        <w:jc w:val="both"/>
        <w:rPr>
          <w:rFonts w:ascii="Arial" w:eastAsia="Calibri" w:hAnsi="Arial" w:cs="Arial"/>
          <w:color w:val="4472C4"/>
          <w:sz w:val="24"/>
          <w:szCs w:val="24"/>
        </w:rPr>
      </w:pPr>
    </w:p>
    <w:p w14:paraId="58EA6AC3"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Authors comment: We would like to thank the reviewers for taking the time to review our paper and the constructive comments to improve the clarity and strength of the presented data. We believe we addressed all issues raised by the reviewers. To this end, we performed additional experiments to repeat the translocation analysis as well as flow cytometry readouts to strengthen our claims in Figure 1, 2 and 5 (by higher n to provide a more valid statistical analysis) and we have introduced changes to text or figures as suggested by the reviewers. </w:t>
      </w:r>
    </w:p>
    <w:p w14:paraId="340EADA2" w14:textId="77777777" w:rsidR="00C9468D" w:rsidRPr="00C9468D" w:rsidRDefault="00C9468D" w:rsidP="00C9468D">
      <w:pPr>
        <w:spacing w:after="0" w:line="240" w:lineRule="auto"/>
        <w:jc w:val="both"/>
        <w:rPr>
          <w:rFonts w:ascii="Arial" w:eastAsia="Calibri" w:hAnsi="Arial" w:cs="Arial"/>
          <w:sz w:val="24"/>
          <w:szCs w:val="24"/>
        </w:rPr>
      </w:pPr>
    </w:p>
    <w:p w14:paraId="3227DDD2"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Reviewer #1: This paper by Glaser et el. explores the possibility of performing multiplex gene editing in primary human T cells to generate off-the-shelf CAR T cells carrying multiple genetic edits. In this setting, the conventional CRISPR/Cas system would fall short due to the high risk of translocations (supported by experimental data in the manuscript) when multiple DNA breaks are induced simultaneously. To mitigate this risk, the authors make use of a nuclease-active Cas enzyme for inserting the CAR gene into the TRAC locus while employing base editors to make single base edits that knock out class I and II genes. Combining this approach takes out the two-way </w:t>
      </w:r>
      <w:proofErr w:type="spellStart"/>
      <w:r w:rsidRPr="00C9468D">
        <w:rPr>
          <w:rFonts w:ascii="Arial" w:eastAsia="Calibri" w:hAnsi="Arial" w:cs="Arial"/>
          <w:sz w:val="24"/>
          <w:szCs w:val="24"/>
        </w:rPr>
        <w:t>allo</w:t>
      </w:r>
      <w:proofErr w:type="spellEnd"/>
      <w:r w:rsidRPr="00C9468D">
        <w:rPr>
          <w:rFonts w:ascii="Arial" w:eastAsia="Calibri" w:hAnsi="Arial" w:cs="Arial"/>
          <w:sz w:val="24"/>
          <w:szCs w:val="24"/>
        </w:rPr>
        <w:t>-reactivity between donor and recipient cells. This approach to generate allogeneic T cells is as such not novel (see for example PMID 32321775), but the technological method of doing this is elegant and has to my knowledge not been reported before, i.e. combining targeted knock-in using a nuclease-active Cas enzyme with that of base editors. As the authors show, this significantly reduces the number of translocations and constitutes a significant advance in the path for generating safer allogeneic T cell therapies. The experiments are performed in a vigorous manner and the data presented well (with exception of a few minor points below). The conclusions reached are sounds, and I only have minor comments that the authors should address.</w:t>
      </w:r>
    </w:p>
    <w:p w14:paraId="3E757D15" w14:textId="77777777" w:rsidR="00C9468D" w:rsidRPr="00C9468D" w:rsidRDefault="00C9468D" w:rsidP="00C9468D">
      <w:pPr>
        <w:spacing w:after="0" w:line="240" w:lineRule="auto"/>
        <w:jc w:val="both"/>
        <w:rPr>
          <w:rFonts w:ascii="Arial" w:eastAsia="Calibri" w:hAnsi="Arial" w:cs="Arial"/>
          <w:sz w:val="24"/>
          <w:szCs w:val="24"/>
        </w:rPr>
      </w:pPr>
    </w:p>
    <w:p w14:paraId="3C4C6685"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We would like to thank the reviewer for his/her time and positive assessment of our work.</w:t>
      </w:r>
    </w:p>
    <w:p w14:paraId="5A05D8A0"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 </w:t>
      </w:r>
    </w:p>
    <w:p w14:paraId="2D5469F0"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Page 2, Line 34: This sentence seems a bit odd. I'm not sure how the proof reading comes into play during a translocation.</w:t>
      </w:r>
    </w:p>
    <w:p w14:paraId="1A70E0AD" w14:textId="77777777" w:rsidR="00C9468D" w:rsidRPr="00C9468D" w:rsidRDefault="00C9468D" w:rsidP="00C9468D">
      <w:pPr>
        <w:spacing w:after="0" w:line="240" w:lineRule="auto"/>
        <w:jc w:val="both"/>
        <w:rPr>
          <w:rFonts w:ascii="Arial" w:eastAsia="Calibri" w:hAnsi="Arial" w:cs="Arial"/>
          <w:sz w:val="24"/>
          <w:szCs w:val="24"/>
        </w:rPr>
      </w:pPr>
    </w:p>
    <w:p w14:paraId="77680112"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Thanks for pointing this out. We have corrected the wording to the following </w:t>
      </w:r>
    </w:p>
    <w:p w14:paraId="6BFE0087" w14:textId="77777777" w:rsidR="00C9468D" w:rsidRPr="00C9468D" w:rsidRDefault="00C9468D" w:rsidP="00C9468D">
      <w:pPr>
        <w:spacing w:after="0" w:line="240" w:lineRule="auto"/>
        <w:ind w:firstLine="708"/>
        <w:jc w:val="both"/>
        <w:rPr>
          <w:rFonts w:ascii="Arial" w:eastAsia="Calibri" w:hAnsi="Arial" w:cs="Arial"/>
          <w:color w:val="4472C4"/>
          <w:sz w:val="24"/>
          <w:szCs w:val="24"/>
        </w:rPr>
      </w:pPr>
      <w:r w:rsidRPr="00C9468D">
        <w:rPr>
          <w:rFonts w:ascii="Arial" w:eastAsia="Calibri" w:hAnsi="Arial" w:cs="Arial"/>
          <w:color w:val="4472C4"/>
          <w:sz w:val="24"/>
          <w:szCs w:val="24"/>
        </w:rPr>
        <w:t>“</w:t>
      </w:r>
      <w:r w:rsidRPr="00C9468D">
        <w:rPr>
          <w:rFonts w:ascii="Arial" w:eastAsia="Calibri" w:hAnsi="Arial" w:cs="Arial"/>
          <w:i/>
          <w:iCs/>
          <w:color w:val="4472C4"/>
          <w:sz w:val="24"/>
          <w:szCs w:val="24"/>
        </w:rPr>
        <w:t>By design, multiplex editing using conventional CRISPR-Cas nucleases induces multiple DNA DSBs and can result in chromosomal translocations via NHEJ between the different targeted loci.”</w:t>
      </w:r>
    </w:p>
    <w:p w14:paraId="0A6737F4" w14:textId="77777777" w:rsidR="00C9468D" w:rsidRPr="00C9468D" w:rsidRDefault="00C9468D" w:rsidP="00C9468D">
      <w:pPr>
        <w:spacing w:after="0" w:line="240" w:lineRule="auto"/>
        <w:jc w:val="both"/>
        <w:rPr>
          <w:rFonts w:ascii="Arial" w:eastAsia="Calibri" w:hAnsi="Arial" w:cs="Arial"/>
          <w:sz w:val="24"/>
          <w:szCs w:val="24"/>
        </w:rPr>
      </w:pPr>
    </w:p>
    <w:p w14:paraId="34DA3753"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Page 2, Line 57: I believe it's worth mentioning that there still have been (at least to my knowledge) no adverse events reported in clinical gene editing trials or in experiments </w:t>
      </w:r>
      <w:r w:rsidRPr="00C9468D">
        <w:rPr>
          <w:rFonts w:ascii="Arial" w:eastAsia="Calibri" w:hAnsi="Arial" w:cs="Arial"/>
          <w:sz w:val="24"/>
          <w:szCs w:val="24"/>
        </w:rPr>
        <w:lastRenderedPageBreak/>
        <w:t>with primary cells in vitro due to translocations, and that the significance of the risk for tumorigenesis is still debatable, particularly when designing sgRNAs carefully.</w:t>
      </w:r>
    </w:p>
    <w:p w14:paraId="32894105" w14:textId="77777777" w:rsidR="00C9468D" w:rsidRPr="00C9468D" w:rsidRDefault="00C9468D" w:rsidP="00C9468D">
      <w:pPr>
        <w:spacing w:after="0" w:line="240" w:lineRule="auto"/>
        <w:jc w:val="both"/>
        <w:rPr>
          <w:rFonts w:ascii="Arial" w:eastAsia="Calibri" w:hAnsi="Arial" w:cs="Arial"/>
          <w:sz w:val="24"/>
          <w:szCs w:val="24"/>
        </w:rPr>
      </w:pPr>
    </w:p>
    <w:p w14:paraId="56903CCC"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We agree with the reviewer’s point to highlight that no adverse effects or malignant transformations have been linked to translocations associated with gene editing. Further, we are not aware of any incidental transformations after CRISPR-Cas9 gene editing of primary human T cells. However, multiple groups have used gene editing to induce translocations associated with malignancy on purpose to model oncogenesis. One leading example is the study by Reimer et al (</w:t>
      </w:r>
      <w:proofErr w:type="spellStart"/>
      <w:r w:rsidRPr="00C9468D">
        <w:rPr>
          <w:rFonts w:ascii="Arial" w:eastAsia="Calibri" w:hAnsi="Arial" w:cs="Arial"/>
          <w:color w:val="4472C4"/>
          <w:sz w:val="24"/>
          <w:szCs w:val="24"/>
        </w:rPr>
        <w:t>Haematologica</w:t>
      </w:r>
      <w:proofErr w:type="spellEnd"/>
      <w:r w:rsidRPr="00C9468D">
        <w:rPr>
          <w:rFonts w:ascii="Arial" w:eastAsia="Calibri" w:hAnsi="Arial" w:cs="Arial"/>
          <w:color w:val="4472C4"/>
          <w:sz w:val="24"/>
          <w:szCs w:val="24"/>
        </w:rPr>
        <w:t xml:space="preserve"> 2017, PMID: 28572162): The authors used CRISPR-Cas9 to induce the MLL-ENL translocation and thereby initiated leukemia development in primary human CD34+ hematopoietic stem cells after engraftment into an immunodeficient mouse. </w:t>
      </w:r>
    </w:p>
    <w:p w14:paraId="76795218" w14:textId="77777777" w:rsidR="00C9468D" w:rsidRPr="00C9468D" w:rsidRDefault="00C9468D" w:rsidP="00C9468D">
      <w:pPr>
        <w:spacing w:after="0" w:line="240" w:lineRule="auto"/>
        <w:jc w:val="both"/>
        <w:rPr>
          <w:rFonts w:ascii="Arial" w:eastAsia="Calibri" w:hAnsi="Arial" w:cs="Arial"/>
          <w:sz w:val="24"/>
          <w:szCs w:val="24"/>
        </w:rPr>
      </w:pPr>
    </w:p>
    <w:p w14:paraId="274F69D1"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We have adjusted the wording to the following: </w:t>
      </w:r>
    </w:p>
    <w:p w14:paraId="2C9B3D96" w14:textId="77777777" w:rsidR="00C9468D" w:rsidRPr="00C9468D" w:rsidRDefault="00C9468D" w:rsidP="00C9468D">
      <w:pPr>
        <w:spacing w:after="0" w:line="240" w:lineRule="auto"/>
        <w:ind w:firstLine="708"/>
        <w:jc w:val="both"/>
        <w:rPr>
          <w:rFonts w:ascii="Arial" w:eastAsia="Calibri" w:hAnsi="Arial" w:cs="Arial"/>
          <w:color w:val="4472C4"/>
          <w:sz w:val="24"/>
          <w:szCs w:val="24"/>
        </w:rPr>
      </w:pPr>
      <w:r w:rsidRPr="00C9468D">
        <w:rPr>
          <w:rFonts w:ascii="Arial" w:eastAsia="Calibri" w:hAnsi="Arial" w:cs="Arial"/>
          <w:color w:val="4472C4"/>
          <w:sz w:val="24"/>
          <w:szCs w:val="24"/>
        </w:rPr>
        <w:t>“</w:t>
      </w:r>
      <w:r w:rsidRPr="00C9468D">
        <w:rPr>
          <w:rFonts w:ascii="Arial" w:eastAsia="Calibri" w:hAnsi="Arial" w:cs="Arial"/>
          <w:i/>
          <w:iCs/>
          <w:color w:val="4472C4"/>
          <w:sz w:val="24"/>
          <w:szCs w:val="24"/>
        </w:rPr>
        <w:t>Thus far, translocations have not been linked to adverse effects or malignant transformation in clinical trials employing gene editing. However, the caution exercised by the regulatory authorities highlights that translocations remain a concern in the clinical translation of multiplex gene-edited T cell products and should be avoided.</w:t>
      </w:r>
      <w:r w:rsidRPr="00C9468D">
        <w:rPr>
          <w:rFonts w:ascii="Arial" w:eastAsia="Calibri" w:hAnsi="Arial" w:cs="Arial"/>
          <w:color w:val="4472C4"/>
          <w:sz w:val="24"/>
          <w:szCs w:val="24"/>
        </w:rPr>
        <w:t>”</w:t>
      </w:r>
    </w:p>
    <w:p w14:paraId="5A9661FB" w14:textId="77777777" w:rsidR="00C9468D" w:rsidRPr="00C9468D" w:rsidRDefault="00C9468D" w:rsidP="00C9468D">
      <w:pPr>
        <w:spacing w:after="0" w:line="240" w:lineRule="auto"/>
        <w:jc w:val="both"/>
        <w:rPr>
          <w:rFonts w:ascii="Arial" w:eastAsia="Calibri" w:hAnsi="Arial" w:cs="Arial"/>
          <w:sz w:val="24"/>
          <w:szCs w:val="24"/>
        </w:rPr>
      </w:pPr>
    </w:p>
    <w:p w14:paraId="5639C6C1"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Page 3, end of introduction. I suggest adding citations that back up the claim or at least suggest that MHC-I and particularly MHC-II knockout is necessary in allogeneic CAR T cells.</w:t>
      </w:r>
    </w:p>
    <w:p w14:paraId="018ABB86" w14:textId="77777777" w:rsidR="00C9468D" w:rsidRPr="00C9468D" w:rsidRDefault="00C9468D" w:rsidP="00C9468D">
      <w:pPr>
        <w:spacing w:after="0" w:line="240" w:lineRule="auto"/>
        <w:jc w:val="both"/>
        <w:rPr>
          <w:rFonts w:ascii="Arial" w:eastAsia="Calibri" w:hAnsi="Arial" w:cs="Arial"/>
          <w:sz w:val="24"/>
          <w:szCs w:val="24"/>
        </w:rPr>
      </w:pPr>
    </w:p>
    <w:p w14:paraId="4248BC40"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thank the reviewer for this comment. We previously stated that the editing of MHC-I and MHC-II protects from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 xml:space="preserve">-specific CD4+/CD8+ T cell responses. We have adjusted the wording to emphasize that we and others believe this will improve the persistence of the CAR-T cell products. Importantly, while CD8+ T cells are the canonical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 xml:space="preserve">-specific “cytotoxic” T cells, previous studies have demonstrated that a subset of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-specific CD4+ T cells can also induce cytolysis in mice (PMID: 53265, PMID: 67179) and humans (PMID: 84045). We added citations for one original citation on cytotoxic CD4+ T cells and a recent mini-review on cytotoxic CD4+ T cells.</w:t>
      </w:r>
    </w:p>
    <w:p w14:paraId="7B6AC268" w14:textId="77777777" w:rsidR="00C9468D" w:rsidRPr="00C9468D" w:rsidRDefault="00C9468D" w:rsidP="00C9468D">
      <w:pPr>
        <w:spacing w:after="0" w:line="240" w:lineRule="auto"/>
        <w:jc w:val="both"/>
        <w:rPr>
          <w:rFonts w:ascii="Arial" w:eastAsia="Calibri" w:hAnsi="Arial" w:cs="Arial"/>
          <w:sz w:val="24"/>
          <w:szCs w:val="24"/>
        </w:rPr>
      </w:pPr>
    </w:p>
    <w:p w14:paraId="49B10F4F"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Page 3, Line 34. PMID: 32241852 is missing as an important reference for TRAC knock-in.</w:t>
      </w:r>
    </w:p>
    <w:p w14:paraId="28A52989" w14:textId="77777777" w:rsidR="00C9468D" w:rsidRPr="00C9468D" w:rsidRDefault="00C9468D" w:rsidP="00C9468D">
      <w:pPr>
        <w:spacing w:after="0" w:line="240" w:lineRule="auto"/>
        <w:jc w:val="both"/>
        <w:rPr>
          <w:rFonts w:ascii="Arial" w:eastAsia="Calibri" w:hAnsi="Arial" w:cs="Arial"/>
          <w:sz w:val="24"/>
          <w:szCs w:val="24"/>
        </w:rPr>
      </w:pPr>
    </w:p>
    <w:p w14:paraId="63372C75"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color w:val="4472C4"/>
          <w:sz w:val="24"/>
          <w:szCs w:val="24"/>
        </w:rPr>
        <w:t xml:space="preserve">Author response: We thank the reviewer for this important remark. The study by </w:t>
      </w:r>
      <w:proofErr w:type="spellStart"/>
      <w:r w:rsidRPr="00C9468D">
        <w:rPr>
          <w:rFonts w:ascii="Arial" w:eastAsia="Calibri" w:hAnsi="Arial" w:cs="Arial"/>
          <w:color w:val="4472C4"/>
          <w:sz w:val="24"/>
          <w:szCs w:val="24"/>
        </w:rPr>
        <w:t>Wiebking</w:t>
      </w:r>
      <w:proofErr w:type="spellEnd"/>
      <w:r w:rsidRPr="00C9468D">
        <w:rPr>
          <w:rFonts w:ascii="Arial" w:eastAsia="Calibri" w:hAnsi="Arial" w:cs="Arial"/>
          <w:color w:val="4472C4"/>
          <w:sz w:val="24"/>
          <w:szCs w:val="24"/>
        </w:rPr>
        <w:t xml:space="preserve"> et al is in fact an important demonstration of the TRAC-knock-in platform. We have added the reference here and at the second time in the discussion (as an example of very high knock-in rates achieved with AAV6+gene editing).</w:t>
      </w:r>
    </w:p>
    <w:p w14:paraId="56B16D7A" w14:textId="77777777" w:rsidR="00C9468D" w:rsidRPr="00C9468D" w:rsidRDefault="00C9468D" w:rsidP="00C9468D">
      <w:pPr>
        <w:spacing w:after="0" w:line="240" w:lineRule="auto"/>
        <w:jc w:val="both"/>
        <w:rPr>
          <w:rFonts w:ascii="Arial" w:eastAsia="Calibri" w:hAnsi="Arial" w:cs="Arial"/>
          <w:sz w:val="24"/>
          <w:szCs w:val="24"/>
        </w:rPr>
      </w:pPr>
    </w:p>
    <w:p w14:paraId="6FC1CD84"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Several lines have a German sentence that begins with "</w:t>
      </w:r>
      <w:proofErr w:type="spellStart"/>
      <w:r w:rsidRPr="00C9468D">
        <w:rPr>
          <w:rFonts w:ascii="Arial" w:eastAsia="Calibri" w:hAnsi="Arial" w:cs="Arial"/>
          <w:sz w:val="24"/>
          <w:szCs w:val="24"/>
        </w:rPr>
        <w:t>Fehler</w:t>
      </w:r>
      <w:proofErr w:type="spellEnd"/>
      <w:r w:rsidRPr="00C9468D">
        <w:rPr>
          <w:rFonts w:ascii="Arial" w:eastAsia="Calibri" w:hAnsi="Arial" w:cs="Arial"/>
          <w:sz w:val="24"/>
          <w:szCs w:val="24"/>
        </w:rPr>
        <w:t>....". Please correct all instances.</w:t>
      </w:r>
    </w:p>
    <w:p w14:paraId="78F625E1" w14:textId="77777777" w:rsidR="00C9468D" w:rsidRPr="00C9468D" w:rsidRDefault="00C9468D" w:rsidP="00C9468D">
      <w:pPr>
        <w:spacing w:after="0" w:line="240" w:lineRule="auto"/>
        <w:jc w:val="both"/>
        <w:rPr>
          <w:rFonts w:ascii="Arial" w:eastAsia="Calibri" w:hAnsi="Arial" w:cs="Arial"/>
          <w:sz w:val="24"/>
          <w:szCs w:val="24"/>
        </w:rPr>
      </w:pPr>
    </w:p>
    <w:p w14:paraId="16181C5B"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color w:val="4472C4"/>
          <w:sz w:val="24"/>
          <w:szCs w:val="24"/>
        </w:rPr>
        <w:t xml:space="preserve">Author response: We are very sorry for this mistake. The error message was due to faulty hyperlinks to supplementary figures. We corrected this throughout the entire manuscript. </w:t>
      </w:r>
    </w:p>
    <w:p w14:paraId="36048D06" w14:textId="77777777" w:rsidR="00C9468D" w:rsidRPr="00C9468D" w:rsidRDefault="00C9468D" w:rsidP="00C9468D">
      <w:pPr>
        <w:spacing w:after="0" w:line="240" w:lineRule="auto"/>
        <w:jc w:val="both"/>
        <w:rPr>
          <w:rFonts w:ascii="Arial" w:eastAsia="Calibri" w:hAnsi="Arial" w:cs="Arial"/>
          <w:sz w:val="24"/>
          <w:szCs w:val="24"/>
        </w:rPr>
      </w:pPr>
    </w:p>
    <w:p w14:paraId="67A30155"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lastRenderedPageBreak/>
        <w:t>Headline for Figure 1B should be rephrased to Potential translocations with...</w:t>
      </w:r>
    </w:p>
    <w:p w14:paraId="73771821" w14:textId="77777777" w:rsidR="00C9468D" w:rsidRPr="00C9468D" w:rsidRDefault="00C9468D" w:rsidP="00C9468D">
      <w:pPr>
        <w:spacing w:after="0" w:line="240" w:lineRule="auto"/>
        <w:jc w:val="both"/>
        <w:rPr>
          <w:rFonts w:ascii="Arial" w:eastAsia="Calibri" w:hAnsi="Arial" w:cs="Arial"/>
          <w:sz w:val="24"/>
          <w:szCs w:val="24"/>
        </w:rPr>
      </w:pPr>
    </w:p>
    <w:p w14:paraId="3AE5ACAA"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Done.</w:t>
      </w:r>
    </w:p>
    <w:p w14:paraId="181DC735" w14:textId="77777777" w:rsidR="00C9468D" w:rsidRPr="00C9468D" w:rsidRDefault="00C9468D" w:rsidP="00C9468D">
      <w:pPr>
        <w:spacing w:after="0" w:line="240" w:lineRule="auto"/>
        <w:jc w:val="both"/>
        <w:rPr>
          <w:rFonts w:ascii="Arial" w:eastAsia="Calibri" w:hAnsi="Arial" w:cs="Arial"/>
          <w:sz w:val="24"/>
          <w:szCs w:val="24"/>
        </w:rPr>
      </w:pPr>
    </w:p>
    <w:p w14:paraId="497000BD"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Figures reporting on translocations. I was wondering how the translocations were calculated as '% of cells'. With </w:t>
      </w:r>
      <w:proofErr w:type="spellStart"/>
      <w:r w:rsidRPr="00C9468D">
        <w:rPr>
          <w:rFonts w:ascii="Arial" w:eastAsia="Calibri" w:hAnsi="Arial" w:cs="Arial"/>
          <w:sz w:val="24"/>
          <w:szCs w:val="24"/>
        </w:rPr>
        <w:t>ddPCR</w:t>
      </w:r>
      <w:proofErr w:type="spellEnd"/>
      <w:r w:rsidRPr="00C9468D">
        <w:rPr>
          <w:rFonts w:ascii="Arial" w:eastAsia="Calibri" w:hAnsi="Arial" w:cs="Arial"/>
          <w:sz w:val="24"/>
          <w:szCs w:val="24"/>
        </w:rPr>
        <w:t xml:space="preserve"> you don't know the distribution of the translocations among the cells. For example, consider two cell equivalents measured by the reference assay (four copies) and two translocations measured (of the same translocation type). The two translocations could be distributed with one translocation in each cell (100% of cells carrying translocations) or both translocations occurring in the same cell (50% of cells carrying translocations). So I suppose translocations can only be reported as something like "% translocations per haploid genome"?</w:t>
      </w:r>
    </w:p>
    <w:p w14:paraId="68D92D3F" w14:textId="77777777" w:rsidR="00C9468D" w:rsidRPr="00C9468D" w:rsidRDefault="00C9468D" w:rsidP="00C9468D">
      <w:pPr>
        <w:spacing w:after="0" w:line="240" w:lineRule="auto"/>
        <w:jc w:val="both"/>
        <w:rPr>
          <w:rFonts w:ascii="Arial" w:eastAsia="Calibri" w:hAnsi="Arial" w:cs="Arial"/>
          <w:sz w:val="24"/>
          <w:szCs w:val="24"/>
        </w:rPr>
      </w:pPr>
    </w:p>
    <w:p w14:paraId="6EA9BAE0"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color w:val="4472C4"/>
          <w:sz w:val="24"/>
          <w:szCs w:val="24"/>
        </w:rPr>
        <w:t xml:space="preserve">Author response: We would like to thank the reviewer for this very constructive comment. We agree that “Translocations (% per haploid genome)” is more precise and have corrected the axis labels in all figures related to </w:t>
      </w:r>
      <w:proofErr w:type="spellStart"/>
      <w:r w:rsidRPr="00C9468D">
        <w:rPr>
          <w:rFonts w:ascii="Arial" w:eastAsia="Calibri" w:hAnsi="Arial" w:cs="Arial"/>
          <w:color w:val="4472C4"/>
          <w:sz w:val="24"/>
          <w:szCs w:val="24"/>
        </w:rPr>
        <w:t>ddPCR</w:t>
      </w:r>
      <w:proofErr w:type="spellEnd"/>
      <w:r w:rsidRPr="00C9468D">
        <w:rPr>
          <w:rFonts w:ascii="Arial" w:eastAsia="Calibri" w:hAnsi="Arial" w:cs="Arial"/>
          <w:color w:val="4472C4"/>
          <w:sz w:val="24"/>
          <w:szCs w:val="24"/>
        </w:rPr>
        <w:t xml:space="preserve"> of translocations. Thanks a lot!</w:t>
      </w:r>
    </w:p>
    <w:p w14:paraId="00732049" w14:textId="77777777" w:rsidR="00C9468D" w:rsidRPr="00C9468D" w:rsidRDefault="00C9468D" w:rsidP="00C9468D">
      <w:pPr>
        <w:spacing w:after="0" w:line="240" w:lineRule="auto"/>
        <w:jc w:val="both"/>
        <w:rPr>
          <w:rFonts w:ascii="Arial" w:eastAsia="Calibri" w:hAnsi="Arial" w:cs="Arial"/>
          <w:sz w:val="24"/>
          <w:szCs w:val="24"/>
        </w:rPr>
      </w:pPr>
    </w:p>
    <w:p w14:paraId="5BAA3C34" w14:textId="77777777" w:rsidR="00C9468D" w:rsidRPr="00C9468D" w:rsidRDefault="00C9468D" w:rsidP="00C9468D">
      <w:pPr>
        <w:spacing w:after="0" w:line="240" w:lineRule="auto"/>
        <w:jc w:val="both"/>
        <w:rPr>
          <w:rFonts w:ascii="Arial" w:eastAsia="Calibri" w:hAnsi="Arial" w:cs="Arial"/>
          <w:sz w:val="24"/>
          <w:szCs w:val="24"/>
        </w:rPr>
      </w:pPr>
    </w:p>
    <w:p w14:paraId="2CD46CC3"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Page 4, line 15. Please explain "base modified " in more detail.</w:t>
      </w:r>
    </w:p>
    <w:p w14:paraId="6C5D39EC" w14:textId="77777777" w:rsidR="00C9468D" w:rsidRPr="00C9468D" w:rsidRDefault="00C9468D" w:rsidP="00C9468D">
      <w:pPr>
        <w:spacing w:after="0" w:line="240" w:lineRule="auto"/>
        <w:jc w:val="both"/>
        <w:rPr>
          <w:rFonts w:ascii="Arial" w:eastAsia="Calibri" w:hAnsi="Arial" w:cs="Arial"/>
          <w:sz w:val="24"/>
          <w:szCs w:val="24"/>
        </w:rPr>
      </w:pPr>
    </w:p>
    <w:p w14:paraId="4F83FEB5"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have added the base modification detail to the text. </w:t>
      </w:r>
    </w:p>
    <w:p w14:paraId="15CF35DB" w14:textId="77777777" w:rsidR="00C9468D" w:rsidRPr="00C9468D" w:rsidRDefault="00C9468D" w:rsidP="00C9468D">
      <w:pPr>
        <w:spacing w:after="0" w:line="240" w:lineRule="auto"/>
        <w:ind w:firstLine="708"/>
        <w:jc w:val="both"/>
        <w:rPr>
          <w:rFonts w:ascii="Arial" w:eastAsia="Calibri" w:hAnsi="Arial" w:cs="Arial"/>
          <w:i/>
          <w:iCs/>
          <w:color w:val="4472C4"/>
          <w:sz w:val="24"/>
          <w:szCs w:val="24"/>
        </w:rPr>
      </w:pPr>
      <w:r w:rsidRPr="00C9468D">
        <w:rPr>
          <w:rFonts w:ascii="Arial" w:eastAsia="Calibri" w:hAnsi="Arial" w:cs="Arial"/>
          <w:i/>
          <w:iCs/>
          <w:color w:val="4472C4"/>
          <w:sz w:val="24"/>
          <w:szCs w:val="24"/>
        </w:rPr>
        <w:t xml:space="preserve">“To this end, we generated in-vitro transcribed, N1-metyhlpseudouridine-base modified mRNA of the adenine base editor ABE8.20m, which is comprised of an evolved version of the </w:t>
      </w:r>
      <w:proofErr w:type="spellStart"/>
      <w:r w:rsidRPr="00C9468D">
        <w:rPr>
          <w:rFonts w:ascii="Arial" w:eastAsia="Calibri" w:hAnsi="Arial" w:cs="Arial"/>
          <w:i/>
          <w:iCs/>
          <w:color w:val="4472C4"/>
          <w:sz w:val="24"/>
          <w:szCs w:val="24"/>
        </w:rPr>
        <w:t>TadA</w:t>
      </w:r>
      <w:proofErr w:type="spellEnd"/>
      <w:r w:rsidRPr="00C9468D">
        <w:rPr>
          <w:rFonts w:ascii="Arial" w:eastAsia="Calibri" w:hAnsi="Arial" w:cs="Arial"/>
          <w:i/>
          <w:iCs/>
          <w:color w:val="4472C4"/>
          <w:sz w:val="24"/>
          <w:szCs w:val="24"/>
        </w:rPr>
        <w:t xml:space="preserve"> </w:t>
      </w:r>
      <w:proofErr w:type="spellStart"/>
      <w:r w:rsidRPr="00C9468D">
        <w:rPr>
          <w:rFonts w:ascii="Arial" w:eastAsia="Calibri" w:hAnsi="Arial" w:cs="Arial"/>
          <w:i/>
          <w:iCs/>
          <w:color w:val="4472C4"/>
          <w:sz w:val="24"/>
          <w:szCs w:val="24"/>
        </w:rPr>
        <w:t>deminase</w:t>
      </w:r>
      <w:proofErr w:type="spellEnd"/>
      <w:r w:rsidRPr="00C9468D">
        <w:rPr>
          <w:rFonts w:ascii="Arial" w:eastAsia="Calibri" w:hAnsi="Arial" w:cs="Arial"/>
          <w:i/>
          <w:iCs/>
          <w:color w:val="4472C4"/>
          <w:sz w:val="24"/>
          <w:szCs w:val="24"/>
        </w:rPr>
        <w:t xml:space="preserve"> enzyme fused to a catalytically impaired Cas9 </w:t>
      </w:r>
      <w:proofErr w:type="spellStart"/>
      <w:r w:rsidRPr="00C9468D">
        <w:rPr>
          <w:rFonts w:ascii="Arial" w:eastAsia="Calibri" w:hAnsi="Arial" w:cs="Arial"/>
          <w:i/>
          <w:iCs/>
          <w:color w:val="4472C4"/>
          <w:sz w:val="24"/>
          <w:szCs w:val="24"/>
        </w:rPr>
        <w:t>nickase</w:t>
      </w:r>
      <w:proofErr w:type="spellEnd"/>
      <w:r w:rsidRPr="00C9468D">
        <w:rPr>
          <w:rFonts w:ascii="Arial" w:eastAsia="Calibri" w:hAnsi="Arial" w:cs="Arial"/>
          <w:i/>
          <w:iCs/>
          <w:color w:val="4472C4"/>
          <w:sz w:val="24"/>
          <w:szCs w:val="24"/>
        </w:rPr>
        <w:t xml:space="preserve"> (nCas9), as previously described (42).”</w:t>
      </w:r>
    </w:p>
    <w:p w14:paraId="4951CCB4" w14:textId="77777777" w:rsidR="00C9468D" w:rsidRPr="00C9468D" w:rsidRDefault="00C9468D" w:rsidP="00C9468D">
      <w:pPr>
        <w:spacing w:after="0" w:line="240" w:lineRule="auto"/>
        <w:jc w:val="both"/>
        <w:rPr>
          <w:rFonts w:ascii="Arial" w:eastAsia="Calibri" w:hAnsi="Arial" w:cs="Arial"/>
          <w:sz w:val="24"/>
          <w:szCs w:val="24"/>
        </w:rPr>
      </w:pPr>
    </w:p>
    <w:p w14:paraId="6226ED6E"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Figure 2+6. Please optimize the color choice since the light and dark blue are difficult to distinguish.</w:t>
      </w:r>
    </w:p>
    <w:p w14:paraId="0A6F7F36" w14:textId="77777777" w:rsidR="00C9468D" w:rsidRPr="00C9468D" w:rsidRDefault="00C9468D" w:rsidP="00C9468D">
      <w:pPr>
        <w:spacing w:after="0" w:line="240" w:lineRule="auto"/>
        <w:jc w:val="both"/>
        <w:rPr>
          <w:rFonts w:ascii="Arial" w:eastAsia="Calibri" w:hAnsi="Arial" w:cs="Arial"/>
          <w:sz w:val="24"/>
          <w:szCs w:val="24"/>
        </w:rPr>
      </w:pPr>
    </w:p>
    <w:p w14:paraId="727003D2"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Thanks for pointing this out. We adapted the colors to increase the contrast to make it easier to distinguish the conditions.</w:t>
      </w:r>
    </w:p>
    <w:p w14:paraId="4E4F7AE3" w14:textId="77777777" w:rsidR="00C9468D" w:rsidRPr="00C9468D" w:rsidRDefault="00C9468D" w:rsidP="00C9468D">
      <w:pPr>
        <w:spacing w:after="0" w:line="240" w:lineRule="auto"/>
        <w:jc w:val="both"/>
        <w:rPr>
          <w:rFonts w:ascii="Arial" w:eastAsia="Calibri" w:hAnsi="Arial" w:cs="Arial"/>
          <w:sz w:val="24"/>
          <w:szCs w:val="24"/>
        </w:rPr>
      </w:pPr>
    </w:p>
    <w:p w14:paraId="5A2A2A02"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The data in Figure 2 indicating that the sgRNAs are exchanged between Cas9 and BEs is intriguing. I suggest the authors back this claim up by findings in PMID: 30297964.</w:t>
      </w:r>
    </w:p>
    <w:p w14:paraId="1E9A7CE0" w14:textId="77777777" w:rsidR="00C9468D" w:rsidRPr="00C9468D" w:rsidRDefault="00C9468D" w:rsidP="00C9468D">
      <w:pPr>
        <w:spacing w:after="0" w:line="240" w:lineRule="auto"/>
        <w:jc w:val="both"/>
        <w:rPr>
          <w:rFonts w:ascii="Arial" w:eastAsia="Calibri" w:hAnsi="Arial" w:cs="Arial"/>
          <w:sz w:val="24"/>
          <w:szCs w:val="24"/>
        </w:rPr>
      </w:pPr>
    </w:p>
    <w:p w14:paraId="27B5514D"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color w:val="4472C4"/>
          <w:sz w:val="24"/>
          <w:szCs w:val="24"/>
        </w:rPr>
        <w:t>Author response: Thank you very much. We have added the citation which nicely complements our claim here and in the discussion section.</w:t>
      </w:r>
    </w:p>
    <w:p w14:paraId="71FCCC17" w14:textId="77777777" w:rsidR="00C9468D" w:rsidRPr="00C9468D" w:rsidRDefault="00C9468D" w:rsidP="00C9468D">
      <w:pPr>
        <w:spacing w:after="0" w:line="240" w:lineRule="auto"/>
        <w:jc w:val="both"/>
        <w:rPr>
          <w:rFonts w:ascii="Arial" w:eastAsia="Calibri" w:hAnsi="Arial" w:cs="Arial"/>
          <w:sz w:val="24"/>
          <w:szCs w:val="24"/>
        </w:rPr>
      </w:pPr>
    </w:p>
    <w:p w14:paraId="0A2E7563"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Figure 4a. Can you elaborate on the HDR donor design. Normally, one would design the SpCas9 donor to have the homology arms split on the cut site, thereby eliminating any need to mutate the PAM to avoid donor cutting. This figure indicates that the intact </w:t>
      </w:r>
      <w:proofErr w:type="spellStart"/>
      <w:r w:rsidRPr="00C9468D">
        <w:rPr>
          <w:rFonts w:ascii="Arial" w:eastAsia="Calibri" w:hAnsi="Arial" w:cs="Arial"/>
          <w:sz w:val="24"/>
          <w:szCs w:val="24"/>
        </w:rPr>
        <w:t>protospacer+PAM</w:t>
      </w:r>
      <w:proofErr w:type="spellEnd"/>
      <w:r w:rsidRPr="00C9468D">
        <w:rPr>
          <w:rFonts w:ascii="Arial" w:eastAsia="Calibri" w:hAnsi="Arial" w:cs="Arial"/>
          <w:sz w:val="24"/>
          <w:szCs w:val="24"/>
        </w:rPr>
        <w:t xml:space="preserve"> is in the right homology arm?</w:t>
      </w:r>
    </w:p>
    <w:p w14:paraId="335A0127" w14:textId="77777777" w:rsidR="00C9468D" w:rsidRPr="00C9468D" w:rsidRDefault="00C9468D" w:rsidP="00C9468D">
      <w:pPr>
        <w:spacing w:after="0" w:line="240" w:lineRule="auto"/>
        <w:jc w:val="both"/>
        <w:rPr>
          <w:rFonts w:ascii="Arial" w:eastAsia="Calibri" w:hAnsi="Arial" w:cs="Arial"/>
          <w:sz w:val="24"/>
          <w:szCs w:val="24"/>
        </w:rPr>
      </w:pPr>
    </w:p>
    <w:p w14:paraId="1EEAF2C3"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We understand the reviewer’s surprise. The HDR donor for TRAC knock-in used in this study was originally described by Roth et al 2018 (PMID:</w:t>
      </w:r>
      <w:r w:rsidRPr="00C9468D">
        <w:rPr>
          <w:rFonts w:ascii="Calibri" w:eastAsia="Calibri" w:hAnsi="Calibri" w:cs="Times New Roman"/>
          <w:sz w:val="24"/>
          <w:szCs w:val="24"/>
        </w:rPr>
        <w:t xml:space="preserve"> </w:t>
      </w:r>
      <w:r w:rsidRPr="00C9468D">
        <w:rPr>
          <w:rFonts w:ascii="Arial" w:eastAsia="Calibri" w:hAnsi="Arial" w:cs="Arial"/>
          <w:color w:val="4472C4"/>
          <w:sz w:val="24"/>
          <w:szCs w:val="24"/>
        </w:rPr>
        <w:t xml:space="preserve">29995861, </w:t>
      </w:r>
      <w:proofErr w:type="spellStart"/>
      <w:r w:rsidRPr="00C9468D">
        <w:rPr>
          <w:rFonts w:ascii="Arial" w:eastAsia="Calibri" w:hAnsi="Arial" w:cs="Arial"/>
          <w:color w:val="4472C4"/>
          <w:sz w:val="24"/>
          <w:szCs w:val="24"/>
        </w:rPr>
        <w:t>Addgene</w:t>
      </w:r>
      <w:proofErr w:type="spellEnd"/>
      <w:r w:rsidRPr="00C9468D">
        <w:rPr>
          <w:rFonts w:ascii="Arial" w:eastAsia="Calibri" w:hAnsi="Arial" w:cs="Arial"/>
          <w:color w:val="4472C4"/>
          <w:sz w:val="24"/>
          <w:szCs w:val="24"/>
        </w:rPr>
        <w:t xml:space="preserve"> ID: Plasmid #112021). In their design, Roth et al did not adhere to the usual </w:t>
      </w:r>
      <w:r w:rsidRPr="00C9468D">
        <w:rPr>
          <w:rFonts w:ascii="Arial" w:eastAsia="Calibri" w:hAnsi="Arial" w:cs="Arial"/>
          <w:color w:val="4472C4"/>
          <w:sz w:val="24"/>
          <w:szCs w:val="24"/>
        </w:rPr>
        <w:lastRenderedPageBreak/>
        <w:t xml:space="preserve">“split” design, but only introduced a silent mutation in the PAM of the Cas9-sgRNA recognition sequence which was placed on the right homology arm. In a previous study, we screened for gRNAs for Cas12a knock-ins into the </w:t>
      </w:r>
      <w:r w:rsidRPr="00C9468D">
        <w:rPr>
          <w:rFonts w:ascii="Arial" w:eastAsia="Calibri" w:hAnsi="Arial" w:cs="Arial"/>
          <w:i/>
          <w:iCs/>
          <w:color w:val="4472C4"/>
          <w:sz w:val="24"/>
          <w:szCs w:val="24"/>
        </w:rPr>
        <w:t>TRAC</w:t>
      </w:r>
      <w:r w:rsidRPr="00C9468D">
        <w:rPr>
          <w:rFonts w:ascii="Arial" w:eastAsia="Calibri" w:hAnsi="Arial" w:cs="Arial"/>
          <w:color w:val="4472C4"/>
          <w:sz w:val="24"/>
          <w:szCs w:val="24"/>
        </w:rPr>
        <w:t xml:space="preserve"> locus  (see Figure 3, PMID: 35573047): The combination of the Cas12a gRNA used in this study and the HDR donor from Roth et al 2018 resulted in the best knock-in rates. We later realized that the </w:t>
      </w:r>
      <w:proofErr w:type="spellStart"/>
      <w:r w:rsidRPr="00C9468D">
        <w:rPr>
          <w:rFonts w:ascii="Arial" w:eastAsia="Calibri" w:hAnsi="Arial" w:cs="Arial"/>
          <w:color w:val="4472C4"/>
          <w:sz w:val="24"/>
          <w:szCs w:val="24"/>
        </w:rPr>
        <w:t>protospacer+PAM</w:t>
      </w:r>
      <w:proofErr w:type="spellEnd"/>
      <w:r w:rsidRPr="00C9468D">
        <w:rPr>
          <w:rFonts w:ascii="Arial" w:eastAsia="Calibri" w:hAnsi="Arial" w:cs="Arial"/>
          <w:color w:val="4472C4"/>
          <w:sz w:val="24"/>
          <w:szCs w:val="24"/>
        </w:rPr>
        <w:t xml:space="preserve"> sequence for our Cas12a-gRNA was almost completely intact on the template (intact PAM + 21/23 nucleotides aligned), </w:t>
      </w:r>
      <w:r w:rsidRPr="00C9468D">
        <w:rPr>
          <w:rFonts w:ascii="Arial" w:eastAsia="Calibri" w:hAnsi="Arial" w:cs="Arial"/>
          <w:noProof/>
          <w:sz w:val="24"/>
          <w:szCs w:val="24"/>
        </w:rPr>
        <w:drawing>
          <wp:anchor distT="0" distB="0" distL="114300" distR="114300" simplePos="0" relativeHeight="251659264" behindDoc="0" locked="0" layoutInCell="1" allowOverlap="1" wp14:anchorId="3711FC84" wp14:editId="4811234D">
            <wp:simplePos x="0" y="0"/>
            <wp:positionH relativeFrom="column">
              <wp:posOffset>2538835</wp:posOffset>
            </wp:positionH>
            <wp:positionV relativeFrom="paragraph">
              <wp:posOffset>0</wp:posOffset>
            </wp:positionV>
            <wp:extent cx="3212465" cy="1947545"/>
            <wp:effectExtent l="0" t="0" r="635"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12465" cy="1947545"/>
                    </a:xfrm>
                    <a:prstGeom prst="rect">
                      <a:avLst/>
                    </a:prstGeom>
                  </pic:spPr>
                </pic:pic>
              </a:graphicData>
            </a:graphic>
            <wp14:sizeRelH relativeFrom="page">
              <wp14:pctWidth>0</wp14:pctWidth>
            </wp14:sizeRelH>
            <wp14:sizeRelV relativeFrom="page">
              <wp14:pctHeight>0</wp14:pctHeight>
            </wp14:sizeRelV>
          </wp:anchor>
        </w:drawing>
      </w:r>
      <w:r w:rsidRPr="00C9468D">
        <w:rPr>
          <w:rFonts w:ascii="Arial" w:eastAsia="Calibri" w:hAnsi="Arial" w:cs="Arial"/>
          <w:color w:val="4472C4"/>
          <w:sz w:val="24"/>
          <w:szCs w:val="24"/>
        </w:rPr>
        <w:t>which may be enough to cut the dsDNA. To our surprise, this still achieved relatively good knock-in rates. Mutating the PAM of Cas12a to prevent binding &amp; cutting of dsDNA HDR template improved the knock-in rates as presented in Figure 3. Therefore, the “non-split” HDR donor template design may be a useful alternative to classical “split” designs.</w:t>
      </w:r>
    </w:p>
    <w:p w14:paraId="366FE228" w14:textId="77777777" w:rsidR="00C9468D" w:rsidRPr="00C9468D" w:rsidRDefault="00C9468D" w:rsidP="00C9468D">
      <w:pPr>
        <w:spacing w:after="0" w:line="240" w:lineRule="auto"/>
        <w:jc w:val="both"/>
        <w:rPr>
          <w:rFonts w:ascii="Arial" w:eastAsia="Calibri" w:hAnsi="Arial" w:cs="Arial"/>
          <w:sz w:val="24"/>
          <w:szCs w:val="24"/>
        </w:rPr>
      </w:pPr>
    </w:p>
    <w:p w14:paraId="7D43DEA9"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Figure 4g. It is unclear why the legend below Figure 4g is placed here. I assume it relates to all of c, e, f, and g?</w:t>
      </w:r>
    </w:p>
    <w:p w14:paraId="2FC1FA33" w14:textId="77777777" w:rsidR="00C9468D" w:rsidRPr="00C9468D" w:rsidRDefault="00C9468D" w:rsidP="00C9468D">
      <w:pPr>
        <w:spacing w:after="0" w:line="240" w:lineRule="auto"/>
        <w:jc w:val="both"/>
        <w:rPr>
          <w:rFonts w:ascii="Arial" w:eastAsia="Calibri" w:hAnsi="Arial" w:cs="Arial"/>
          <w:sz w:val="24"/>
          <w:szCs w:val="24"/>
        </w:rPr>
      </w:pPr>
    </w:p>
    <w:p w14:paraId="3FA8334B"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agree with the reviewer that the original placement of the legend was confusing and have eliminated it.  </w:t>
      </w:r>
    </w:p>
    <w:p w14:paraId="32C4AA00" w14:textId="77777777" w:rsidR="00C9468D" w:rsidRPr="00C9468D" w:rsidRDefault="00C9468D" w:rsidP="00C9468D">
      <w:pPr>
        <w:spacing w:after="0" w:line="240" w:lineRule="auto"/>
        <w:jc w:val="both"/>
        <w:rPr>
          <w:rFonts w:ascii="Arial" w:eastAsia="Calibri" w:hAnsi="Arial" w:cs="Arial"/>
          <w:sz w:val="24"/>
          <w:szCs w:val="24"/>
        </w:rPr>
      </w:pPr>
    </w:p>
    <w:p w14:paraId="3DBA8F1A"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Page 5, Line 16. Please elaborate on this phenomenon on higher HLA-A/B/C levels with Cas12 rather than Cas9. The cells are all still negative as I assume the vertical line denotes a negative/positive gate?</w:t>
      </w:r>
    </w:p>
    <w:p w14:paraId="3910AEC3" w14:textId="77777777" w:rsidR="00C9468D" w:rsidRPr="00C9468D" w:rsidRDefault="00C9468D" w:rsidP="00C9468D">
      <w:pPr>
        <w:spacing w:after="0" w:line="240" w:lineRule="auto"/>
        <w:jc w:val="both"/>
        <w:rPr>
          <w:rFonts w:ascii="Arial" w:eastAsia="Calibri" w:hAnsi="Arial" w:cs="Arial"/>
          <w:sz w:val="24"/>
          <w:szCs w:val="24"/>
        </w:rPr>
      </w:pPr>
    </w:p>
    <w:p w14:paraId="500D5245"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Author response: Yes, we believe the cells have heavily downregulated HLA-A/B/C-expression. When base editing is the primary outcome at the B2M target site (Figure 5), the HLA-A/B/C expression is drastically reduced (black line denotes positive). However, MCH-I expression still appears to be relatively higher than when the same site was targeted with a nuclease /indels. Another display of the results can be found in Supplementary Figure 2. The black line always denotes the lower end of the HLA-A/B/C positive population. Everything to the left of the black line signifies strong MHC-I downregulation (log scale). In Supplementary Figure 2, we have also included a red line to highlight that there seem to be two populations in the Cas9-edited populations: one negative HLA-A/B/C population, which is only found in T cells edited with the Cas9 nuclease at the B2M site (presumably complete), and another HLA-A/B/C-low/dim population, which is enriched in the Cas12a + BE samples. Multiple groups have previously demonstrated that splice site editing may not eliminate all protein (</w:t>
      </w:r>
      <w:proofErr w:type="spellStart"/>
      <w:r w:rsidRPr="00C9468D">
        <w:rPr>
          <w:rFonts w:ascii="Arial" w:eastAsia="Calibri" w:hAnsi="Arial" w:cs="Arial"/>
          <w:color w:val="4472C4"/>
          <w:sz w:val="24"/>
          <w:szCs w:val="24"/>
        </w:rPr>
        <w:t>Gaudelli</w:t>
      </w:r>
      <w:proofErr w:type="spellEnd"/>
      <w:r w:rsidRPr="00C9468D">
        <w:rPr>
          <w:rFonts w:ascii="Arial" w:eastAsia="Calibri" w:hAnsi="Arial" w:cs="Arial"/>
          <w:color w:val="4472C4"/>
          <w:sz w:val="24"/>
          <w:szCs w:val="24"/>
        </w:rPr>
        <w:t xml:space="preserve"> et al 2020; </w:t>
      </w:r>
      <w:proofErr w:type="spellStart"/>
      <w:r w:rsidRPr="00C9468D">
        <w:rPr>
          <w:rFonts w:ascii="Arial" w:eastAsia="Calibri" w:hAnsi="Arial" w:cs="Arial"/>
          <w:color w:val="4472C4"/>
          <w:sz w:val="24"/>
          <w:szCs w:val="24"/>
        </w:rPr>
        <w:t>Kluesner</w:t>
      </w:r>
      <w:proofErr w:type="spellEnd"/>
      <w:r w:rsidRPr="00C9468D">
        <w:rPr>
          <w:rFonts w:ascii="Arial" w:eastAsia="Calibri" w:hAnsi="Arial" w:cs="Arial"/>
          <w:color w:val="4472C4"/>
          <w:sz w:val="24"/>
          <w:szCs w:val="24"/>
        </w:rPr>
        <w:t xml:space="preserve"> et al 2021), therefore we attempted to functionally validate whether B2M-splice site editing achieved the intended purpose (protection from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 xml:space="preserve">-recognition). We confirmed that the downregulation observed with Cas12a + BE effectively protects </w:t>
      </w:r>
      <w:r w:rsidRPr="00C9468D">
        <w:rPr>
          <w:rFonts w:ascii="Arial" w:eastAsia="Calibri" w:hAnsi="Arial" w:cs="Arial"/>
          <w:color w:val="4472C4"/>
          <w:sz w:val="24"/>
          <w:szCs w:val="24"/>
        </w:rPr>
        <w:lastRenderedPageBreak/>
        <w:t xml:space="preserve">from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-specific T cell killing to a similar degree as the Cas9-treated conditions. We introduced changes to the wording to clarify this point.</w:t>
      </w:r>
    </w:p>
    <w:p w14:paraId="2A19FC55" w14:textId="77777777" w:rsidR="00C9468D" w:rsidRPr="00C9468D" w:rsidRDefault="00C9468D" w:rsidP="00C9468D">
      <w:pPr>
        <w:spacing w:after="0" w:line="240" w:lineRule="auto"/>
        <w:jc w:val="both"/>
        <w:rPr>
          <w:rFonts w:ascii="Arial" w:eastAsia="Calibri" w:hAnsi="Arial" w:cs="Arial"/>
          <w:sz w:val="24"/>
          <w:szCs w:val="24"/>
        </w:rPr>
      </w:pPr>
    </w:p>
    <w:p w14:paraId="41F2057F"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Discussion: One might add PASTE and CAST systems for DSB-free approaches for targeted large-gene knock-in.</w:t>
      </w:r>
    </w:p>
    <w:p w14:paraId="7CC9B0F3" w14:textId="77777777" w:rsidR="00C9468D" w:rsidRPr="00C9468D" w:rsidRDefault="00C9468D" w:rsidP="00C9468D">
      <w:pPr>
        <w:spacing w:after="0" w:line="240" w:lineRule="auto"/>
        <w:jc w:val="both"/>
        <w:rPr>
          <w:rFonts w:ascii="Arial" w:eastAsia="Calibri" w:hAnsi="Arial" w:cs="Arial"/>
          <w:sz w:val="24"/>
          <w:szCs w:val="24"/>
        </w:rPr>
      </w:pPr>
    </w:p>
    <w:p w14:paraId="609655FB"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The reviewer makes a great point. We have added references and added a few sentences to the discussion as follows: </w:t>
      </w:r>
    </w:p>
    <w:p w14:paraId="026D7A32" w14:textId="77777777" w:rsidR="00C9468D" w:rsidRPr="00C9468D" w:rsidRDefault="00C9468D" w:rsidP="00C9468D">
      <w:pPr>
        <w:autoSpaceDE w:val="0"/>
        <w:autoSpaceDN w:val="0"/>
        <w:adjustRightInd w:val="0"/>
        <w:spacing w:after="0" w:line="240" w:lineRule="auto"/>
        <w:ind w:firstLine="708"/>
        <w:jc w:val="both"/>
        <w:rPr>
          <w:rFonts w:ascii="Arial" w:eastAsia="Calibri" w:hAnsi="Arial" w:cs="Arial"/>
          <w:iCs/>
          <w:color w:val="4472C4"/>
          <w:sz w:val="24"/>
          <w:szCs w:val="24"/>
          <w:highlight w:val="yellow"/>
        </w:rPr>
      </w:pPr>
      <w:r w:rsidRPr="00C9468D">
        <w:rPr>
          <w:rFonts w:ascii="Arial" w:eastAsia="Calibri" w:hAnsi="Arial" w:cs="Arial"/>
          <w:color w:val="4472C4"/>
          <w:sz w:val="24"/>
          <w:szCs w:val="24"/>
        </w:rPr>
        <w:t>“</w:t>
      </w:r>
      <w:r w:rsidRPr="00C9468D">
        <w:rPr>
          <w:rFonts w:ascii="Arial" w:eastAsia="Calibri" w:hAnsi="Arial" w:cs="Arial"/>
          <w:iCs/>
          <w:color w:val="4472C4"/>
          <w:sz w:val="24"/>
          <w:szCs w:val="24"/>
        </w:rPr>
        <w:t xml:space="preserve">Further, new technologies for site-specific gene delivery without DNA DSBs, such as PASTE </w:t>
      </w:r>
      <w:r w:rsidRPr="00C9468D">
        <w:rPr>
          <w:rFonts w:ascii="Arial" w:eastAsia="Calibri" w:hAnsi="Arial" w:cs="Arial"/>
          <w:iCs/>
          <w:color w:val="4472C4"/>
          <w:sz w:val="24"/>
          <w:szCs w:val="24"/>
        </w:rPr>
        <w:fldChar w:fldCharType="begin"/>
      </w:r>
      <w:r w:rsidRPr="00C9468D">
        <w:rPr>
          <w:rFonts w:ascii="Arial" w:eastAsia="Calibri" w:hAnsi="Arial" w:cs="Arial"/>
          <w:iCs/>
          <w:color w:val="4472C4"/>
          <w:sz w:val="24"/>
          <w:szCs w:val="24"/>
        </w:rPr>
        <w:instrText xml:space="preserve"> ADDIN ZOTERO_ITEM CSL_CITATION {"citationID":"kzFMa4oK","properties":{"formattedCitation":"\\super 52\\nosupersub{}","plainCitation":"52","noteIndex":0},"citationItems":[{"id":3174,"uris":["http://zotero.org/users/6453331/items/4N99J4UC"],"itemData":{"id":3174,"type":"article-journal","abstract":"Programmable genome integration of large, diverse DNA cargo without DNA repair of exposed DNA double-strand breaks remains an unsolved challenge in genome editing. We present programmable addition via site-specific targeting elements (PASTE), which uses a CRISPR–Cas9 nickase fused to both a reverse transcriptase and serine integrase for targeted genomic recruitment and integration of desired payloads. We demonstrate integration of sequences as large as ~36 kilobases at multiple genomic loci across three human cell lines, primary T cells and non-dividing primary human hepatocytes. To augment PASTE, we discovered 25,614 serine integrases and cognate attachment sites from metagenomes and engineered orthologs with higher activity and shorter recognition sequences for efficient programmable integration. PASTE has editing efficiencies similar to or exceeding those of homology-directed repair and non-homologous end joining-based methods, with activity in non-dividing cells and in vivo with fewer detectable off-target events. PASTE expands the capabilities of genome editing by allowing large, multiplexed gene insertion without reliance on DNA repair pathways.","container-title":"Nature Biotechnology","DOI":"10.1038/s41587-022-01527-4","ISSN":"1546-1696","journalAbbreviation":"Nat Biotechnol","language":"en","license":"2022 The Author(s), under exclusive licence to Springer Nature America, Inc.","note":"publisher: Nature Publishing Group","page":"1-13","source":"www.nature.com","title":"Drag-and-drop genome insertion of large sequences without double-strand DNA cleavage using CRISPR-directed integrases","author":[{"family":"Yarnall","given":"Matthew T. N."},{"family":"Ioannidi","given":"Eleonora I."},{"family":"Schmitt-Ulms","given":"Cian"},{"family":"Krajeski","given":"Rohan N."},{"family":"Lim","given":"Justin"},{"family":"Villiger","given":"Lukas"},{"family":"Zhou","given":"Wenyuan"},{"family":"Jiang","given":"Kaiyi"},{"family":"Garushyants","given":"Sofya K."},{"family":"Roberts","given":"Nathaniel"},{"family":"Zhang","given":"Liyang"},{"family":"Vakulskas","given":"Christopher A."},{"family":"Walker","given":"John A."},{"family":"Kadina","given":"Anastasia P."},{"family":"Zepeda","given":"Adrianna E."},{"family":"Holden","given":"Kevin"},{"family":"Ma","given":"Hong"},{"family":"Xie","given":"Jun"},{"family":"Gao","given":"Guangping"},{"family":"Foquet","given":"Lander"},{"family":"Bial","given":"Greg"},{"family":"Donnelly","given":"Sara K."},{"family":"Miyata","given":"Yoshinari"},{"family":"Radiloff","given":"Daniel R."},{"family":"Henderson","given":"Jordana M."},{"family":"Ujita","given":"Andrew"},{"family":"Abudayyeh","given":"Omar O."},{"family":"Gootenberg","given":"Jonathan S."}],"issued":{"date-parts":[["2022",11,24]]}}}],"schema":"https://github.com/citation-style-language/schema/raw/master/csl-citation.json"} </w:instrText>
      </w:r>
      <w:r w:rsidRPr="00C9468D">
        <w:rPr>
          <w:rFonts w:ascii="Arial" w:eastAsia="Calibri" w:hAnsi="Arial" w:cs="Arial"/>
          <w:iCs/>
          <w:color w:val="4472C4"/>
          <w:sz w:val="24"/>
          <w:szCs w:val="24"/>
        </w:rPr>
        <w:fldChar w:fldCharType="separate"/>
      </w:r>
      <w:r w:rsidRPr="00C9468D">
        <w:rPr>
          <w:rFonts w:ascii="Arial" w:eastAsia="Calibri" w:hAnsi="Arial" w:cs="Arial"/>
          <w:color w:val="4472C4"/>
          <w:sz w:val="24"/>
          <w:szCs w:val="24"/>
          <w:vertAlign w:val="superscript"/>
        </w:rPr>
        <w:t>52</w:t>
      </w:r>
      <w:r w:rsidRPr="00C9468D">
        <w:rPr>
          <w:rFonts w:ascii="Arial" w:eastAsia="Calibri" w:hAnsi="Arial" w:cs="Arial"/>
          <w:iCs/>
          <w:color w:val="4472C4"/>
          <w:sz w:val="24"/>
          <w:szCs w:val="24"/>
        </w:rPr>
        <w:fldChar w:fldCharType="end"/>
      </w:r>
      <w:r w:rsidRPr="00C9468D">
        <w:rPr>
          <w:rFonts w:ascii="Arial" w:eastAsia="Calibri" w:hAnsi="Arial" w:cs="Arial"/>
          <w:iCs/>
          <w:color w:val="4472C4"/>
          <w:sz w:val="24"/>
          <w:szCs w:val="24"/>
        </w:rPr>
        <w:t xml:space="preserve"> (which is a combination of CRISPR prime editing</w:t>
      </w:r>
      <w:r w:rsidRPr="00C9468D">
        <w:rPr>
          <w:rFonts w:ascii="Arial" w:eastAsia="Calibri" w:hAnsi="Arial" w:cs="Arial"/>
          <w:iCs/>
          <w:color w:val="4472C4"/>
          <w:sz w:val="24"/>
          <w:szCs w:val="24"/>
        </w:rPr>
        <w:fldChar w:fldCharType="begin"/>
      </w:r>
      <w:r w:rsidRPr="00C9468D">
        <w:rPr>
          <w:rFonts w:ascii="Arial" w:eastAsia="Calibri" w:hAnsi="Arial" w:cs="Arial"/>
          <w:iCs/>
          <w:color w:val="4472C4"/>
          <w:sz w:val="24"/>
          <w:szCs w:val="24"/>
        </w:rPr>
        <w:instrText xml:space="preserve"> ADDIN ZOTERO_ITEM CSL_CITATION {"citationID":"Gza1ReCI","properties":{"formattedCitation":"\\super 53\\nosupersub{}","plainCitation":"53","noteIndex":0},"citationItems":[{"id":2844,"uris":["http://zotero.org/users/6453331/items/3LYPT7RR"],"itemData":{"id":2844,"type":"article-journal","abstract":"The development of new CRISPR-Cas genome editing tools continues to drive major advances in the life sciences. Four classes of CRISPR-Cas-derived genome editing agents-nucleases, base editors, transposases/recombinases and prime editors-are currently available for modifying genomes in experimental systems. Some of these agents have also moved rapidly into the clinic. Each tool comes with its own capabilities and limitations, and major efforts have broadened their editing capabilities, expanded their targeting scope and improved editing specificity. We analyze key considerations when choosing genome editing agents and identify opportunities for future improvements and applications in basic research and therapeutics.","container-title":"Nature Biotechnology","DOI":"10.1038/s41587-020-0561-9","ISSN":"1546-1696","issue":"7","journalAbbreviation":"Nat Biotechnol","language":"eng","note":"PMID: 32572269","page":"824-844","source":"PubMed","title":"Genome editing with CRISPR-Cas nucleases, base editors, transposases and prime editors","volume":"38","author":[{"family":"Anzalone","given":"Andrew V."},{"family":"Koblan","given":"Luke W."},{"family":"Liu","given":"David R."}],"issued":{"date-parts":[["2020",7]]}}}],"schema":"https://github.com/citation-style-language/schema/raw/master/csl-citation.json"} </w:instrText>
      </w:r>
      <w:r w:rsidRPr="00C9468D">
        <w:rPr>
          <w:rFonts w:ascii="Arial" w:eastAsia="Calibri" w:hAnsi="Arial" w:cs="Arial"/>
          <w:iCs/>
          <w:color w:val="4472C4"/>
          <w:sz w:val="24"/>
          <w:szCs w:val="24"/>
        </w:rPr>
        <w:fldChar w:fldCharType="separate"/>
      </w:r>
      <w:r w:rsidRPr="00C9468D">
        <w:rPr>
          <w:rFonts w:ascii="Arial" w:eastAsia="Calibri" w:hAnsi="Arial" w:cs="Arial"/>
          <w:color w:val="4472C4"/>
          <w:sz w:val="24"/>
          <w:szCs w:val="24"/>
          <w:vertAlign w:val="superscript"/>
        </w:rPr>
        <w:t>53</w:t>
      </w:r>
      <w:r w:rsidRPr="00C9468D">
        <w:rPr>
          <w:rFonts w:ascii="Arial" w:eastAsia="Calibri" w:hAnsi="Arial" w:cs="Arial"/>
          <w:iCs/>
          <w:color w:val="4472C4"/>
          <w:sz w:val="24"/>
          <w:szCs w:val="24"/>
        </w:rPr>
        <w:fldChar w:fldCharType="end"/>
      </w:r>
      <w:r w:rsidRPr="00C9468D">
        <w:rPr>
          <w:rFonts w:ascii="Arial" w:eastAsia="Calibri" w:hAnsi="Arial" w:cs="Arial"/>
          <w:iCs/>
          <w:color w:val="4472C4"/>
          <w:sz w:val="24"/>
          <w:szCs w:val="24"/>
        </w:rPr>
        <w:t xml:space="preserve"> and serine integrases</w:t>
      </w:r>
      <w:r w:rsidRPr="00C9468D">
        <w:rPr>
          <w:rFonts w:ascii="Arial" w:eastAsia="Calibri" w:hAnsi="Arial" w:cs="Arial"/>
          <w:iCs/>
          <w:color w:val="4472C4"/>
          <w:sz w:val="24"/>
          <w:szCs w:val="24"/>
        </w:rPr>
        <w:fldChar w:fldCharType="begin"/>
      </w:r>
      <w:r w:rsidRPr="00C9468D">
        <w:rPr>
          <w:rFonts w:ascii="Arial" w:eastAsia="Calibri" w:hAnsi="Arial" w:cs="Arial"/>
          <w:iCs/>
          <w:color w:val="4472C4"/>
          <w:sz w:val="24"/>
          <w:szCs w:val="24"/>
        </w:rPr>
        <w:instrText xml:space="preserve"> ADDIN ZOTERO_ITEM CSL_CITATION {"citationID":"wufone8i","properties":{"formattedCitation":"\\super 54\\nosupersub{}","plainCitation":"54","noteIndex":0},"citationItems":[{"id":2704,"uris":["http://zotero.org/users/6453331/items/N259LER4"],"itemData":{"id":2704,"type":"article-journal","abstract":"Serine integrases catalyze precise rearrangement of DNA through site-specific recombination of small sequences of DNA called attachment (att) sites. Unlike other site-specific recombinases, the recombination reaction driven by serine integrases is highly directional and can only be reversed in the presence of an accessory protein called a recombination directionality factor (RDF). The ability to control reaction directionality has led to the development of serine integrases as tools for controlled rearrangement and modification of DNA in synthetic biology, gene therapy, and biotechnology. This review discusses recent advances in serine integrase technologies focusing on their applications in genome engineering, DNA assembly, and logic and data storage devices.","container-title":"ACS synthetic biology","DOI":"10.1021/acssynbio.7b00308","ISSN":"2161-5063","issue":"2","journalAbbreviation":"ACS Synth Biol","language":"eng","note":"PMID: 29316791","page":"299-310","source":"PubMed","title":"Serine Integrases: Advancing Synthetic Biology","title-short":"Serine Integrases","volume":"7","author":[{"family":"Merrick","given":"Christine A."},{"family":"Zhao","given":"Jia"},{"family":"Rosser","given":"Susan J."}],"issued":{"date-parts":[["2018",2,16]]}}}],"schema":"https://github.com/citation-style-language/schema/raw/master/csl-citation.json"} </w:instrText>
      </w:r>
      <w:r w:rsidRPr="00C9468D">
        <w:rPr>
          <w:rFonts w:ascii="Arial" w:eastAsia="Calibri" w:hAnsi="Arial" w:cs="Arial"/>
          <w:iCs/>
          <w:color w:val="4472C4"/>
          <w:sz w:val="24"/>
          <w:szCs w:val="24"/>
        </w:rPr>
        <w:fldChar w:fldCharType="separate"/>
      </w:r>
      <w:r w:rsidRPr="00C9468D">
        <w:rPr>
          <w:rFonts w:ascii="Arial" w:eastAsia="Calibri" w:hAnsi="Arial" w:cs="Arial"/>
          <w:color w:val="4472C4"/>
          <w:sz w:val="24"/>
          <w:szCs w:val="24"/>
          <w:vertAlign w:val="superscript"/>
          <w:lang w:val="de-DE"/>
        </w:rPr>
        <w:t>54</w:t>
      </w:r>
      <w:r w:rsidRPr="00C9468D">
        <w:rPr>
          <w:rFonts w:ascii="Arial" w:eastAsia="Calibri" w:hAnsi="Arial" w:cs="Arial"/>
          <w:iCs/>
          <w:color w:val="4472C4"/>
          <w:sz w:val="24"/>
          <w:szCs w:val="24"/>
        </w:rPr>
        <w:fldChar w:fldCharType="end"/>
      </w:r>
      <w:r w:rsidRPr="00C9468D">
        <w:rPr>
          <w:rFonts w:ascii="Arial" w:eastAsia="Calibri" w:hAnsi="Arial" w:cs="Arial"/>
          <w:iCs/>
          <w:color w:val="4472C4"/>
          <w:sz w:val="24"/>
          <w:szCs w:val="24"/>
        </w:rPr>
        <w:t>), CRISPR-associated transposases (CAST)</w:t>
      </w:r>
      <w:r w:rsidRPr="00C9468D">
        <w:rPr>
          <w:rFonts w:ascii="Arial" w:eastAsia="Calibri" w:hAnsi="Arial" w:cs="Arial"/>
          <w:iCs/>
          <w:color w:val="4472C4"/>
          <w:sz w:val="24"/>
          <w:szCs w:val="24"/>
        </w:rPr>
        <w:fldChar w:fldCharType="begin"/>
      </w:r>
      <w:r w:rsidRPr="00C9468D">
        <w:rPr>
          <w:rFonts w:ascii="Arial" w:eastAsia="Calibri" w:hAnsi="Arial" w:cs="Arial"/>
          <w:iCs/>
          <w:color w:val="4472C4"/>
          <w:sz w:val="24"/>
          <w:szCs w:val="24"/>
        </w:rPr>
        <w:instrText xml:space="preserve"> ADDIN ZOTERO_ITEM CSL_CITATION {"citationID":"piV49g1R","properties":{"formattedCitation":"\\super 55,56\\nosupersub{}","plainCitation":"55,56","noteIndex":0},"citationItems":[{"id":2681,"uris":["http://zotero.org/users/6453331/items/7A7895E3"],"itemData":{"id":2681,"type":"article-journal","abstract":"Conventional CRISPR–Cas systems maintain genomic integrity by leveraging guide RNAs for the nuclease-dependent degradation of mobile genetic elements, including plasmids and viruses. Here we describe a notable inversion of this paradigm, in which bacterial Tn7-like transposons have co-opted nuclease-deficient CRISPR–Cas systems to catalyse RNA-guided integration of mobile genetic elements into the genome. Programmable transposition of Vibrio cholerae Tn6677 in Escherichia coli requires CRISPR- and transposon-associated molecular machineries, including a co-complex between the DNA-targeting complex Cascade and the transposition protein TniQ. Integration of donor DNA occurs in one of two possible orientations at a fixed distance downstream of target DNA sequences, and can accommodate variable length genetic payloads. Deep-sequencing experiments reveal highly specific, genome-wide DNA insertion across dozens of unique target sites. This discovery of a fully programmable, RNA-guided integrase lays the foundation for genomic manipulations that obviate the requirements for double-strand breaks and homology-directed repair.","container-title":"Nature","DOI":"10.1038/s41586-019-1323-z","ISSN":"1476-4687","issue":"7764","language":"en","license":"2019 The Author(s), under exclusive licence to Springer Nature Limited","note":"Bandiera_abtest: a\nCg_type: Nature Research Journals\nnumber: 7764\nPrimary_atype: Research\npublisher: Nature Publishing Group\nSubject_term: DNA;Genetic vectors;Transposition\nSubject_term_id: dna;genetic-vectors;transposition","page":"219-225","source":"www.nature.com","title":"Transposon-encoded CRISPR–Cas systems direct RNA-guided DNA integration","volume":"571","author":[{"family":"Klompe","given":"Sanne E."},{"family":"Vo","given":"Phuc L. H."},{"family":"Halpin-Healy","given":"Tyler S."},{"family":"Sternberg","given":"Samuel H."}],"issued":{"date-parts":[["2019",7]]}}},{"id":3284,"uris":["http://zotero.org/users/6453331/items/A9A5FRSW"],"itemData":{"id":3284,"type":"article-journal","abstract":"Existing technologies for site-specific integration of kilobase-sized DNA sequences in bacteria are limited by low efficiency, a reliance on recombination, the need for multiple vectors, and challenges in multiplexing. To address these shortcomings, we introduce a substantially improved version of our previously reported Tn7-like transposon from Vibrio cholerae, which uses a Type I-F CRISPR-Cas system for programmable, RNA-guided transposition. The optimized insertion of transposable elements by guide RNA-assisted targeting (INTEGRATE) system achieves highly accurate and marker-free DNA integration of up to 10 kilobases at ~100% efficiency in bacteria. Using multi-spacer CRISPR arrays, we achieved simultaneous multiplexed insertions in three genomic loci and facile, multi-loci deletions by combining orthogonal integrases and recombinases. Finally, we demonstrated robust function in biomedically and industrially relevant bacteria and achieved target- and species-specific integration in a complex bacterial community. This work establishes INTEGRATE as a versatile tool for multiplexed, kilobase-scale genome engineering.","container-title":"Nature Biotechnology","DOI":"10.1038/s41587-020-00745-y","ISSN":"1546-1696","issue":"4","journalAbbreviation":"Nat Biotechnol","language":"eng","note":"PMID: 33230293","page":"480-489","source":"PubMed","title":"CRISPR RNA-guided integrases for high-efficiency, multiplexed bacterial genome engineering","volume":"39","author":[{"family":"Vo","given":"Phuc Leo H."},{"family":"Ronda","given":"Carlotta"},{"family":"Klompe","given":"Sanne E."},{"family":"Chen","given":"Ethan E."},{"family":"Acree","given":"Christopher"},{"family":"Wang","given":"Harris H."},{"family":"Sternberg","given":"Samuel H."}],"issued":{"date-parts":[["2021",4]]}}}],"schema":"https://github.com/citation-style-language/schema/raw/master/csl-citation.json"} </w:instrText>
      </w:r>
      <w:r w:rsidRPr="00C9468D">
        <w:rPr>
          <w:rFonts w:ascii="Arial" w:eastAsia="Calibri" w:hAnsi="Arial" w:cs="Arial"/>
          <w:iCs/>
          <w:color w:val="4472C4"/>
          <w:sz w:val="24"/>
          <w:szCs w:val="24"/>
        </w:rPr>
        <w:fldChar w:fldCharType="separate"/>
      </w:r>
      <w:r w:rsidRPr="00C9468D">
        <w:rPr>
          <w:rFonts w:ascii="Arial" w:eastAsia="Calibri" w:hAnsi="Arial" w:cs="Arial"/>
          <w:color w:val="4472C4"/>
          <w:sz w:val="24"/>
          <w:szCs w:val="24"/>
          <w:vertAlign w:val="superscript"/>
        </w:rPr>
        <w:t>55,56</w:t>
      </w:r>
      <w:r w:rsidRPr="00C9468D">
        <w:rPr>
          <w:rFonts w:ascii="Arial" w:eastAsia="Calibri" w:hAnsi="Arial" w:cs="Arial"/>
          <w:iCs/>
          <w:color w:val="4472C4"/>
          <w:sz w:val="24"/>
          <w:szCs w:val="24"/>
        </w:rPr>
        <w:fldChar w:fldCharType="end"/>
      </w:r>
      <w:r w:rsidRPr="00C9468D">
        <w:rPr>
          <w:rFonts w:ascii="Arial" w:eastAsia="Calibri" w:hAnsi="Arial" w:cs="Arial"/>
          <w:iCs/>
          <w:color w:val="4472C4"/>
          <w:sz w:val="24"/>
          <w:szCs w:val="24"/>
        </w:rPr>
        <w:t xml:space="preserve"> or designer recombinases</w:t>
      </w:r>
      <w:r w:rsidRPr="00C9468D">
        <w:rPr>
          <w:rFonts w:ascii="Arial" w:eastAsia="Calibri" w:hAnsi="Arial" w:cs="Arial"/>
          <w:iCs/>
          <w:color w:val="4472C4"/>
          <w:sz w:val="24"/>
          <w:szCs w:val="24"/>
        </w:rPr>
        <w:fldChar w:fldCharType="begin"/>
      </w:r>
      <w:r w:rsidRPr="00C9468D">
        <w:rPr>
          <w:rFonts w:ascii="Arial" w:eastAsia="Calibri" w:hAnsi="Arial" w:cs="Arial"/>
          <w:iCs/>
          <w:color w:val="4472C4"/>
          <w:sz w:val="24"/>
          <w:szCs w:val="24"/>
        </w:rPr>
        <w:instrText xml:space="preserve"> ADDIN ZOTERO_ITEM CSL_CITATION {"citationID":"5nCMI8XR","properties":{"formattedCitation":"\\super 57\\nosupersub{}","plainCitation":"57","noteIndex":0},"citationItems":[{"id":3287,"uris":["http://zotero.org/users/6453331/items/47BMCT6V"],"itemData":{"id":3287,"type":"article-journal","abstract":"Site-specific tyrosine-type recombinases are effective tools for genome engineering, with the first engineered variants having demonstrated therapeutic potential. So far, adaptation to new DNA target site selectivity of designer-recombinases has been achieved mostly through iterative cycles of directed molecular evolution. While effective, directed molecular evolution methods are laborious and time consuming. Here we present RecGen (Recombinase Generator), an algorithm for the intelligent generation of designer-recombinases. We gather the sequence information of over one million Cre-like recombinase sequences evolved for 89 different target sites with which we train Conditional Variational Autoencoders for recombinase generation. Experimental validation demonstrates that the algorithm can predict recombinase sequences with activity on novel target-sites, indicating that RecGen is useful to accelerate the development of future designer-recombinases.","container-title":"Nature Communications","DOI":"10.1038/s41467-022-35614-6","ISSN":"2041-1723","issue":"1","journalAbbreviation":"Nat Commun","language":"en","license":"2022 The Author(s)","note":"number: 1\npublisher: Nature Publishing Group","page":"7966","source":"www.nature.com","title":"Prediction of designer-recombinases for DNA editing with generative deep learning","volume":"13","author":[{"family":"Schmitt","given":"Lukas Theo"},{"family":"Paszkowski-Rogacz","given":"Maciej"},{"family":"Jug","given":"Florian"},{"family":"Buchholz","given":"Frank"}],"issued":{"date-parts":[["2022",12,27]]}}}],"schema":"https://github.com/citation-style-language/schema/raw/master/csl-citation.json"} </w:instrText>
      </w:r>
      <w:r w:rsidRPr="00C9468D">
        <w:rPr>
          <w:rFonts w:ascii="Arial" w:eastAsia="Calibri" w:hAnsi="Arial" w:cs="Arial"/>
          <w:iCs/>
          <w:color w:val="4472C4"/>
          <w:sz w:val="24"/>
          <w:szCs w:val="24"/>
        </w:rPr>
        <w:fldChar w:fldCharType="separate"/>
      </w:r>
      <w:r w:rsidRPr="00C9468D">
        <w:rPr>
          <w:rFonts w:ascii="Arial" w:eastAsia="Calibri" w:hAnsi="Arial" w:cs="Arial"/>
          <w:color w:val="4472C4"/>
          <w:sz w:val="24"/>
          <w:szCs w:val="24"/>
          <w:vertAlign w:val="superscript"/>
        </w:rPr>
        <w:t>57</w:t>
      </w:r>
      <w:r w:rsidRPr="00C9468D">
        <w:rPr>
          <w:rFonts w:ascii="Arial" w:eastAsia="Calibri" w:hAnsi="Arial" w:cs="Arial"/>
          <w:iCs/>
          <w:color w:val="4472C4"/>
          <w:sz w:val="24"/>
          <w:szCs w:val="24"/>
        </w:rPr>
        <w:fldChar w:fldCharType="end"/>
      </w:r>
      <w:r w:rsidRPr="00C9468D">
        <w:rPr>
          <w:rFonts w:ascii="Arial" w:eastAsia="Calibri" w:hAnsi="Arial" w:cs="Arial"/>
          <w:iCs/>
          <w:color w:val="4472C4"/>
          <w:sz w:val="24"/>
          <w:szCs w:val="24"/>
        </w:rPr>
        <w:t>, may allow translocation-free multiplex-editing after optimization for high efficacy in primary human cells. “</w:t>
      </w:r>
    </w:p>
    <w:p w14:paraId="3CF574E1" w14:textId="77777777" w:rsidR="00C9468D" w:rsidRPr="00C9468D" w:rsidRDefault="00C9468D" w:rsidP="00C9468D">
      <w:pPr>
        <w:spacing w:after="0" w:line="240" w:lineRule="auto"/>
        <w:jc w:val="both"/>
        <w:rPr>
          <w:rFonts w:ascii="Arial" w:eastAsia="Calibri" w:hAnsi="Arial" w:cs="Arial"/>
          <w:sz w:val="24"/>
          <w:szCs w:val="24"/>
        </w:rPr>
      </w:pPr>
    </w:p>
    <w:p w14:paraId="2F91B5BB"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Discussion: The missing self-response by NK cells should be introduced in the introduction as skilled immunologists might already wonder why this hasn't been at least textually addressed in the editing approach when trying to remove class I and II.</w:t>
      </w:r>
    </w:p>
    <w:p w14:paraId="03F59730" w14:textId="77777777" w:rsidR="00C9468D" w:rsidRPr="00C9468D" w:rsidRDefault="00C9468D" w:rsidP="00C9468D">
      <w:pPr>
        <w:spacing w:after="0" w:line="240" w:lineRule="auto"/>
        <w:jc w:val="both"/>
        <w:rPr>
          <w:rFonts w:ascii="Arial" w:eastAsia="Calibri" w:hAnsi="Arial" w:cs="Arial"/>
          <w:sz w:val="24"/>
          <w:szCs w:val="24"/>
        </w:rPr>
      </w:pPr>
    </w:p>
    <w:p w14:paraId="7FB5AE27"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agree with the reviewer and have added this fact in the introduction. </w:t>
      </w:r>
    </w:p>
    <w:p w14:paraId="77E70454" w14:textId="77777777" w:rsidR="00C9468D" w:rsidRPr="00C9468D" w:rsidRDefault="00C9468D" w:rsidP="00C9468D">
      <w:pPr>
        <w:spacing w:after="0" w:line="240" w:lineRule="auto"/>
        <w:jc w:val="both"/>
        <w:rPr>
          <w:rFonts w:ascii="Arial" w:eastAsia="Calibri" w:hAnsi="Arial" w:cs="Arial"/>
          <w:sz w:val="24"/>
          <w:szCs w:val="24"/>
        </w:rPr>
      </w:pPr>
    </w:p>
    <w:p w14:paraId="749DF596"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Reviewer #2: SUMMARY</w:t>
      </w:r>
    </w:p>
    <w:p w14:paraId="6AE36B0F"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Glaser et al. report a combination of nuclease/HDR mediated knock-in (KI) and base editor (BE) mediated multiplex knock-out (KO) in human T cells with reduced translocation byproducts.</w:t>
      </w:r>
    </w:p>
    <w:p w14:paraId="318F0A1F"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KI of a CD19-CAR into the TRAC locus is accompanied by concurrent KO of B2M and CIITA to generate an allogeneic CAR-T cell product.</w:t>
      </w:r>
    </w:p>
    <w:p w14:paraId="578421D9"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The authors describe how using SpCas9 nuclease together with SpCas9-based ABE leads to gRNA swapping with persisting (albeit reduced) translocations.</w:t>
      </w:r>
    </w:p>
    <w:p w14:paraId="031372D4"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They overcome this problem by using an AsCas12a variant for HDR-mediated KI together with a SpCas9-based ABE variant.</w:t>
      </w:r>
    </w:p>
    <w:p w14:paraId="1C28DF32"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This final constellation enables therapeutically relevant (and increased) CAR KI rates of ~30% (similar to </w:t>
      </w:r>
      <w:proofErr w:type="spellStart"/>
      <w:r w:rsidRPr="00C9468D">
        <w:rPr>
          <w:rFonts w:ascii="Arial" w:eastAsia="Calibri" w:hAnsi="Arial" w:cs="Arial"/>
          <w:sz w:val="24"/>
          <w:szCs w:val="24"/>
        </w:rPr>
        <w:t>lentivirally</w:t>
      </w:r>
      <w:proofErr w:type="spellEnd"/>
      <w:r w:rsidRPr="00C9468D">
        <w:rPr>
          <w:rFonts w:ascii="Arial" w:eastAsia="Calibri" w:hAnsi="Arial" w:cs="Arial"/>
          <w:sz w:val="24"/>
          <w:szCs w:val="24"/>
        </w:rPr>
        <w:t xml:space="preserve"> transduced CAR-T products in clinical use),</w:t>
      </w:r>
    </w:p>
    <w:p w14:paraId="67075323"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efficient ABE-mediated multiplex-KO that prevents NK cell mediated destruction of the allogeneic CAR-T product, and substantially reduced translocation frequencies.</w:t>
      </w:r>
    </w:p>
    <w:p w14:paraId="1F0D4B9F" w14:textId="77777777" w:rsidR="00C9468D" w:rsidRPr="00C9468D" w:rsidRDefault="00C9468D" w:rsidP="00C9468D">
      <w:pPr>
        <w:spacing w:after="0" w:line="240" w:lineRule="auto"/>
        <w:jc w:val="both"/>
        <w:rPr>
          <w:rFonts w:ascii="Arial" w:eastAsia="Calibri" w:hAnsi="Arial" w:cs="Arial"/>
          <w:sz w:val="24"/>
          <w:szCs w:val="24"/>
        </w:rPr>
      </w:pPr>
    </w:p>
    <w:p w14:paraId="5C1AC76F"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ASSESSMENT</w:t>
      </w:r>
    </w:p>
    <w:p w14:paraId="0A61E1C4"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This study is well-executed and the findings are highly relevant.  </w:t>
      </w:r>
    </w:p>
    <w:p w14:paraId="681EDA04"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The combination of different CRISPR editing modalities to yield complex cell products is both elegant and exciting.</w:t>
      </w:r>
    </w:p>
    <w:p w14:paraId="029EC60A"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This approach enables safety-enhanced cell products with large payload integration (HDR) and multiplex-KO which is relevant to the entire field of gene/cell therapy.</w:t>
      </w:r>
    </w:p>
    <w:p w14:paraId="20202768"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The focus on translocations (and reduction thereof) is important for clinical translation of newer CAR-T therapies, given similar products are in clinical development and multiplex-KO is needed in all allogeneic T cell products.</w:t>
      </w:r>
    </w:p>
    <w:p w14:paraId="0C9475FC" w14:textId="77777777" w:rsidR="00C9468D" w:rsidRPr="00C9468D" w:rsidRDefault="00C9468D" w:rsidP="00C9468D">
      <w:pPr>
        <w:spacing w:after="0" w:line="240" w:lineRule="auto"/>
        <w:jc w:val="both"/>
        <w:rPr>
          <w:rFonts w:ascii="Arial" w:eastAsia="Calibri" w:hAnsi="Arial" w:cs="Arial"/>
          <w:sz w:val="24"/>
          <w:szCs w:val="24"/>
        </w:rPr>
      </w:pPr>
    </w:p>
    <w:p w14:paraId="367F0DAE"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MINOR</w:t>
      </w:r>
    </w:p>
    <w:p w14:paraId="433C8A7A" w14:textId="77777777" w:rsidR="00C9468D" w:rsidRPr="00C9468D" w:rsidRDefault="00C9468D" w:rsidP="00C9468D">
      <w:pPr>
        <w:spacing w:after="0" w:line="240" w:lineRule="auto"/>
        <w:jc w:val="both"/>
        <w:rPr>
          <w:rFonts w:ascii="Arial" w:eastAsia="Calibri" w:hAnsi="Arial" w:cs="Arial"/>
          <w:sz w:val="24"/>
          <w:szCs w:val="24"/>
        </w:rPr>
      </w:pPr>
    </w:p>
    <w:p w14:paraId="049941FE"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P4, Lines 50-56: I don't understand this case. The study was halted because CAR-T cells showed translocations but the CAR-T product didn't contain cells with translocations?</w:t>
      </w:r>
    </w:p>
    <w:p w14:paraId="06854E52" w14:textId="77777777" w:rsidR="00C9468D" w:rsidRPr="00C9468D" w:rsidRDefault="00C9468D" w:rsidP="00C9468D">
      <w:pPr>
        <w:spacing w:after="0" w:line="240" w:lineRule="auto"/>
        <w:jc w:val="both"/>
        <w:rPr>
          <w:rFonts w:ascii="Arial" w:eastAsia="Calibri" w:hAnsi="Arial" w:cs="Arial"/>
          <w:sz w:val="24"/>
          <w:szCs w:val="24"/>
        </w:rPr>
      </w:pPr>
    </w:p>
    <w:p w14:paraId="431A573C"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understand the reviewer’s confusion. Since we submitted our manuscript, the mentioned case was published by </w:t>
      </w:r>
      <w:proofErr w:type="spellStart"/>
      <w:r w:rsidRPr="00C9468D">
        <w:rPr>
          <w:rFonts w:ascii="Arial" w:eastAsia="Calibri" w:hAnsi="Arial" w:cs="Arial"/>
          <w:color w:val="4472C4"/>
          <w:sz w:val="24"/>
          <w:szCs w:val="24"/>
        </w:rPr>
        <w:t>Sasu</w:t>
      </w:r>
      <w:proofErr w:type="spellEnd"/>
      <w:r w:rsidRPr="00C9468D">
        <w:rPr>
          <w:rFonts w:ascii="Arial" w:eastAsia="Calibri" w:hAnsi="Arial" w:cs="Arial"/>
          <w:color w:val="4472C4"/>
          <w:sz w:val="24"/>
          <w:szCs w:val="24"/>
        </w:rPr>
        <w:t xml:space="preserve"> et al in Molecular Therapy (PMID: 36518079). We modified the section of the text to improve the clarity and accurateness of the findings. The clinical trial was halted because a patient who developed bone marrow aplasia after receiving allogeneic gene-edited CAR T cells. The health care team performed a cytogenetic analysis of the bone marrow and found an inversion at chromosome 14 (which was one of the chromosomes targeted by TALEN gene editing). Genomic analysis revealed that the breakpoints of the inversion did not involve the sites in the TRAC gene which were targeted with the TALE-nuclease. Further, the authors could not detect the inversion in the product prior to infusion. The pattern of the chromosomal abnormality detected in the patients fits to RAG1-mediated rearrangement, which is frequently observed at the TCR alpha chain locus on Chromosome 14. Therefore, the authors speculated whether the observed donor cell clone may have arisen from a recombination event after infusion (a process called TCR revision). Overall, the clone contracted and eventually disappeared without causing any adverse effects and could be considered a co-incidental finding in patient developing an expected adverse event after lymphodepletion chemotherapy and CAR-T cell administration.</w:t>
      </w:r>
    </w:p>
    <w:p w14:paraId="64918285"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br/>
        <w:t xml:space="preserve">The adjusted text states the following: </w:t>
      </w:r>
    </w:p>
    <w:p w14:paraId="3D490D78" w14:textId="77777777" w:rsidR="00C9468D" w:rsidRPr="00C9468D" w:rsidRDefault="00C9468D" w:rsidP="00C9468D">
      <w:pPr>
        <w:spacing w:after="0" w:line="240" w:lineRule="auto"/>
        <w:jc w:val="both"/>
        <w:rPr>
          <w:rFonts w:ascii="Arial" w:eastAsia="Calibri" w:hAnsi="Arial" w:cs="Arial"/>
          <w:i/>
          <w:iCs/>
          <w:color w:val="4472C4"/>
          <w:sz w:val="24"/>
          <w:szCs w:val="24"/>
        </w:rPr>
      </w:pPr>
      <w:r w:rsidRPr="00C9468D">
        <w:rPr>
          <w:rFonts w:ascii="Arial" w:eastAsia="Calibri" w:hAnsi="Arial" w:cs="Arial"/>
          <w:i/>
          <w:iCs/>
          <w:color w:val="4472C4"/>
          <w:sz w:val="24"/>
          <w:szCs w:val="24"/>
        </w:rPr>
        <w:t>“Recently, a clinical trial was halted due to the detection of CAR T cells bearing a chromosomal translocations in a patient with who developed bone marrow aplasia after he received allogeneic multiplex TALEN-edited CAR T cell product (#NCT04416984; clinicaltrials.gov) (REF 25). The trial was later continued, because the chromosomal abnormality did not involve the sites targeted by TALEN gene editing nor was it found in the edited product prior to infusion (REF 25). Thus far, translocations induced by gene editing have not been linked to adverse effects or malignant transformation in clinical trials employing gene editing. However, the caution exercised by the regulatory authorities highlights that translocations remain a concern in the clinical translation of multiplex gene-edited T cell products and should be avoided.”</w:t>
      </w:r>
    </w:p>
    <w:p w14:paraId="369696AD"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 </w:t>
      </w:r>
    </w:p>
    <w:p w14:paraId="4A1F3BC5"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P5, Lines 5-7 vs. 9-11 are redundant.</w:t>
      </w:r>
    </w:p>
    <w:p w14:paraId="2B44D500" w14:textId="77777777" w:rsidR="00C9468D" w:rsidRPr="00C9468D" w:rsidRDefault="00C9468D" w:rsidP="00C9468D">
      <w:pPr>
        <w:spacing w:after="0" w:line="240" w:lineRule="auto"/>
        <w:jc w:val="both"/>
        <w:rPr>
          <w:rFonts w:ascii="Arial" w:eastAsia="Calibri" w:hAnsi="Arial" w:cs="Arial"/>
          <w:sz w:val="24"/>
          <w:szCs w:val="24"/>
        </w:rPr>
      </w:pPr>
    </w:p>
    <w:p w14:paraId="0AAC3213"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thank the reviewer for his comment and have eliminated the duplicated wording in the mentioned lines. </w:t>
      </w:r>
    </w:p>
    <w:p w14:paraId="0B09CAE9" w14:textId="77777777" w:rsidR="00C9468D" w:rsidRPr="00C9468D" w:rsidRDefault="00C9468D" w:rsidP="00C9468D">
      <w:pPr>
        <w:spacing w:after="0" w:line="240" w:lineRule="auto"/>
        <w:jc w:val="both"/>
        <w:rPr>
          <w:rFonts w:ascii="Arial" w:eastAsia="Calibri" w:hAnsi="Arial" w:cs="Arial"/>
          <w:sz w:val="24"/>
          <w:szCs w:val="24"/>
        </w:rPr>
      </w:pPr>
    </w:p>
    <w:p w14:paraId="11BA157A"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P7, Lines 53-54: Why is MHC class I expression in TRAC-CAR KI (Cas12a) + MHC </w:t>
      </w:r>
      <w:proofErr w:type="spellStart"/>
      <w:r w:rsidRPr="00C9468D">
        <w:rPr>
          <w:rFonts w:ascii="Arial" w:eastAsia="Calibri" w:hAnsi="Arial" w:cs="Arial"/>
          <w:sz w:val="24"/>
          <w:szCs w:val="24"/>
        </w:rPr>
        <w:t>dKO</w:t>
      </w:r>
      <w:proofErr w:type="spellEnd"/>
      <w:r w:rsidRPr="00C9468D">
        <w:rPr>
          <w:rFonts w:ascii="Arial" w:eastAsia="Calibri" w:hAnsi="Arial" w:cs="Arial"/>
          <w:sz w:val="24"/>
          <w:szCs w:val="24"/>
        </w:rPr>
        <w:t xml:space="preserve"> (BE) cells higher (and compared to what)? Sorry, if I missed this.</w:t>
      </w:r>
    </w:p>
    <w:p w14:paraId="2AD6B214" w14:textId="77777777" w:rsidR="00C9468D" w:rsidRPr="00C9468D" w:rsidRDefault="00C9468D" w:rsidP="00C9468D">
      <w:pPr>
        <w:spacing w:after="0" w:line="240" w:lineRule="auto"/>
        <w:jc w:val="both"/>
        <w:rPr>
          <w:rFonts w:ascii="Arial" w:eastAsia="Calibri" w:hAnsi="Arial" w:cs="Arial"/>
          <w:sz w:val="24"/>
          <w:szCs w:val="24"/>
        </w:rPr>
      </w:pPr>
    </w:p>
    <w:p w14:paraId="097A6B0E"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believe this may be related to different gene editing outcome at the B2M side after base editing vs regular Cas9 cutting, which results in different indels and different degree of protein loss. There seem to be two populations in the Cas9-edited populations- one negative HLA-A/B/C population, which is only found in T cells edited </w:t>
      </w:r>
      <w:r w:rsidRPr="00C9468D">
        <w:rPr>
          <w:rFonts w:ascii="Arial" w:eastAsia="Calibri" w:hAnsi="Arial" w:cs="Arial"/>
          <w:color w:val="4472C4"/>
          <w:sz w:val="24"/>
          <w:szCs w:val="24"/>
        </w:rPr>
        <w:lastRenderedPageBreak/>
        <w:t xml:space="preserve">with the Cas9 nuclease at the B2M site (Suppl. Fig. 2, left to red line indicates complete protein loss), and another HLA-A/B/C-low/dim population, which is enriched in the Cas12a + BE samples and may indicate a little residual protein. As T cells can detect as little as 1 antigen-MHC molecule on a target cell surface with their TCR, we tested whether the MHC-I dim population actually is functional (e.g. regularly expressed MHC-I). Our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 xml:space="preserve">-specific T cells could not lyse either </w:t>
      </w:r>
      <w:proofErr w:type="spellStart"/>
      <w:r w:rsidRPr="00C9468D">
        <w:rPr>
          <w:rFonts w:ascii="Arial" w:eastAsia="Calibri" w:hAnsi="Arial" w:cs="Arial"/>
          <w:color w:val="4472C4"/>
          <w:sz w:val="24"/>
          <w:szCs w:val="24"/>
        </w:rPr>
        <w:t>tKO</w:t>
      </w:r>
      <w:proofErr w:type="spellEnd"/>
      <w:r w:rsidRPr="00C9468D">
        <w:rPr>
          <w:rFonts w:ascii="Arial" w:eastAsia="Calibri" w:hAnsi="Arial" w:cs="Arial"/>
          <w:color w:val="4472C4"/>
          <w:sz w:val="24"/>
          <w:szCs w:val="24"/>
        </w:rPr>
        <w:t xml:space="preserve">, </w:t>
      </w:r>
      <w:proofErr w:type="spellStart"/>
      <w:r w:rsidRPr="00C9468D">
        <w:rPr>
          <w:rFonts w:ascii="Arial" w:eastAsia="Calibri" w:hAnsi="Arial" w:cs="Arial"/>
          <w:color w:val="4472C4"/>
          <w:sz w:val="24"/>
          <w:szCs w:val="24"/>
        </w:rPr>
        <w:t>dKO</w:t>
      </w:r>
      <w:proofErr w:type="spellEnd"/>
      <w:r w:rsidRPr="00C9468D">
        <w:rPr>
          <w:rFonts w:ascii="Arial" w:eastAsia="Calibri" w:hAnsi="Arial" w:cs="Arial"/>
          <w:color w:val="4472C4"/>
          <w:sz w:val="24"/>
          <w:szCs w:val="24"/>
        </w:rPr>
        <w:t xml:space="preserve"> (Cas9) or </w:t>
      </w:r>
      <w:proofErr w:type="spellStart"/>
      <w:r w:rsidRPr="00C9468D">
        <w:rPr>
          <w:rFonts w:ascii="Arial" w:eastAsia="Calibri" w:hAnsi="Arial" w:cs="Arial"/>
          <w:color w:val="4472C4"/>
          <w:sz w:val="24"/>
          <w:szCs w:val="24"/>
        </w:rPr>
        <w:t>dKO</w:t>
      </w:r>
      <w:proofErr w:type="spellEnd"/>
      <w:r w:rsidRPr="00C9468D">
        <w:rPr>
          <w:rFonts w:ascii="Arial" w:eastAsia="Calibri" w:hAnsi="Arial" w:cs="Arial"/>
          <w:color w:val="4472C4"/>
          <w:sz w:val="24"/>
          <w:szCs w:val="24"/>
        </w:rPr>
        <w:t xml:space="preserve"> (Cas12a+BE) conditions. Therefore, we conclude the MHC-I downmodulation achieved by base editing the B2M splice sites is enough prevent recognition from </w:t>
      </w:r>
      <w:proofErr w:type="spellStart"/>
      <w:r w:rsidRPr="00C9468D">
        <w:rPr>
          <w:rFonts w:ascii="Arial" w:eastAsia="Calibri" w:hAnsi="Arial" w:cs="Arial"/>
          <w:color w:val="4472C4"/>
          <w:sz w:val="24"/>
          <w:szCs w:val="24"/>
        </w:rPr>
        <w:t>allo</w:t>
      </w:r>
      <w:proofErr w:type="spellEnd"/>
      <w:r w:rsidRPr="00C9468D">
        <w:rPr>
          <w:rFonts w:ascii="Arial" w:eastAsia="Calibri" w:hAnsi="Arial" w:cs="Arial"/>
          <w:color w:val="4472C4"/>
          <w:sz w:val="24"/>
          <w:szCs w:val="24"/>
        </w:rPr>
        <w:t>-specific T cells.</w:t>
      </w:r>
    </w:p>
    <w:p w14:paraId="3869BDFF" w14:textId="77777777" w:rsidR="00C9468D" w:rsidRPr="00C9468D" w:rsidRDefault="00C9468D" w:rsidP="00C9468D">
      <w:pPr>
        <w:spacing w:after="0" w:line="240" w:lineRule="auto"/>
        <w:jc w:val="both"/>
        <w:rPr>
          <w:rFonts w:ascii="Arial" w:eastAsia="Calibri" w:hAnsi="Arial" w:cs="Arial"/>
          <w:sz w:val="24"/>
          <w:szCs w:val="24"/>
        </w:rPr>
      </w:pPr>
    </w:p>
    <w:p w14:paraId="4BAAA52B"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P9, Lines 17-19: REF for the passage on AAV6-enhanced KI?</w:t>
      </w:r>
    </w:p>
    <w:p w14:paraId="6C8F5209" w14:textId="77777777" w:rsidR="00C9468D" w:rsidRPr="00C9468D" w:rsidRDefault="00C9468D" w:rsidP="00C9468D">
      <w:pPr>
        <w:spacing w:after="0" w:line="240" w:lineRule="auto"/>
        <w:jc w:val="both"/>
        <w:rPr>
          <w:rFonts w:ascii="Arial" w:eastAsia="Calibri" w:hAnsi="Arial" w:cs="Arial"/>
          <w:sz w:val="24"/>
          <w:szCs w:val="24"/>
        </w:rPr>
      </w:pPr>
    </w:p>
    <w:p w14:paraId="514B274B"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have added a references exemplifying high degree of KI in T cells using AAV and one additional reference for the mechanisms underlying AAV transduction. We also slightly modified the wording of the sentence to the following: </w:t>
      </w:r>
    </w:p>
    <w:p w14:paraId="4B2F442F" w14:textId="77777777" w:rsidR="00C9468D" w:rsidRPr="00C9468D" w:rsidRDefault="00C9468D" w:rsidP="00C9468D">
      <w:pPr>
        <w:spacing w:after="0" w:line="240" w:lineRule="auto"/>
        <w:ind w:firstLine="708"/>
        <w:jc w:val="both"/>
        <w:rPr>
          <w:rFonts w:ascii="Arial" w:eastAsia="Calibri" w:hAnsi="Arial" w:cs="Arial"/>
          <w:color w:val="4472C4"/>
          <w:sz w:val="24"/>
          <w:szCs w:val="24"/>
        </w:rPr>
      </w:pPr>
      <w:r w:rsidRPr="00C9468D">
        <w:rPr>
          <w:rFonts w:ascii="Arial" w:eastAsia="Calibri" w:hAnsi="Arial" w:cs="Arial"/>
          <w:color w:val="4472C4"/>
          <w:sz w:val="24"/>
          <w:szCs w:val="24"/>
        </w:rPr>
        <w:t>“</w:t>
      </w:r>
      <w:r w:rsidRPr="00C9468D">
        <w:rPr>
          <w:rFonts w:ascii="Arial" w:eastAsia="Calibri" w:hAnsi="Arial" w:cs="Arial"/>
          <w:i/>
          <w:iCs/>
          <w:color w:val="4472C4"/>
          <w:sz w:val="24"/>
          <w:szCs w:val="24"/>
        </w:rPr>
        <w:t xml:space="preserve">AAV6’s high efficacy for KI (Ref) </w:t>
      </w:r>
      <w:r w:rsidRPr="00C9468D">
        <w:rPr>
          <w:rFonts w:ascii="Arial" w:eastAsia="Calibri" w:hAnsi="Arial" w:cs="Arial"/>
          <w:i/>
          <w:iCs/>
          <w:color w:val="4472C4"/>
          <w:sz w:val="24"/>
          <w:szCs w:val="24"/>
          <w:u w:val="single"/>
        </w:rPr>
        <w:t>may</w:t>
      </w:r>
      <w:r w:rsidRPr="00C9468D">
        <w:rPr>
          <w:rFonts w:ascii="Arial" w:eastAsia="Calibri" w:hAnsi="Arial" w:cs="Arial"/>
          <w:i/>
          <w:iCs/>
          <w:color w:val="4472C4"/>
          <w:sz w:val="24"/>
          <w:szCs w:val="24"/>
        </w:rPr>
        <w:t xml:space="preserve"> be explained by the </w:t>
      </w:r>
      <w:r w:rsidRPr="00C9468D">
        <w:rPr>
          <w:rFonts w:ascii="Arial" w:eastAsia="Calibri" w:hAnsi="Arial" w:cs="Arial"/>
          <w:i/>
          <w:iCs/>
          <w:color w:val="4472C4"/>
          <w:sz w:val="24"/>
          <w:szCs w:val="24"/>
          <w:u w:val="single"/>
        </w:rPr>
        <w:t>virus-mediated</w:t>
      </w:r>
      <w:r w:rsidRPr="00C9468D">
        <w:rPr>
          <w:rFonts w:ascii="Arial" w:eastAsia="Calibri" w:hAnsi="Arial" w:cs="Arial"/>
          <w:i/>
          <w:iCs/>
          <w:color w:val="4472C4"/>
          <w:sz w:val="24"/>
          <w:szCs w:val="24"/>
        </w:rPr>
        <w:t xml:space="preserve"> delivery of templates to the cells’ nuclei (Ref), thereby increasing the probability for HDR-</w:t>
      </w:r>
      <w:r w:rsidRPr="00C9468D">
        <w:rPr>
          <w:rFonts w:ascii="Arial" w:eastAsia="Calibri" w:hAnsi="Arial" w:cs="Arial"/>
          <w:i/>
          <w:iCs/>
          <w:color w:val="4472C4"/>
          <w:sz w:val="24"/>
          <w:szCs w:val="24"/>
          <w:u w:val="single"/>
        </w:rPr>
        <w:t>mediated KI</w:t>
      </w:r>
      <w:r w:rsidRPr="00C9468D">
        <w:rPr>
          <w:rFonts w:ascii="Arial" w:eastAsia="Calibri" w:hAnsi="Arial" w:cs="Arial"/>
          <w:i/>
          <w:iCs/>
          <w:color w:val="4472C4"/>
          <w:sz w:val="24"/>
          <w:szCs w:val="24"/>
        </w:rPr>
        <w:t xml:space="preserve"> due to the high </w:t>
      </w:r>
      <w:r w:rsidRPr="00C9468D">
        <w:rPr>
          <w:rFonts w:ascii="Arial" w:eastAsia="Calibri" w:hAnsi="Arial" w:cs="Arial"/>
          <w:i/>
          <w:iCs/>
          <w:color w:val="4472C4"/>
          <w:sz w:val="24"/>
          <w:szCs w:val="24"/>
          <w:u w:val="single"/>
        </w:rPr>
        <w:t xml:space="preserve">local </w:t>
      </w:r>
      <w:r w:rsidRPr="00C9468D">
        <w:rPr>
          <w:rFonts w:ascii="Arial" w:eastAsia="Calibri" w:hAnsi="Arial" w:cs="Arial"/>
          <w:i/>
          <w:iCs/>
          <w:color w:val="4472C4"/>
          <w:sz w:val="24"/>
          <w:szCs w:val="24"/>
        </w:rPr>
        <w:t>density of repair templates</w:t>
      </w:r>
      <w:r w:rsidRPr="00C9468D">
        <w:rPr>
          <w:rFonts w:ascii="Arial" w:eastAsia="Calibri" w:hAnsi="Arial" w:cs="Arial"/>
          <w:color w:val="4472C4"/>
          <w:sz w:val="24"/>
          <w:szCs w:val="24"/>
        </w:rPr>
        <w:t>.”</w:t>
      </w:r>
    </w:p>
    <w:p w14:paraId="6F57940A" w14:textId="77777777" w:rsidR="00C9468D" w:rsidRPr="00C9468D" w:rsidRDefault="00C9468D" w:rsidP="00C9468D">
      <w:pPr>
        <w:spacing w:after="0" w:line="240" w:lineRule="auto"/>
        <w:jc w:val="both"/>
        <w:rPr>
          <w:rFonts w:ascii="Arial" w:eastAsia="Calibri" w:hAnsi="Arial" w:cs="Arial"/>
          <w:sz w:val="24"/>
          <w:szCs w:val="24"/>
        </w:rPr>
      </w:pPr>
    </w:p>
    <w:p w14:paraId="0DD74317"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Fig. 1f: Could the authors please explain why ~50% of the mock treated cells are single+?</w:t>
      </w:r>
    </w:p>
    <w:p w14:paraId="16357BC9" w14:textId="77777777" w:rsidR="00C9468D" w:rsidRPr="00C9468D" w:rsidRDefault="00C9468D" w:rsidP="00C9468D">
      <w:pPr>
        <w:spacing w:after="0" w:line="240" w:lineRule="auto"/>
        <w:jc w:val="both"/>
        <w:rPr>
          <w:rFonts w:ascii="Arial" w:eastAsia="Calibri" w:hAnsi="Arial" w:cs="Arial"/>
          <w:sz w:val="24"/>
          <w:szCs w:val="24"/>
        </w:rPr>
      </w:pPr>
    </w:p>
    <w:p w14:paraId="1CDA8ADD"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apologize for the lack of clarity in the figure. In fact, ca. 50% of the mock-treated cells are </w:t>
      </w:r>
      <w:proofErr w:type="spellStart"/>
      <w:r w:rsidRPr="00C9468D">
        <w:rPr>
          <w:rFonts w:ascii="Arial" w:eastAsia="Calibri" w:hAnsi="Arial" w:cs="Arial"/>
          <w:color w:val="4472C4"/>
          <w:sz w:val="24"/>
          <w:szCs w:val="24"/>
        </w:rPr>
        <w:t>douple</w:t>
      </w:r>
      <w:proofErr w:type="spellEnd"/>
      <w:r w:rsidRPr="00C9468D">
        <w:rPr>
          <w:rFonts w:ascii="Arial" w:eastAsia="Calibri" w:hAnsi="Arial" w:cs="Arial"/>
          <w:color w:val="4472C4"/>
          <w:sz w:val="24"/>
          <w:szCs w:val="24"/>
        </w:rPr>
        <w:t>+, because they express CD3 and HLA-I, but not HLA-II. To improve the clarity, we have revised the coloring of Figure 1f.</w:t>
      </w:r>
    </w:p>
    <w:p w14:paraId="070E06A6" w14:textId="77777777" w:rsidR="00C9468D" w:rsidRPr="00C9468D" w:rsidRDefault="00C9468D" w:rsidP="00C9468D">
      <w:pPr>
        <w:spacing w:after="0" w:line="240" w:lineRule="auto"/>
        <w:jc w:val="both"/>
        <w:rPr>
          <w:rFonts w:ascii="Arial" w:eastAsia="Calibri" w:hAnsi="Arial" w:cs="Arial"/>
          <w:sz w:val="24"/>
          <w:szCs w:val="24"/>
        </w:rPr>
      </w:pPr>
    </w:p>
    <w:p w14:paraId="4021B0EC"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 xml:space="preserve">Fig. 1h: Somewhat hard to grasp how mock negative control (grey) vs. TRAC-KO + MHC </w:t>
      </w:r>
      <w:proofErr w:type="spellStart"/>
      <w:r w:rsidRPr="00C9468D">
        <w:rPr>
          <w:rFonts w:ascii="Arial" w:eastAsia="Calibri" w:hAnsi="Arial" w:cs="Arial"/>
          <w:sz w:val="24"/>
          <w:szCs w:val="24"/>
        </w:rPr>
        <w:t>dKO</w:t>
      </w:r>
      <w:proofErr w:type="spellEnd"/>
      <w:r w:rsidRPr="00C9468D">
        <w:rPr>
          <w:rFonts w:ascii="Arial" w:eastAsia="Calibri" w:hAnsi="Arial" w:cs="Arial"/>
          <w:sz w:val="24"/>
          <w:szCs w:val="24"/>
        </w:rPr>
        <w:t xml:space="preserve"> (pink) is not significantly different? Is this the right statistical test? Pink vs. blue being </w:t>
      </w:r>
      <w:proofErr w:type="spellStart"/>
      <w:r w:rsidRPr="00C9468D">
        <w:rPr>
          <w:rFonts w:ascii="Arial" w:eastAsia="Calibri" w:hAnsi="Arial" w:cs="Arial"/>
          <w:sz w:val="24"/>
          <w:szCs w:val="24"/>
        </w:rPr>
        <w:t>n.s</w:t>
      </w:r>
      <w:proofErr w:type="spellEnd"/>
      <w:r w:rsidRPr="00C9468D">
        <w:rPr>
          <w:rFonts w:ascii="Arial" w:eastAsia="Calibri" w:hAnsi="Arial" w:cs="Arial"/>
          <w:sz w:val="24"/>
          <w:szCs w:val="24"/>
        </w:rPr>
        <w:t>. makes sense. Wouldn't this mean that there are no significant translocations in triple-DSB cells vs. untreated cells?</w:t>
      </w:r>
    </w:p>
    <w:p w14:paraId="678D246D" w14:textId="77777777" w:rsidR="00C9468D" w:rsidRPr="00C9468D" w:rsidRDefault="00C9468D" w:rsidP="00C9468D">
      <w:pPr>
        <w:spacing w:after="0" w:line="240" w:lineRule="auto"/>
        <w:jc w:val="both"/>
        <w:rPr>
          <w:rFonts w:ascii="Arial" w:eastAsia="Calibri" w:hAnsi="Arial" w:cs="Arial"/>
          <w:sz w:val="24"/>
          <w:szCs w:val="24"/>
        </w:rPr>
      </w:pPr>
    </w:p>
    <w:p w14:paraId="2CBB4982"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We agree with the reviewer’s impression. The lack of statistical significance was due to the low sample size (n=3) and the correction for multiple testing in the one-way ANOVA which we used for statistical testing. We have repeated the experiment and performed </w:t>
      </w:r>
      <w:proofErr w:type="spellStart"/>
      <w:r w:rsidRPr="00C9468D">
        <w:rPr>
          <w:rFonts w:ascii="Arial" w:eastAsia="Calibri" w:hAnsi="Arial" w:cs="Arial"/>
          <w:color w:val="4472C4"/>
          <w:sz w:val="24"/>
          <w:szCs w:val="24"/>
        </w:rPr>
        <w:t>ddPCR</w:t>
      </w:r>
      <w:proofErr w:type="spellEnd"/>
      <w:r w:rsidRPr="00C9468D">
        <w:rPr>
          <w:rFonts w:ascii="Arial" w:eastAsia="Calibri" w:hAnsi="Arial" w:cs="Arial"/>
          <w:color w:val="4472C4"/>
          <w:sz w:val="24"/>
          <w:szCs w:val="24"/>
        </w:rPr>
        <w:t xml:space="preserve"> analysis for translocations in two additional healthy donors and the updated statistics in Figures 1,2 and 5, accordingly. The results are in line with the previous claims and support the reviewer’s impression of significance.</w:t>
      </w:r>
    </w:p>
    <w:p w14:paraId="27FFC6E3" w14:textId="77777777" w:rsidR="00C9468D" w:rsidRPr="00C9468D" w:rsidRDefault="00C9468D" w:rsidP="00C9468D">
      <w:pPr>
        <w:spacing w:after="0" w:line="240" w:lineRule="auto"/>
        <w:jc w:val="both"/>
        <w:rPr>
          <w:rFonts w:ascii="Arial" w:eastAsia="Calibri" w:hAnsi="Arial" w:cs="Arial"/>
          <w:sz w:val="24"/>
          <w:szCs w:val="24"/>
        </w:rPr>
      </w:pPr>
    </w:p>
    <w:p w14:paraId="1A7DB0F5"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sz w:val="24"/>
          <w:szCs w:val="24"/>
        </w:rPr>
        <w:t>Fig. 4c, e, g: Could the authors speculate as to why PAM disruption prevents re-targeting (and increases HDR) with Cas12a but not with Cas9?</w:t>
      </w:r>
    </w:p>
    <w:p w14:paraId="62FA6D36" w14:textId="77777777" w:rsidR="00C9468D" w:rsidRPr="00C9468D" w:rsidRDefault="00C9468D" w:rsidP="00C9468D">
      <w:pPr>
        <w:spacing w:after="0" w:line="240" w:lineRule="auto"/>
        <w:jc w:val="both"/>
        <w:rPr>
          <w:rFonts w:ascii="Arial" w:eastAsia="Calibri" w:hAnsi="Arial" w:cs="Arial"/>
          <w:sz w:val="24"/>
          <w:szCs w:val="24"/>
        </w:rPr>
      </w:pPr>
    </w:p>
    <w:p w14:paraId="3C3C9206" w14:textId="77777777" w:rsidR="00C9468D" w:rsidRPr="00C9468D" w:rsidRDefault="00C9468D" w:rsidP="00C9468D">
      <w:pPr>
        <w:spacing w:after="0" w:line="240" w:lineRule="auto"/>
        <w:jc w:val="both"/>
        <w:rPr>
          <w:rFonts w:ascii="Arial" w:eastAsia="Calibri" w:hAnsi="Arial" w:cs="Arial"/>
          <w:color w:val="4472C4"/>
          <w:sz w:val="24"/>
          <w:szCs w:val="24"/>
        </w:rPr>
      </w:pPr>
      <w:r w:rsidRPr="00C9468D">
        <w:rPr>
          <w:rFonts w:ascii="Arial" w:eastAsia="Calibri" w:hAnsi="Arial" w:cs="Arial"/>
          <w:color w:val="4472C4"/>
          <w:sz w:val="24"/>
          <w:szCs w:val="24"/>
        </w:rPr>
        <w:t xml:space="preserve">Author response: The introduction of the mutation in the Cas12a PAM was outside of the Cas9-gRNAs recognition sequence; therefore, it should only have minor impact on HDR when employing the Cas9-gRNA RNP. While our Cas12a gRNA was matched in 21 of 23 nucleotides of the gRNA, it’s PAM (purple below) was originally intact. The additional mutation which we introduced into the Cas12a gRNA’s PAM does not overlay with the Cas9-gRNA (see below). </w:t>
      </w:r>
    </w:p>
    <w:p w14:paraId="7ABACF1C" w14:textId="77777777" w:rsidR="00C9468D" w:rsidRPr="00C9468D" w:rsidRDefault="00C9468D" w:rsidP="00C9468D">
      <w:pPr>
        <w:spacing w:after="0" w:line="240" w:lineRule="auto"/>
        <w:jc w:val="both"/>
        <w:rPr>
          <w:rFonts w:ascii="Arial" w:eastAsia="Calibri" w:hAnsi="Arial" w:cs="Arial"/>
          <w:sz w:val="24"/>
          <w:szCs w:val="24"/>
        </w:rPr>
      </w:pPr>
      <w:r w:rsidRPr="00C9468D">
        <w:rPr>
          <w:rFonts w:ascii="Arial" w:eastAsia="Calibri" w:hAnsi="Arial" w:cs="Arial"/>
          <w:noProof/>
          <w:sz w:val="24"/>
          <w:szCs w:val="24"/>
        </w:rPr>
        <w:lastRenderedPageBreak/>
        <w:drawing>
          <wp:anchor distT="0" distB="0" distL="114300" distR="114300" simplePos="0" relativeHeight="251660288" behindDoc="0" locked="0" layoutInCell="1" allowOverlap="1" wp14:anchorId="54842886" wp14:editId="6D137791">
            <wp:simplePos x="0" y="0"/>
            <wp:positionH relativeFrom="column">
              <wp:posOffset>1557305</wp:posOffset>
            </wp:positionH>
            <wp:positionV relativeFrom="paragraph">
              <wp:posOffset>92698</wp:posOffset>
            </wp:positionV>
            <wp:extent cx="2877424" cy="1744746"/>
            <wp:effectExtent l="0" t="0" r="5715"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77424" cy="1744746"/>
                    </a:xfrm>
                    <a:prstGeom prst="rect">
                      <a:avLst/>
                    </a:prstGeom>
                  </pic:spPr>
                </pic:pic>
              </a:graphicData>
            </a:graphic>
            <wp14:sizeRelH relativeFrom="page">
              <wp14:pctWidth>0</wp14:pctWidth>
            </wp14:sizeRelH>
            <wp14:sizeRelV relativeFrom="page">
              <wp14:pctHeight>0</wp14:pctHeight>
            </wp14:sizeRelV>
          </wp:anchor>
        </w:drawing>
      </w:r>
    </w:p>
    <w:p w14:paraId="6BA86AB1" w14:textId="77777777" w:rsidR="00C9468D" w:rsidRPr="00C9468D" w:rsidRDefault="00C9468D" w:rsidP="00C9468D">
      <w:pPr>
        <w:spacing w:after="0" w:line="240" w:lineRule="auto"/>
        <w:jc w:val="both"/>
        <w:rPr>
          <w:rFonts w:ascii="Arial" w:eastAsia="Calibri" w:hAnsi="Arial" w:cs="Arial"/>
          <w:sz w:val="24"/>
          <w:szCs w:val="24"/>
        </w:rPr>
      </w:pPr>
    </w:p>
    <w:p w14:paraId="392DD815" w14:textId="77777777" w:rsidR="00C9468D" w:rsidRPr="00903AF6" w:rsidRDefault="00C9468D" w:rsidP="00C9468D">
      <w:pPr>
        <w:spacing w:after="240" w:line="240" w:lineRule="auto"/>
        <w:rPr>
          <w:rFonts w:ascii="Times New Roman" w:eastAsia="Times New Roman" w:hAnsi="Times New Roman" w:cs="Times New Roman"/>
          <w:sz w:val="24"/>
          <w:szCs w:val="24"/>
        </w:rPr>
      </w:pPr>
    </w:p>
    <w:p w14:paraId="12EFDB8C" w14:textId="77777777" w:rsidR="00C9468D" w:rsidRDefault="00C9468D" w:rsidP="00C9468D">
      <w:pPr>
        <w:spacing w:after="200" w:line="240" w:lineRule="auto"/>
        <w:rPr>
          <w:rFonts w:ascii="Times New Roman" w:eastAsia="Times New Roman" w:hAnsi="Times New Roman" w:cs="Times New Roman"/>
          <w:b/>
          <w:bCs/>
        </w:rPr>
      </w:pPr>
    </w:p>
    <w:p w14:paraId="51287B83" w14:textId="77777777" w:rsidR="00C9468D" w:rsidRDefault="00C9468D" w:rsidP="00C9468D">
      <w:pPr>
        <w:spacing w:after="200" w:line="240" w:lineRule="auto"/>
        <w:rPr>
          <w:rFonts w:ascii="Times New Roman" w:eastAsia="Times New Roman" w:hAnsi="Times New Roman" w:cs="Times New Roman"/>
          <w:b/>
          <w:bCs/>
        </w:rPr>
      </w:pPr>
    </w:p>
    <w:p w14:paraId="2B24F438" w14:textId="77777777" w:rsidR="00C9468D" w:rsidRDefault="00C9468D" w:rsidP="00C9468D">
      <w:pPr>
        <w:spacing w:after="200" w:line="240" w:lineRule="auto"/>
        <w:rPr>
          <w:rFonts w:ascii="Times New Roman" w:eastAsia="Times New Roman" w:hAnsi="Times New Roman" w:cs="Times New Roman"/>
          <w:b/>
          <w:bCs/>
        </w:rPr>
      </w:pPr>
    </w:p>
    <w:p w14:paraId="48A36ABC" w14:textId="77777777" w:rsidR="00C9468D" w:rsidRDefault="00C9468D" w:rsidP="00C9468D">
      <w:pPr>
        <w:spacing w:after="200" w:line="240" w:lineRule="auto"/>
        <w:rPr>
          <w:rFonts w:ascii="Times New Roman" w:eastAsia="Times New Roman" w:hAnsi="Times New Roman" w:cs="Times New Roman"/>
          <w:b/>
          <w:bCs/>
        </w:rPr>
      </w:pPr>
    </w:p>
    <w:p w14:paraId="546A6D01" w14:textId="77777777" w:rsidR="00C9468D" w:rsidRDefault="00C9468D" w:rsidP="00C9468D">
      <w:pPr>
        <w:spacing w:after="200" w:line="240" w:lineRule="auto"/>
        <w:rPr>
          <w:rFonts w:ascii="Times New Roman" w:eastAsia="Times New Roman" w:hAnsi="Times New Roman" w:cs="Times New Roman"/>
          <w:b/>
          <w:bCs/>
        </w:rPr>
      </w:pPr>
    </w:p>
    <w:p w14:paraId="0CE9CE21" w14:textId="77777777" w:rsidR="00C9468D" w:rsidRDefault="00C9468D" w:rsidP="00C9468D">
      <w:pPr>
        <w:spacing w:after="200" w:line="240" w:lineRule="auto"/>
        <w:rPr>
          <w:rFonts w:ascii="Times New Roman" w:eastAsia="Times New Roman" w:hAnsi="Times New Roman" w:cs="Times New Roman"/>
          <w:b/>
          <w:bCs/>
        </w:rPr>
      </w:pPr>
    </w:p>
    <w:p w14:paraId="2EC769D5" w14:textId="11E4ADBC" w:rsidR="00C9468D" w:rsidRPr="00903AF6" w:rsidRDefault="00C9468D" w:rsidP="00C9468D">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Second round of review</w:t>
      </w:r>
    </w:p>
    <w:p w14:paraId="3333DFCE" w14:textId="77777777" w:rsidR="00C9468D" w:rsidRPr="00903AF6" w:rsidRDefault="00C9468D" w:rsidP="00C9468D">
      <w:pPr>
        <w:spacing w:after="200" w:line="240" w:lineRule="auto"/>
        <w:rPr>
          <w:rFonts w:ascii="Times New Roman" w:eastAsia="Times New Roman" w:hAnsi="Times New Roman" w:cs="Times New Roman"/>
          <w:sz w:val="24"/>
          <w:szCs w:val="24"/>
        </w:rPr>
      </w:pPr>
      <w:r w:rsidRPr="00903AF6">
        <w:rPr>
          <w:rFonts w:ascii="Times New Roman" w:eastAsia="Times New Roman" w:hAnsi="Times New Roman" w:cs="Times New Roman"/>
          <w:b/>
          <w:bCs/>
        </w:rPr>
        <w:t>Reviewer 1</w:t>
      </w:r>
    </w:p>
    <w:p w14:paraId="7B38D05B" w14:textId="4EA0CBDB" w:rsidR="00C9468D" w:rsidRPr="00C9468D" w:rsidRDefault="00C9468D" w:rsidP="00C9468D">
      <w:pPr>
        <w:rPr>
          <w:rFonts w:ascii="Times New Roman" w:hAnsi="Times New Roman" w:cs="Times New Roman"/>
          <w:sz w:val="24"/>
          <w:szCs w:val="24"/>
        </w:rPr>
      </w:pPr>
      <w:r w:rsidRPr="00C9468D">
        <w:rPr>
          <w:rFonts w:ascii="Times New Roman" w:hAnsi="Times New Roman" w:cs="Times New Roman"/>
          <w:sz w:val="24"/>
          <w:szCs w:val="24"/>
        </w:rPr>
        <w:t>The authors has satisfactorily addressed all my points. Congratulations on the great work.</w:t>
      </w:r>
    </w:p>
    <w:p w14:paraId="539EB1C7" w14:textId="77777777" w:rsidR="00906928" w:rsidRDefault="00C9468D"/>
    <w:sectPr w:rsidR="00906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8D"/>
    <w:rsid w:val="00116A74"/>
    <w:rsid w:val="006E1F11"/>
    <w:rsid w:val="00B25137"/>
    <w:rsid w:val="00C94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7C0D"/>
  <w15:chartTrackingRefBased/>
  <w15:docId w15:val="{DE0D43E3-935D-4556-8FDA-C62E51D0A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6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5508</Words>
  <Characters>34263</Characters>
  <Application>Microsoft Office Word</Application>
  <DocSecurity>0</DocSecurity>
  <Lines>482</Lines>
  <Paragraphs>127</Paragraphs>
  <ScaleCrop>false</ScaleCrop>
  <Company>Springer Nature</Company>
  <LinksUpToDate>false</LinksUpToDate>
  <CharactersWithSpaces>39644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2023-04-07T20:10:00Z</dcterms:created>
  <dcterms:modified xsi:type="dcterms:W3CDTF">2023-04-07T20:16:00Z</dcterms:modified>
</cp:coreProperties>
</file>