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C3F11"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color w:val="000000"/>
          <w:sz w:val="24"/>
          <w:szCs w:val="24"/>
          <w:lang w:eastAsia="en-GB"/>
        </w:rPr>
        <w:t>Review History</w:t>
      </w:r>
    </w:p>
    <w:p w14:paraId="47EC348F"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First round of review</w:t>
      </w:r>
    </w:p>
    <w:p w14:paraId="4BA9336E"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Reviewer 1</w:t>
      </w:r>
    </w:p>
    <w:p w14:paraId="3526E8DD"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p>
    <w:p w14:paraId="30C04153" w14:textId="66E00835" w:rsidR="00277E5F" w:rsidRPr="00277E5F" w:rsidRDefault="00277E5F" w:rsidP="0021375B">
      <w:pPr>
        <w:spacing w:after="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33"/>
          <w:sz w:val="24"/>
          <w:szCs w:val="24"/>
          <w:shd w:val="clear" w:color="auto" w:fill="FFFFFF"/>
          <w:lang w:eastAsia="en-GB"/>
        </w:rPr>
        <w:t>Were you able to assess all statistics in the manuscript, including the appropriateness of statistical tests used?</w:t>
      </w:r>
      <w:r w:rsidRPr="00277E5F">
        <w:rPr>
          <w:rFonts w:ascii="Times New Roman" w:eastAsia="Times New Roman" w:hAnsi="Times New Roman" w:cs="Times New Roman"/>
          <w:color w:val="000033"/>
          <w:sz w:val="24"/>
          <w:szCs w:val="24"/>
          <w:shd w:val="clear" w:color="auto" w:fill="FFFFFF"/>
          <w:lang w:eastAsia="en-GB"/>
        </w:rPr>
        <w:t xml:space="preserve"> Yes, and I have assessed statistics in my report.</w:t>
      </w:r>
    </w:p>
    <w:p w14:paraId="5A96DB3A"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p>
    <w:p w14:paraId="6865243F"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Comments to author:</w:t>
      </w:r>
    </w:p>
    <w:p w14:paraId="7D905B8D"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proofErr w:type="spellStart"/>
      <w:r w:rsidRPr="00277E5F">
        <w:rPr>
          <w:rFonts w:ascii="Times New Roman" w:eastAsia="Times New Roman" w:hAnsi="Times New Roman" w:cs="Times New Roman"/>
          <w:sz w:val="24"/>
          <w:szCs w:val="24"/>
          <w:lang w:eastAsia="en-GB"/>
        </w:rPr>
        <w:t>Gersing</w:t>
      </w:r>
      <w:proofErr w:type="spellEnd"/>
      <w:r w:rsidRPr="00277E5F">
        <w:rPr>
          <w:rFonts w:ascii="Times New Roman" w:eastAsia="Times New Roman" w:hAnsi="Times New Roman" w:cs="Times New Roman"/>
          <w:sz w:val="24"/>
          <w:szCs w:val="24"/>
          <w:lang w:eastAsia="en-GB"/>
        </w:rPr>
        <w:t xml:space="preserve">, Roth, </w:t>
      </w:r>
      <w:proofErr w:type="spellStart"/>
      <w:r w:rsidRPr="00277E5F">
        <w:rPr>
          <w:rFonts w:ascii="Times New Roman" w:eastAsia="Times New Roman" w:hAnsi="Times New Roman" w:cs="Times New Roman"/>
          <w:sz w:val="24"/>
          <w:szCs w:val="24"/>
          <w:lang w:eastAsia="en-GB"/>
        </w:rPr>
        <w:t>Lindorff</w:t>
      </w:r>
      <w:proofErr w:type="spellEnd"/>
      <w:r w:rsidRPr="00277E5F">
        <w:rPr>
          <w:rFonts w:ascii="Times New Roman" w:eastAsia="Times New Roman" w:hAnsi="Times New Roman" w:cs="Times New Roman"/>
          <w:sz w:val="24"/>
          <w:szCs w:val="24"/>
          <w:lang w:eastAsia="en-GB"/>
        </w:rPr>
        <w:t>-Larsen, Hartmann-</w:t>
      </w:r>
      <w:proofErr w:type="gramStart"/>
      <w:r w:rsidRPr="00277E5F">
        <w:rPr>
          <w:rFonts w:ascii="Times New Roman" w:eastAsia="Times New Roman" w:hAnsi="Times New Roman" w:cs="Times New Roman"/>
          <w:sz w:val="24"/>
          <w:szCs w:val="24"/>
          <w:lang w:eastAsia="en-GB"/>
        </w:rPr>
        <w:t>Petersen</w:t>
      </w:r>
      <w:proofErr w:type="gramEnd"/>
      <w:r w:rsidRPr="00277E5F">
        <w:rPr>
          <w:rFonts w:ascii="Times New Roman" w:eastAsia="Times New Roman" w:hAnsi="Times New Roman" w:cs="Times New Roman"/>
          <w:sz w:val="24"/>
          <w:szCs w:val="24"/>
          <w:lang w:eastAsia="en-GB"/>
        </w:rPr>
        <w:t xml:space="preserve"> and colleagues present the results of a mutational scan of human glucokinase (GCK) using a sequencing-based readout of a yeast growth assay. The authors generated a conditional yeast strain that required GCK activity for growth on glucose (but not galactose). They introduced human GCK variants on plasmids and demonstrated that under standard yeast growth conditions (0.2% glucose), growth rates for individual GCK variants correlated with kinetic measurements (</w:t>
      </w:r>
      <w:proofErr w:type="spellStart"/>
      <w:r w:rsidRPr="00277E5F">
        <w:rPr>
          <w:rFonts w:ascii="Times New Roman" w:eastAsia="Times New Roman" w:hAnsi="Times New Roman" w:cs="Times New Roman"/>
          <w:sz w:val="24"/>
          <w:szCs w:val="24"/>
          <w:lang w:eastAsia="en-GB"/>
        </w:rPr>
        <w:t>kcat</w:t>
      </w:r>
      <w:proofErr w:type="spellEnd"/>
      <w:r w:rsidRPr="00277E5F">
        <w:rPr>
          <w:rFonts w:ascii="Times New Roman" w:eastAsia="Times New Roman" w:hAnsi="Times New Roman" w:cs="Times New Roman"/>
          <w:sz w:val="24"/>
          <w:szCs w:val="24"/>
          <w:lang w:eastAsia="en-GB"/>
        </w:rPr>
        <w:t xml:space="preserve">/Km). The high throughput sequencing results exhibited a somewhat surprising level of variation - for example, there appears to be some overlap between the activity scores of stop codons and synonymous variants. Despite the contributions of measurement noise, the high throughput activity measures correlate with kinetic measures showing that they capture trends well when averaged over multiple mutations. The authors discuss some factors that contribute to measurement noise including that variants can contain multiple mutations and the readout misses most linkage/epistasis. The authors harness the information in the mutational scan to investigate GCK mechanism. In my view, this is where this manuscript shines the brightest. The mutational data seems strong in identifying sensitive positions and larger scale trends. The authors use Rosetta computational </w:t>
      </w:r>
      <w:proofErr w:type="spellStart"/>
      <w:r w:rsidRPr="00277E5F">
        <w:rPr>
          <w:rFonts w:ascii="Times New Roman" w:eastAsia="Times New Roman" w:hAnsi="Times New Roman" w:cs="Times New Roman"/>
          <w:sz w:val="24"/>
          <w:szCs w:val="24"/>
          <w:lang w:eastAsia="en-GB"/>
        </w:rPr>
        <w:t>modeling</w:t>
      </w:r>
      <w:proofErr w:type="spellEnd"/>
      <w:r w:rsidRPr="00277E5F">
        <w:rPr>
          <w:rFonts w:ascii="Times New Roman" w:eastAsia="Times New Roman" w:hAnsi="Times New Roman" w:cs="Times New Roman"/>
          <w:sz w:val="24"/>
          <w:szCs w:val="24"/>
          <w:lang w:eastAsia="en-GB"/>
        </w:rPr>
        <w:t xml:space="preserve"> of mutations in two structural poses of GCK - super-open and closed. Through these analyses, the authors provide strong evidence in support of mechanistic models. The structural conclusions are convincing and interesting, including how mutations that disrupt the super-open conformation can lead to hyperactive GCK activity.</w:t>
      </w:r>
    </w:p>
    <w:p w14:paraId="26153945"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 xml:space="preserve">The manuscript is exceptionally well written, and it was a pleasure to read. The authors discuss shortcomings in their approach with an open-ness that is refreshing and useful. The mechanistic conclusions are interesting and well supported by the experimental results. From my perspective, the utility of this work in aiding the interpretation of human genetics is </w:t>
      </w:r>
      <w:r w:rsidRPr="00277E5F">
        <w:rPr>
          <w:rFonts w:ascii="Times New Roman" w:eastAsia="Times New Roman" w:hAnsi="Times New Roman" w:cs="Times New Roman"/>
          <w:sz w:val="24"/>
          <w:szCs w:val="24"/>
          <w:lang w:eastAsia="en-GB"/>
        </w:rPr>
        <w:lastRenderedPageBreak/>
        <w:t>disappointing, and overly focused on in the manuscript. While I can see some benefit from the reported measures, the internal variation would frustrate me if I was trying to figure out a mutation in my genome or someone that I cared about. In my view, however, the experimental approach and the structural conclusions are fabulous and make this work highly appropriate for publication in Genome Biology. I have some minor comments and suggestions that are listed below.</w:t>
      </w:r>
    </w:p>
    <w:p w14:paraId="1742C816"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1. Please clearly state if repeats of the mutational scan were performed. And if not, why?</w:t>
      </w:r>
    </w:p>
    <w:p w14:paraId="7802BA6C"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 xml:space="preserve">2. Please say more about sources of variation in internal controls - including stop codons and synonymous mutations. It is disturbing that these classes of mutations appear to overlap. Please describe how the estimates of error were calculated without referring to previous work </w:t>
      </w:r>
      <w:proofErr w:type="gramStart"/>
      <w:r w:rsidRPr="00277E5F">
        <w:rPr>
          <w:rFonts w:ascii="Times New Roman" w:eastAsia="Times New Roman" w:hAnsi="Times New Roman" w:cs="Times New Roman"/>
          <w:sz w:val="24"/>
          <w:szCs w:val="24"/>
          <w:lang w:eastAsia="en-GB"/>
        </w:rPr>
        <w:t>and also</w:t>
      </w:r>
      <w:proofErr w:type="gramEnd"/>
      <w:r w:rsidRPr="00277E5F">
        <w:rPr>
          <w:rFonts w:ascii="Times New Roman" w:eastAsia="Times New Roman" w:hAnsi="Times New Roman" w:cs="Times New Roman"/>
          <w:sz w:val="24"/>
          <w:szCs w:val="24"/>
          <w:lang w:eastAsia="en-GB"/>
        </w:rPr>
        <w:t xml:space="preserve"> provide an analysis of how these errors predict the observed variation in synonyms and stop codons? Presumably, the error estimates account for sequencing depth. If there is additional error beyond sequencing depth, the authors could tie this nicely into their existing discussion of caveats such as secondary mutations.</w:t>
      </w:r>
    </w:p>
    <w:p w14:paraId="1BB6B78C"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3. Line 96 - how is GCK-MODY actionable? Please explain this in the intro.</w:t>
      </w:r>
    </w:p>
    <w:p w14:paraId="4BAC4881"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4. The trend between conservation and experimental tolerance to mutation has been widely observed for other proteins. There is a nice review that covers the fundamental mechanisms that can contribute to this including the difference in scales of natural evolution compared to lab studies (</w:t>
      </w:r>
      <w:proofErr w:type="spellStart"/>
      <w:r w:rsidRPr="00277E5F">
        <w:rPr>
          <w:rFonts w:ascii="Times New Roman" w:eastAsia="Times New Roman" w:hAnsi="Times New Roman" w:cs="Times New Roman"/>
          <w:sz w:val="24"/>
          <w:szCs w:val="24"/>
          <w:lang w:eastAsia="en-GB"/>
        </w:rPr>
        <w:t>Prot</w:t>
      </w:r>
      <w:proofErr w:type="spellEnd"/>
      <w:r w:rsidRPr="00277E5F">
        <w:rPr>
          <w:rFonts w:ascii="Times New Roman" w:eastAsia="Times New Roman" w:hAnsi="Times New Roman" w:cs="Times New Roman"/>
          <w:sz w:val="24"/>
          <w:szCs w:val="24"/>
          <w:lang w:eastAsia="en-GB"/>
        </w:rPr>
        <w:t xml:space="preserve"> Sci 2016 Boucher et al PMC4918414). These points seem relevant to the current manuscript.</w:t>
      </w:r>
    </w:p>
    <w:p w14:paraId="0B2C7F79" w14:textId="121B91EB"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 xml:space="preserve">5. For future efforts, I would be excited to see analyses under different glucose concentrations, with the inhibitor protein, and potentially with different expression levels of GCK. However, I </w:t>
      </w:r>
      <w:proofErr w:type="spellStart"/>
      <w:r w:rsidRPr="00277E5F">
        <w:rPr>
          <w:rFonts w:ascii="Times New Roman" w:eastAsia="Times New Roman" w:hAnsi="Times New Roman" w:cs="Times New Roman"/>
          <w:sz w:val="24"/>
          <w:szCs w:val="24"/>
          <w:lang w:eastAsia="en-GB"/>
        </w:rPr>
        <w:t>emplore</w:t>
      </w:r>
      <w:proofErr w:type="spellEnd"/>
      <w:r w:rsidRPr="00277E5F">
        <w:rPr>
          <w:rFonts w:ascii="Times New Roman" w:eastAsia="Times New Roman" w:hAnsi="Times New Roman" w:cs="Times New Roman"/>
          <w:sz w:val="24"/>
          <w:szCs w:val="24"/>
          <w:lang w:eastAsia="en-GB"/>
        </w:rPr>
        <w:t xml:space="preserve"> the authors to first make the effort to improve the experimental system - add a random ~18 base barcode to the plasmid, use </w:t>
      </w:r>
      <w:proofErr w:type="spellStart"/>
      <w:r w:rsidRPr="00277E5F">
        <w:rPr>
          <w:rFonts w:ascii="Times New Roman" w:eastAsia="Times New Roman" w:hAnsi="Times New Roman" w:cs="Times New Roman"/>
          <w:sz w:val="24"/>
          <w:szCs w:val="24"/>
          <w:lang w:eastAsia="en-GB"/>
        </w:rPr>
        <w:t>pac</w:t>
      </w:r>
      <w:proofErr w:type="spellEnd"/>
      <w:r w:rsidRPr="00277E5F">
        <w:rPr>
          <w:rFonts w:ascii="Times New Roman" w:eastAsia="Times New Roman" w:hAnsi="Times New Roman" w:cs="Times New Roman"/>
          <w:sz w:val="24"/>
          <w:szCs w:val="24"/>
          <w:lang w:eastAsia="en-GB"/>
        </w:rPr>
        <w:t>-</w:t>
      </w:r>
      <w:proofErr w:type="gramStart"/>
      <w:r w:rsidRPr="00277E5F">
        <w:rPr>
          <w:rFonts w:ascii="Times New Roman" w:eastAsia="Times New Roman" w:hAnsi="Times New Roman" w:cs="Times New Roman"/>
          <w:sz w:val="24"/>
          <w:szCs w:val="24"/>
          <w:lang w:eastAsia="en-GB"/>
        </w:rPr>
        <w:t>bio CCS</w:t>
      </w:r>
      <w:proofErr w:type="gramEnd"/>
      <w:r w:rsidRPr="00277E5F">
        <w:rPr>
          <w:rFonts w:ascii="Times New Roman" w:eastAsia="Times New Roman" w:hAnsi="Times New Roman" w:cs="Times New Roman"/>
          <w:sz w:val="24"/>
          <w:szCs w:val="24"/>
          <w:lang w:eastAsia="en-GB"/>
        </w:rPr>
        <w:t xml:space="preserve"> reads to associate the barcode with the entire ORF. Then use short read of the barcodes to quantify variant frequency in samples. It will make a world of difference in signal to noise, enable efficient readouts (including experimental repeats under multiple conditions). You are in the awesome position of being able to help people understand potential genetic disorders - precision in your measurements matters dearly. </w:t>
      </w:r>
    </w:p>
    <w:p w14:paraId="4522FEBA"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Reviewer 2</w:t>
      </w:r>
    </w:p>
    <w:p w14:paraId="6A930121"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p>
    <w:p w14:paraId="249F4DD8" w14:textId="679E1A69" w:rsidR="00277E5F" w:rsidRPr="00277E5F" w:rsidRDefault="00277E5F" w:rsidP="0021375B">
      <w:pPr>
        <w:spacing w:after="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33"/>
          <w:sz w:val="24"/>
          <w:szCs w:val="24"/>
          <w:shd w:val="clear" w:color="auto" w:fill="FFFFFF"/>
          <w:lang w:eastAsia="en-GB"/>
        </w:rPr>
        <w:t>Were you able to assess all statistics in the manuscript, including the appropriateness of statistical tests used?</w:t>
      </w:r>
      <w:r w:rsidRPr="00277E5F">
        <w:rPr>
          <w:rFonts w:ascii="Times New Roman" w:eastAsia="Times New Roman" w:hAnsi="Times New Roman" w:cs="Times New Roman"/>
          <w:b/>
          <w:bCs/>
          <w:color w:val="000033"/>
          <w:sz w:val="24"/>
          <w:szCs w:val="24"/>
          <w:shd w:val="clear" w:color="auto" w:fill="FFFFFF"/>
          <w:lang w:eastAsia="en-GB"/>
        </w:rPr>
        <w:t xml:space="preserve"> </w:t>
      </w:r>
      <w:r w:rsidRPr="00277E5F">
        <w:rPr>
          <w:rFonts w:ascii="Times New Roman" w:eastAsia="Times New Roman" w:hAnsi="Times New Roman" w:cs="Times New Roman"/>
          <w:color w:val="000033"/>
          <w:sz w:val="24"/>
          <w:szCs w:val="24"/>
          <w:shd w:val="clear" w:color="auto" w:fill="FFFFFF"/>
          <w:lang w:eastAsia="en-GB"/>
        </w:rPr>
        <w:t>There are no statistics in the manuscript.</w:t>
      </w:r>
    </w:p>
    <w:p w14:paraId="0E7A1ECE"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br/>
      </w:r>
    </w:p>
    <w:p w14:paraId="7DFC7550" w14:textId="37680D61" w:rsidR="00277E5F" w:rsidRPr="00277E5F" w:rsidRDefault="00277E5F" w:rsidP="0021375B">
      <w:pPr>
        <w:spacing w:after="200" w:line="360" w:lineRule="auto"/>
        <w:rPr>
          <w:rFonts w:ascii="Times New Roman" w:eastAsia="Times New Roman" w:hAnsi="Times New Roman" w:cs="Times New Roman"/>
          <w:b/>
          <w:bCs/>
          <w:color w:val="000000"/>
          <w:sz w:val="24"/>
          <w:szCs w:val="24"/>
          <w:lang w:eastAsia="en-GB"/>
        </w:rPr>
      </w:pPr>
      <w:r w:rsidRPr="00277E5F">
        <w:rPr>
          <w:rFonts w:ascii="Times New Roman" w:eastAsia="Times New Roman" w:hAnsi="Times New Roman" w:cs="Times New Roman"/>
          <w:b/>
          <w:bCs/>
          <w:color w:val="000000"/>
          <w:sz w:val="24"/>
          <w:szCs w:val="24"/>
          <w:lang w:eastAsia="en-GB"/>
        </w:rPr>
        <w:t>Comments to author:</w:t>
      </w:r>
    </w:p>
    <w:p w14:paraId="254437AB"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 xml:space="preserve">This is a report of the use of a yeast-based synthetic biology model to devise a map of the functional effect of SNVs (missense and nonsense) on the function of GCK, the gene most often mutated in MODY. It is based on how well GCL variants can complement a KO of all three yeast hexokinases. This work represents an important application of large-scale functional annotation to a clinical problem. Although, in my opinion, the results do not quite make it to clinical utility, the concept is novel and interesting. The paper can be improved in </w:t>
      </w:r>
      <w:proofErr w:type="gramStart"/>
      <w:r w:rsidRPr="00277E5F">
        <w:rPr>
          <w:rFonts w:ascii="Times New Roman" w:eastAsia="Times New Roman" w:hAnsi="Times New Roman" w:cs="Times New Roman"/>
          <w:sz w:val="24"/>
          <w:szCs w:val="24"/>
          <w:lang w:eastAsia="en-GB"/>
        </w:rPr>
        <w:t>a number of</w:t>
      </w:r>
      <w:proofErr w:type="gramEnd"/>
      <w:r w:rsidRPr="00277E5F">
        <w:rPr>
          <w:rFonts w:ascii="Times New Roman" w:eastAsia="Times New Roman" w:hAnsi="Times New Roman" w:cs="Times New Roman"/>
          <w:sz w:val="24"/>
          <w:szCs w:val="24"/>
          <w:lang w:eastAsia="en-GB"/>
        </w:rPr>
        <w:t xml:space="preserve"> ways.</w:t>
      </w:r>
    </w:p>
    <w:p w14:paraId="45184FCC"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50BA132F"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 xml:space="preserve">1. Lines 183-4: It is stated that "We used the standard deviation of synonymous variants (0.4) to set the thresholds". This statement makes no sense and does not appear to be what was </w:t>
      </w:r>
      <w:proofErr w:type="gramStart"/>
      <w:r w:rsidRPr="00277E5F">
        <w:rPr>
          <w:rFonts w:ascii="Times New Roman" w:eastAsia="Times New Roman" w:hAnsi="Times New Roman" w:cs="Times New Roman"/>
          <w:sz w:val="24"/>
          <w:szCs w:val="24"/>
          <w:lang w:eastAsia="en-GB"/>
        </w:rPr>
        <w:t>actually done</w:t>
      </w:r>
      <w:proofErr w:type="gramEnd"/>
      <w:r w:rsidRPr="00277E5F">
        <w:rPr>
          <w:rFonts w:ascii="Times New Roman" w:eastAsia="Times New Roman" w:hAnsi="Times New Roman" w:cs="Times New Roman"/>
          <w:sz w:val="24"/>
          <w:szCs w:val="24"/>
          <w:lang w:eastAsia="en-GB"/>
        </w:rPr>
        <w:t xml:space="preserve">. The logical place to put the lowest limit of normal function would be at the delimitation between nonsense and synonymous variants which, in Fig. 2C looks like it is at 0.6, which is where the limit was </w:t>
      </w:r>
      <w:proofErr w:type="gramStart"/>
      <w:r w:rsidRPr="00277E5F">
        <w:rPr>
          <w:rFonts w:ascii="Times New Roman" w:eastAsia="Times New Roman" w:hAnsi="Times New Roman" w:cs="Times New Roman"/>
          <w:sz w:val="24"/>
          <w:szCs w:val="24"/>
          <w:lang w:eastAsia="en-GB"/>
        </w:rPr>
        <w:t>actually placed</w:t>
      </w:r>
      <w:proofErr w:type="gramEnd"/>
      <w:r w:rsidRPr="00277E5F">
        <w:rPr>
          <w:rFonts w:ascii="Times New Roman" w:eastAsia="Times New Roman" w:hAnsi="Times New Roman" w:cs="Times New Roman"/>
          <w:sz w:val="24"/>
          <w:szCs w:val="24"/>
          <w:lang w:eastAsia="en-GB"/>
        </w:rPr>
        <w:t xml:space="preserve"> later in the paper. The synonymous SD does seem to have been used for setting the threshold for the hyperactive variants at 1.4. This threshold is </w:t>
      </w:r>
      <w:proofErr w:type="gramStart"/>
      <w:r w:rsidRPr="00277E5F">
        <w:rPr>
          <w:rFonts w:ascii="Times New Roman" w:eastAsia="Times New Roman" w:hAnsi="Times New Roman" w:cs="Times New Roman"/>
          <w:sz w:val="24"/>
          <w:szCs w:val="24"/>
          <w:lang w:eastAsia="en-GB"/>
        </w:rPr>
        <w:t>arbitrary</w:t>
      </w:r>
      <w:proofErr w:type="gramEnd"/>
      <w:r w:rsidRPr="00277E5F">
        <w:rPr>
          <w:rFonts w:ascii="Times New Roman" w:eastAsia="Times New Roman" w:hAnsi="Times New Roman" w:cs="Times New Roman"/>
          <w:sz w:val="24"/>
          <w:szCs w:val="24"/>
          <w:lang w:eastAsia="en-GB"/>
        </w:rPr>
        <w:t xml:space="preserve"> and it does not make sense, as it includes a non-negligible portion of the synonymous variants. I believe that this problem explains the 14% of all variants being GOF, something implausible, especially considering the rarity of HH due to such GCK variants.</w:t>
      </w:r>
    </w:p>
    <w:p w14:paraId="0D7ED642"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55EE4FD5"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2. Line 225. How was the score imputed? The concept is not explained.</w:t>
      </w:r>
    </w:p>
    <w:p w14:paraId="32797E83"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79F74326"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 xml:space="preserve">3. Line 234. Why so few benign variants? I presume that fasting blood glucose and GCK sequence was available from the 7k individuals (general population sample and the child cohort) used. If so, it is hard to believe that only three individuals with normal fasting glucose </w:t>
      </w:r>
      <w:r w:rsidRPr="00277E5F">
        <w:rPr>
          <w:rFonts w:ascii="Times New Roman" w:eastAsia="Times New Roman" w:hAnsi="Times New Roman" w:cs="Times New Roman"/>
          <w:sz w:val="24"/>
          <w:szCs w:val="24"/>
          <w:lang w:eastAsia="en-GB"/>
        </w:rPr>
        <w:lastRenderedPageBreak/>
        <w:t>were found to have coding variants. If not, what was done with these cohorts and why are they even mentioned?</w:t>
      </w:r>
    </w:p>
    <w:p w14:paraId="1DD807A9"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03AAA5CE"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4. The evolutionary conservation analysis gives the impression of re-inventing the wheel, given the existence of multiple well established pathogenicity algorithms most of which rely extensively or exclusively on evolutionary conservation.</w:t>
      </w:r>
    </w:p>
    <w:p w14:paraId="44A78748"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69FDBEE1"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5. Lines 345-355 in the Discussion really belong under Methods. They give a perfectly good answer to the concern about multiple mutants on the same clone, which I would not consider a substantial weakness of the study. The excess of variant reads over the total number of tile reads can be used to calculate the frequency and redundancy of such multiple mutants. This text reads like an afterthought, in response to a previous review, and feels out of place in the Discussion.</w:t>
      </w:r>
    </w:p>
    <w:p w14:paraId="4690A2E4"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35C5E6E9"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6. Please annotate the horizontal series of points within the same concentration in each panel of Fig. 1. What do they represent?</w:t>
      </w:r>
    </w:p>
    <w:p w14:paraId="04384992"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p>
    <w:p w14:paraId="2DD616E9" w14:textId="7E6B201B"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sz w:val="24"/>
          <w:szCs w:val="24"/>
          <w:lang w:eastAsia="en-GB"/>
        </w:rPr>
        <w:t>7. Lines 212-213 The term "population" is used incorrectly. It should be "a population sample of Danish children (n=1138 . . ."</w:t>
      </w:r>
    </w:p>
    <w:p w14:paraId="592D6BE8"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p>
    <w:p w14:paraId="3E918836"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Authors Response</w:t>
      </w:r>
    </w:p>
    <w:p w14:paraId="70234CCA"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Point-by-point responses to the reviewers’ comments: </w:t>
      </w:r>
    </w:p>
    <w:p w14:paraId="06885855" w14:textId="77777777" w:rsidR="00277E5F" w:rsidRPr="00277E5F" w:rsidRDefault="00277E5F" w:rsidP="0021375B">
      <w:pPr>
        <w:pStyle w:val="PlainText"/>
        <w:spacing w:line="360" w:lineRule="auto"/>
        <w:rPr>
          <w:rFonts w:ascii="Times New Roman" w:hAnsi="Times New Roman" w:cs="Times New Roman"/>
          <w:sz w:val="24"/>
          <w:szCs w:val="24"/>
        </w:rPr>
      </w:pPr>
      <w:r w:rsidRPr="00277E5F">
        <w:rPr>
          <w:rFonts w:ascii="Times New Roman" w:hAnsi="Times New Roman" w:cs="Times New Roman"/>
          <w:sz w:val="24"/>
          <w:szCs w:val="24"/>
        </w:rPr>
        <w:t xml:space="preserve">Reviewer #1: </w:t>
      </w:r>
      <w:proofErr w:type="spellStart"/>
      <w:r w:rsidRPr="00277E5F">
        <w:rPr>
          <w:rFonts w:ascii="Times New Roman" w:hAnsi="Times New Roman" w:cs="Times New Roman"/>
          <w:sz w:val="24"/>
          <w:szCs w:val="24"/>
        </w:rPr>
        <w:t>Gersing</w:t>
      </w:r>
      <w:proofErr w:type="spellEnd"/>
      <w:r w:rsidRPr="00277E5F">
        <w:rPr>
          <w:rFonts w:ascii="Times New Roman" w:hAnsi="Times New Roman" w:cs="Times New Roman"/>
          <w:sz w:val="24"/>
          <w:szCs w:val="24"/>
        </w:rPr>
        <w:t xml:space="preserve">, Roth, </w:t>
      </w:r>
      <w:proofErr w:type="spellStart"/>
      <w:r w:rsidRPr="00277E5F">
        <w:rPr>
          <w:rFonts w:ascii="Times New Roman" w:hAnsi="Times New Roman" w:cs="Times New Roman"/>
          <w:sz w:val="24"/>
          <w:szCs w:val="24"/>
        </w:rPr>
        <w:t>Lindorff</w:t>
      </w:r>
      <w:proofErr w:type="spellEnd"/>
      <w:r w:rsidRPr="00277E5F">
        <w:rPr>
          <w:rFonts w:ascii="Times New Roman" w:hAnsi="Times New Roman" w:cs="Times New Roman"/>
          <w:sz w:val="24"/>
          <w:szCs w:val="24"/>
        </w:rPr>
        <w:t>-Larsen, Hartmann-</w:t>
      </w:r>
      <w:proofErr w:type="gramStart"/>
      <w:r w:rsidRPr="00277E5F">
        <w:rPr>
          <w:rFonts w:ascii="Times New Roman" w:hAnsi="Times New Roman" w:cs="Times New Roman"/>
          <w:sz w:val="24"/>
          <w:szCs w:val="24"/>
        </w:rPr>
        <w:t>Petersen</w:t>
      </w:r>
      <w:proofErr w:type="gramEnd"/>
      <w:r w:rsidRPr="00277E5F">
        <w:rPr>
          <w:rFonts w:ascii="Times New Roman" w:hAnsi="Times New Roman" w:cs="Times New Roman"/>
          <w:sz w:val="24"/>
          <w:szCs w:val="24"/>
        </w:rPr>
        <w:t xml:space="preserve"> and colleagues present the results of a mutational scan of human glucokinase (GCK) using a sequencing-based readout of a yeast growth assay. The authors generated a conditional yeast strain that required GCK activity for growth on glucose (but not galactose). They introduced human GCK variants on plasmids and demonstrated that under standard yeast growth conditions (0.2% glucose), growth rates for individual GCK variants correlated with kinetic measurements (</w:t>
      </w:r>
      <w:proofErr w:type="spellStart"/>
      <w:r w:rsidRPr="00277E5F">
        <w:rPr>
          <w:rFonts w:ascii="Times New Roman" w:hAnsi="Times New Roman" w:cs="Times New Roman"/>
          <w:sz w:val="24"/>
          <w:szCs w:val="24"/>
        </w:rPr>
        <w:t>kcat</w:t>
      </w:r>
      <w:proofErr w:type="spellEnd"/>
      <w:r w:rsidRPr="00277E5F">
        <w:rPr>
          <w:rFonts w:ascii="Times New Roman" w:hAnsi="Times New Roman" w:cs="Times New Roman"/>
          <w:sz w:val="24"/>
          <w:szCs w:val="24"/>
        </w:rPr>
        <w:t xml:space="preserve">/Km). </w:t>
      </w:r>
      <w:r w:rsidRPr="00277E5F">
        <w:rPr>
          <w:rFonts w:ascii="Times New Roman" w:hAnsi="Times New Roman" w:cs="Times New Roman"/>
          <w:sz w:val="24"/>
          <w:szCs w:val="24"/>
        </w:rPr>
        <w:lastRenderedPageBreak/>
        <w:t>The high throughput sequencing results exhibited a somewhat surprising level of variation - for example, there appears to be some overlap between the activity scores of stop codons and synonymous variants. Despite the contributions of measurement noise, the high throughput activity measures correlate with kinetic measures showing that they capture trends well when averaged over multiple mutations. The authors discuss some factors that contribute to measurement noise including that variants can contain multiple mutations and the readout misses most linkage/epistasis. The authors harness the information in the mutational scan to investigate GCK mechanism. In my view, this is where this manuscript shines the brightest. The mutational data seems strong in identifying sensitive positions and larger scale trends. The authors use Rosetta computational modeling of mutations in two structural poses of GCK - super-open and closed. Through these analyses, the authors provide strong evidence in support of mechanistic models. The structural conclusions are convincing and interesting, including how mutations that disrupt the super-open conformation can lead to hyperactive GCK activity.</w:t>
      </w:r>
    </w:p>
    <w:p w14:paraId="37B1680E" w14:textId="77777777" w:rsidR="00277E5F" w:rsidRPr="00277E5F" w:rsidRDefault="00277E5F" w:rsidP="0021375B">
      <w:pPr>
        <w:pStyle w:val="PlainText"/>
        <w:spacing w:line="360" w:lineRule="auto"/>
        <w:rPr>
          <w:rFonts w:ascii="Times New Roman" w:hAnsi="Times New Roman" w:cs="Times New Roman"/>
          <w:sz w:val="24"/>
          <w:szCs w:val="24"/>
        </w:rPr>
      </w:pPr>
      <w:r w:rsidRPr="00277E5F">
        <w:rPr>
          <w:rFonts w:ascii="Times New Roman" w:hAnsi="Times New Roman" w:cs="Times New Roman"/>
          <w:sz w:val="24"/>
          <w:szCs w:val="24"/>
        </w:rPr>
        <w:t>The manuscript is exceptionally well written, and it was a pleasure to read. The authors discuss shortcomings in their approach with an open-ness that is refreshing and useful. The mechanistic conclusions are interesting and well supported by the experimental results. From my perspective, the utility of this work in aiding the interpretation of human genetics is disappointing, and overly focused on in the manuscript. While I can see some benefit from the reported measures, the internal variation would frustrate me if I was trying to figure out a mutation in my genome or someone that I cared about. In my view, however, the experimental approach and the structural conclusions are fabulous and make this work highly appropriate for publication in Genome Biology. I have some minor comments and suggestions that are listed below.</w:t>
      </w:r>
    </w:p>
    <w:p w14:paraId="2BF1BD40" w14:textId="77777777" w:rsidR="00277E5F" w:rsidRPr="00277E5F" w:rsidRDefault="00277E5F" w:rsidP="0021375B">
      <w:pPr>
        <w:pStyle w:val="PlainText"/>
        <w:spacing w:line="360" w:lineRule="auto"/>
        <w:rPr>
          <w:rFonts w:ascii="Times New Roman" w:hAnsi="Times New Roman" w:cs="Times New Roman"/>
          <w:sz w:val="24"/>
          <w:szCs w:val="24"/>
        </w:rPr>
      </w:pPr>
    </w:p>
    <w:p w14:paraId="73F603C2"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3FFB1C91" w14:textId="77777777" w:rsidR="00277E5F" w:rsidRPr="00277E5F" w:rsidRDefault="00277E5F" w:rsidP="0021375B">
      <w:pPr>
        <w:pStyle w:val="PlainText"/>
        <w:spacing w:line="360" w:lineRule="auto"/>
        <w:rPr>
          <w:rFonts w:ascii="Times New Roman" w:hAnsi="Times New Roman" w:cs="Times New Roman"/>
          <w:sz w:val="24"/>
          <w:szCs w:val="24"/>
        </w:rPr>
      </w:pPr>
      <w:r w:rsidRPr="00277E5F">
        <w:rPr>
          <w:rFonts w:ascii="Times New Roman" w:hAnsi="Times New Roman" w:cs="Times New Roman"/>
          <w:color w:val="4472C4" w:themeColor="accent1"/>
          <w:sz w:val="24"/>
          <w:szCs w:val="24"/>
        </w:rPr>
        <w:t xml:space="preserve">We thank Dan for his time and thorough attention to our manuscript! To address both reviewers’ concerns regarding the clinical utility of the data, we have attempted to moderate the clinical focus throughout the manuscript (lines 32-34, 44-46, 103-104, 117-118, 405-408). </w:t>
      </w:r>
    </w:p>
    <w:p w14:paraId="1F83C084" w14:textId="77777777" w:rsidR="00277E5F" w:rsidRPr="00277E5F" w:rsidRDefault="00277E5F" w:rsidP="0021375B">
      <w:pPr>
        <w:pStyle w:val="PlainText"/>
        <w:spacing w:line="360" w:lineRule="auto"/>
        <w:rPr>
          <w:rFonts w:ascii="Times New Roman" w:hAnsi="Times New Roman" w:cs="Times New Roman"/>
          <w:sz w:val="24"/>
          <w:szCs w:val="24"/>
        </w:rPr>
      </w:pPr>
    </w:p>
    <w:p w14:paraId="1C7D59A1" w14:textId="77777777" w:rsidR="00277E5F" w:rsidRPr="00277E5F" w:rsidRDefault="00277E5F" w:rsidP="0021375B">
      <w:pPr>
        <w:pStyle w:val="PlainText"/>
        <w:numPr>
          <w:ilvl w:val="0"/>
          <w:numId w:val="1"/>
        </w:numPr>
        <w:spacing w:line="360" w:lineRule="auto"/>
        <w:rPr>
          <w:rFonts w:ascii="Times New Roman" w:hAnsi="Times New Roman" w:cs="Times New Roman"/>
          <w:sz w:val="24"/>
          <w:szCs w:val="24"/>
        </w:rPr>
      </w:pPr>
      <w:r w:rsidRPr="00277E5F">
        <w:rPr>
          <w:rFonts w:ascii="Times New Roman" w:hAnsi="Times New Roman" w:cs="Times New Roman"/>
          <w:sz w:val="24"/>
          <w:szCs w:val="24"/>
        </w:rPr>
        <w:t>Please clearly state if repeats of the mutational scan were performed. And if not, why?</w:t>
      </w:r>
    </w:p>
    <w:p w14:paraId="0FE42885"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3EF31E2E"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lastRenderedPageBreak/>
        <w:t>We regret that the number of repeats was unclear, and have now clarified, both in the results (line 164) and methods (lines 543-544) sections, that two repeats of the selection were performed.</w:t>
      </w:r>
    </w:p>
    <w:p w14:paraId="0FD99677"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p>
    <w:p w14:paraId="296E1F36" w14:textId="77777777" w:rsidR="00277E5F" w:rsidRPr="00277E5F" w:rsidRDefault="00277E5F" w:rsidP="0021375B">
      <w:pPr>
        <w:pStyle w:val="PlainText"/>
        <w:numPr>
          <w:ilvl w:val="0"/>
          <w:numId w:val="1"/>
        </w:numPr>
        <w:spacing w:line="360" w:lineRule="auto"/>
        <w:rPr>
          <w:rFonts w:ascii="Times New Roman" w:hAnsi="Times New Roman" w:cs="Times New Roman"/>
          <w:sz w:val="24"/>
          <w:szCs w:val="24"/>
        </w:rPr>
      </w:pPr>
      <w:r w:rsidRPr="00277E5F">
        <w:rPr>
          <w:rFonts w:ascii="Times New Roman" w:hAnsi="Times New Roman" w:cs="Times New Roman"/>
          <w:sz w:val="24"/>
          <w:szCs w:val="24"/>
        </w:rPr>
        <w:t xml:space="preserve">Please say more about sources of variation in internal controls - including stop codons and synonymous mutations. It is disturbing that these classes of mutations appear to overlap. Please describe how the estimates of error were calculated without referring to previous work </w:t>
      </w:r>
      <w:proofErr w:type="gramStart"/>
      <w:r w:rsidRPr="00277E5F">
        <w:rPr>
          <w:rFonts w:ascii="Times New Roman" w:hAnsi="Times New Roman" w:cs="Times New Roman"/>
          <w:sz w:val="24"/>
          <w:szCs w:val="24"/>
        </w:rPr>
        <w:t>and also</w:t>
      </w:r>
      <w:proofErr w:type="gramEnd"/>
      <w:r w:rsidRPr="00277E5F">
        <w:rPr>
          <w:rFonts w:ascii="Times New Roman" w:hAnsi="Times New Roman" w:cs="Times New Roman"/>
          <w:sz w:val="24"/>
          <w:szCs w:val="24"/>
        </w:rPr>
        <w:t xml:space="preserve"> provide an analysis of how these errors predict the observed variation in synonyms and stop codons? Presumably, the error estimates account for sequencing depth. If there is additional error beyond sequencing depth, the authors could tie this nicely into their existing discussion of caveats such as secondary mutations.</w:t>
      </w:r>
    </w:p>
    <w:p w14:paraId="00B01524"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7E27B43B"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This is a good point. We have now included a description of the error estimation (lines 589-599). In our discussion of caveats, we have included a discussion of the variation in nonsense and synonymous variants (lines 346-358). </w:t>
      </w:r>
    </w:p>
    <w:p w14:paraId="543A3771"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p>
    <w:p w14:paraId="586DC0BE" w14:textId="77777777" w:rsidR="00277E5F" w:rsidRPr="00277E5F" w:rsidRDefault="00277E5F" w:rsidP="0021375B">
      <w:pPr>
        <w:pStyle w:val="PlainText"/>
        <w:numPr>
          <w:ilvl w:val="0"/>
          <w:numId w:val="1"/>
        </w:numPr>
        <w:spacing w:line="360" w:lineRule="auto"/>
        <w:rPr>
          <w:rFonts w:ascii="Times New Roman" w:hAnsi="Times New Roman" w:cs="Times New Roman"/>
          <w:sz w:val="24"/>
          <w:szCs w:val="24"/>
        </w:rPr>
      </w:pPr>
      <w:r w:rsidRPr="00277E5F">
        <w:rPr>
          <w:rFonts w:ascii="Times New Roman" w:hAnsi="Times New Roman" w:cs="Times New Roman"/>
          <w:sz w:val="24"/>
          <w:szCs w:val="24"/>
        </w:rPr>
        <w:t>Line 96 - how is GCK-MODY actionable? Please explain this in the intro.</w:t>
      </w:r>
    </w:p>
    <w:p w14:paraId="058818EF"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51314F7B"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We apologize for this vague formulation and now describe how GCK-MODY is actionable in the beginning of the introduction (lines 56-61) and in the sentence at lines 100-103. </w:t>
      </w:r>
    </w:p>
    <w:p w14:paraId="6BC30689"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p>
    <w:p w14:paraId="33DEA257" w14:textId="77777777" w:rsidR="00277E5F" w:rsidRPr="00277E5F" w:rsidRDefault="00277E5F" w:rsidP="0021375B">
      <w:pPr>
        <w:pStyle w:val="PlainText"/>
        <w:numPr>
          <w:ilvl w:val="0"/>
          <w:numId w:val="1"/>
        </w:numPr>
        <w:spacing w:line="360" w:lineRule="auto"/>
        <w:rPr>
          <w:rFonts w:ascii="Times New Roman" w:hAnsi="Times New Roman" w:cs="Times New Roman"/>
          <w:sz w:val="24"/>
          <w:szCs w:val="24"/>
        </w:rPr>
      </w:pPr>
      <w:r w:rsidRPr="00277E5F">
        <w:rPr>
          <w:rFonts w:ascii="Times New Roman" w:hAnsi="Times New Roman" w:cs="Times New Roman"/>
          <w:sz w:val="24"/>
          <w:szCs w:val="24"/>
        </w:rPr>
        <w:t>The trend between conservation and experimental tolerance to mutation has been widely observed for other proteins. There is a nice review that covers the fundamental mechanisms that can contribute to this including the difference in scales of natural evolution compared to lab studies (</w:t>
      </w:r>
      <w:proofErr w:type="spellStart"/>
      <w:r w:rsidRPr="00277E5F">
        <w:rPr>
          <w:rFonts w:ascii="Times New Roman" w:hAnsi="Times New Roman" w:cs="Times New Roman"/>
          <w:sz w:val="24"/>
          <w:szCs w:val="24"/>
        </w:rPr>
        <w:t>Prot</w:t>
      </w:r>
      <w:proofErr w:type="spellEnd"/>
      <w:r w:rsidRPr="00277E5F">
        <w:rPr>
          <w:rFonts w:ascii="Times New Roman" w:hAnsi="Times New Roman" w:cs="Times New Roman"/>
          <w:sz w:val="24"/>
          <w:szCs w:val="24"/>
        </w:rPr>
        <w:t xml:space="preserve"> Sci 2016 Boucher et al PMC4918414). These points seem relevant to the current manuscript.</w:t>
      </w:r>
    </w:p>
    <w:p w14:paraId="7F06C515"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41C3C2E5"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We agree that this trend is </w:t>
      </w:r>
      <w:proofErr w:type="gramStart"/>
      <w:r w:rsidRPr="00277E5F">
        <w:rPr>
          <w:rFonts w:ascii="Times New Roman" w:hAnsi="Times New Roman" w:cs="Times New Roman"/>
          <w:color w:val="4472C4" w:themeColor="accent1"/>
          <w:sz w:val="24"/>
          <w:szCs w:val="24"/>
        </w:rPr>
        <w:t>well-established, and</w:t>
      </w:r>
      <w:proofErr w:type="gramEnd"/>
      <w:r w:rsidRPr="00277E5F">
        <w:rPr>
          <w:rFonts w:ascii="Times New Roman" w:hAnsi="Times New Roman" w:cs="Times New Roman"/>
          <w:color w:val="4472C4" w:themeColor="accent1"/>
          <w:sz w:val="24"/>
          <w:szCs w:val="24"/>
        </w:rPr>
        <w:t xml:space="preserve"> have clarified this (lines 252-253). In addition, the review (ref. 69 in the revised manuscript) has some excellent points regarding the fitness effects of mutations that we have incorporated in the section on the analysis of evolutionary conservation (lines 275-278). </w:t>
      </w:r>
    </w:p>
    <w:p w14:paraId="0E18A63C"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p>
    <w:p w14:paraId="4663A668" w14:textId="02CC69D0" w:rsidR="00277E5F" w:rsidRPr="00277E5F" w:rsidRDefault="00277E5F" w:rsidP="0021375B">
      <w:pPr>
        <w:pStyle w:val="PlainText"/>
        <w:numPr>
          <w:ilvl w:val="0"/>
          <w:numId w:val="1"/>
        </w:numPr>
        <w:spacing w:line="360" w:lineRule="auto"/>
        <w:rPr>
          <w:rFonts w:ascii="Times New Roman" w:hAnsi="Times New Roman" w:cs="Times New Roman"/>
          <w:color w:val="4472C4" w:themeColor="accent1"/>
          <w:sz w:val="24"/>
          <w:szCs w:val="24"/>
        </w:rPr>
      </w:pPr>
      <w:r w:rsidRPr="00277E5F">
        <w:rPr>
          <w:rFonts w:ascii="Times New Roman" w:hAnsi="Times New Roman" w:cs="Times New Roman"/>
          <w:sz w:val="24"/>
          <w:szCs w:val="24"/>
        </w:rPr>
        <w:lastRenderedPageBreak/>
        <w:t xml:space="preserve">For future efforts, I would be excited to see analyses under different glucose concentrations, with the inhibitor protein, and potentially with different expression levels of GCK. However, I </w:t>
      </w:r>
      <w:proofErr w:type="spellStart"/>
      <w:r w:rsidRPr="00277E5F">
        <w:rPr>
          <w:rFonts w:ascii="Times New Roman" w:hAnsi="Times New Roman" w:cs="Times New Roman"/>
          <w:sz w:val="24"/>
          <w:szCs w:val="24"/>
        </w:rPr>
        <w:t>emplore</w:t>
      </w:r>
      <w:proofErr w:type="spellEnd"/>
      <w:r w:rsidRPr="00277E5F">
        <w:rPr>
          <w:rFonts w:ascii="Times New Roman" w:hAnsi="Times New Roman" w:cs="Times New Roman"/>
          <w:sz w:val="24"/>
          <w:szCs w:val="24"/>
        </w:rPr>
        <w:t xml:space="preserve"> the authors to first make the effort to improve the experimental system - add a random ~18 base barcode to the plasmid, use </w:t>
      </w:r>
      <w:proofErr w:type="spellStart"/>
      <w:r w:rsidRPr="00277E5F">
        <w:rPr>
          <w:rFonts w:ascii="Times New Roman" w:hAnsi="Times New Roman" w:cs="Times New Roman"/>
          <w:sz w:val="24"/>
          <w:szCs w:val="24"/>
        </w:rPr>
        <w:t>pac</w:t>
      </w:r>
      <w:proofErr w:type="spellEnd"/>
      <w:r w:rsidRPr="00277E5F">
        <w:rPr>
          <w:rFonts w:ascii="Times New Roman" w:hAnsi="Times New Roman" w:cs="Times New Roman"/>
          <w:sz w:val="24"/>
          <w:szCs w:val="24"/>
        </w:rPr>
        <w:t>-</w:t>
      </w:r>
      <w:proofErr w:type="gramStart"/>
      <w:r w:rsidRPr="00277E5F">
        <w:rPr>
          <w:rFonts w:ascii="Times New Roman" w:hAnsi="Times New Roman" w:cs="Times New Roman"/>
          <w:sz w:val="24"/>
          <w:szCs w:val="24"/>
        </w:rPr>
        <w:t>bio CCS</w:t>
      </w:r>
      <w:proofErr w:type="gramEnd"/>
      <w:r w:rsidRPr="00277E5F">
        <w:rPr>
          <w:rFonts w:ascii="Times New Roman" w:hAnsi="Times New Roman" w:cs="Times New Roman"/>
          <w:sz w:val="24"/>
          <w:szCs w:val="24"/>
        </w:rPr>
        <w:t xml:space="preserve"> reads to associate the barcode with the entire ORF. Then use short read of the barcodes to quantify variant frequency in samples. It will make a world of difference in signal to noise, enable efficient readouts (including experimental repeats under multiple conditions). You are in the awesome position of being able to help people understand potential genetic disorders - precision in your measurements matters dearly. </w:t>
      </w:r>
      <w:r w:rsidRPr="00277E5F">
        <w:rPr>
          <w:rFonts w:ascii="Times New Roman" w:hAnsi="Times New Roman" w:cs="Times New Roman"/>
          <w:color w:val="4472C4" w:themeColor="accent1"/>
          <w:sz w:val="24"/>
          <w:szCs w:val="24"/>
        </w:rPr>
        <w:t>Our response:</w:t>
      </w:r>
    </w:p>
    <w:p w14:paraId="77F3B7FF" w14:textId="77777777" w:rsidR="00277E5F" w:rsidRPr="00277E5F" w:rsidRDefault="00277E5F" w:rsidP="0021375B">
      <w:pPr>
        <w:pStyle w:val="PlainText"/>
        <w:spacing w:line="360" w:lineRule="auto"/>
        <w:rPr>
          <w:rFonts w:ascii="Times New Roman" w:hAnsi="Times New Roman" w:cs="Times New Roman"/>
          <w:sz w:val="24"/>
          <w:szCs w:val="24"/>
        </w:rPr>
      </w:pPr>
      <w:r w:rsidRPr="00277E5F">
        <w:rPr>
          <w:rFonts w:ascii="Times New Roman" w:hAnsi="Times New Roman" w:cs="Times New Roman"/>
          <w:color w:val="4472C4" w:themeColor="accent1"/>
          <w:sz w:val="24"/>
          <w:szCs w:val="24"/>
        </w:rPr>
        <w:t>We thank the reviewer for the kind offer. We completely agree that there are many theoretically appealing features of the ‘</w:t>
      </w:r>
      <w:proofErr w:type="spellStart"/>
      <w:r w:rsidRPr="00277E5F">
        <w:rPr>
          <w:rFonts w:ascii="Times New Roman" w:hAnsi="Times New Roman" w:cs="Times New Roman"/>
          <w:color w:val="4472C4" w:themeColor="accent1"/>
          <w:sz w:val="24"/>
          <w:szCs w:val="24"/>
        </w:rPr>
        <w:t>BarSeq</w:t>
      </w:r>
      <w:proofErr w:type="spellEnd"/>
      <w:r w:rsidRPr="00277E5F">
        <w:rPr>
          <w:rFonts w:ascii="Times New Roman" w:hAnsi="Times New Roman" w:cs="Times New Roman"/>
          <w:color w:val="4472C4" w:themeColor="accent1"/>
          <w:sz w:val="24"/>
          <w:szCs w:val="24"/>
        </w:rPr>
        <w:t xml:space="preserve">’ approach, in which the full-length sequence of expression constructs is associated with flanking barcode sequences (e.g., using PacBio sequences). However, we also note that the alternative </w:t>
      </w:r>
      <w:proofErr w:type="spellStart"/>
      <w:r w:rsidRPr="00277E5F">
        <w:rPr>
          <w:rFonts w:ascii="Times New Roman" w:hAnsi="Times New Roman" w:cs="Times New Roman"/>
          <w:color w:val="4472C4" w:themeColor="accent1"/>
          <w:sz w:val="24"/>
          <w:szCs w:val="24"/>
        </w:rPr>
        <w:t>TileSeq</w:t>
      </w:r>
      <w:proofErr w:type="spellEnd"/>
      <w:r w:rsidRPr="00277E5F">
        <w:rPr>
          <w:rFonts w:ascii="Times New Roman" w:hAnsi="Times New Roman" w:cs="Times New Roman"/>
          <w:color w:val="4472C4" w:themeColor="accent1"/>
          <w:sz w:val="24"/>
          <w:szCs w:val="24"/>
        </w:rPr>
        <w:t xml:space="preserve"> approach used here can yield equivalent results, e.g. where both were performed for UBE2I </w:t>
      </w:r>
      <w:r w:rsidRPr="00277E5F">
        <w:rPr>
          <w:rFonts w:ascii="Times New Roman" w:hAnsi="Times New Roman" w:cs="Times New Roman"/>
          <w:color w:val="4472C4" w:themeColor="accent1"/>
          <w:sz w:val="24"/>
          <w:szCs w:val="24"/>
        </w:rPr>
        <w:fldChar w:fldCharType="begin" w:fldLock="1"/>
      </w:r>
      <w:r w:rsidRPr="00277E5F">
        <w:rPr>
          <w:rFonts w:ascii="Times New Roman" w:hAnsi="Times New Roman" w:cs="Times New Roman"/>
          <w:color w:val="4472C4" w:themeColor="accent1"/>
          <w:sz w:val="24"/>
          <w:szCs w:val="24"/>
        </w:rPr>
        <w:instrText>ADDIN CSL_CITATION {"citationItems":[{"id":"ITEM-1","itemData":{"DOI":"10.15252/MSB.20177908","ISSN":"1744-4292","abstract":"Although we now routinely sequence human genomes, we can confidently identify only a fraction of the sequence variants that have a functional impact. Here, we developed a deep mutational scanning framework that produces exhaustive maps for human missense variants by combining random codon mutagenesis and multiplexed functional variation assays with computational imputation and refinement. We applied this framework to four proteins corresponding to six human genes: UBE2I (encoding SUMO E2 conjugase), SUMO1 (small ubiquitin-like modifier), TPK1 (thiamin pyrophosphokinase), and CALM1/2/3 (three genes encoding the protein calmodulin). The resulting maps recapitulate known protein features and confidently identify pathogenic variation. Assays potentially amenable to deep mutational scanning are already available for 57% of human disease genes, suggesting that DMS could ultimately map functional variation for all human disease genes.","author":[{"dropping-particle":"","family":"Weile","given":"Jochen","non-dropping-particle":"","parse-names":false,"suffix":""},{"dropping-particle":"","family":"Sun","given":"Song","non-dropping-particle":"","parse-names":false,"suffix":""},{"dropping-particle":"","family":"Cote","given":"Atina G","non-dropping-particle":"","parse-names":false,"suffix":""},{"dropping-particle":"","family":"Knapp","given":"Jennifer","non-dropping-particle":"","parse-names":false,"suffix":""},{"dropping-particle":"","family":"Verby","given":"Marta","non-dropping-particle":"","parse-names":false,"suffix":""},{"dropping-particle":"","family":"Mellor","given":"Joseph C","non-dropping-particle":"","parse-names":false,"suffix":""},{"dropping-particle":"","family":"Wu","given":"Yingzhou","non-dropping-particle":"","parse-names":false,"suffix":""},{"dropping-particle":"","family":"Pons","given":"Carles","non-dropping-particle":"","parse-names":false,"suffix":""},{"dropping-particle":"","family":"Wong","given":"Cassandra","non-dropping-particle":"","parse-names":false,"suffix":""},{"dropping-particle":"van","family":"Lieshout","given":"Natascha","non-dropping-particle":"","parse-names":false,"suffix":""},{"dropping-particle":"","family":"Yang","given":"Fan","non-dropping-particle":"","parse-names":false,"suffix":""},{"dropping-particle":"","family":"Tasan","given":"Murat","non-dropping-particle":"","parse-names":false,"suffix":""},{"dropping-particle":"","family":"Tan","given":"Guihong","non-dropping-particle":"","parse-names":false,"suffix":""},{"dropping-particle":"","family":"Yang","given":"Shan","non-dropping-particle":"","parse-names":false,"suffix":""},{"dropping-particle":"","family":"Fowler","given":"Douglas M","non-dropping-particle":"","parse-names":false,"suffix":""},{"dropping-particle":"","family":"Nussbaum","given":"Robert","non-dropping-particle":"","parse-names":false,"suffix":""},{"dropping-particle":"","family":"Bloom","given":"Jesse D","non-dropping-particle":"","parse-names":false,"suffix":""},{"dropping-particle":"","family":"Vidal","given":"Marc","non-dropping-particle":"","parse-names":false,"suffix":""},{"dropping-particle":"","family":"Hill","given":"David E","non-dropping-particle":"","parse-names":false,"suffix":""},{"dropping-particle":"","family":"Aloy","given":"Patrick","non-dropping-particle":"","parse-names":false,"suffix":""},{"dropping-particle":"","family":"Roth","given":"Frederick P","non-dropping-particle":"","parse-names":false,"suffix":""}],"container-title":"Molecular Systems Biology","id":"ITEM-1","issue":"12","issued":{"date-parts":[["2017","12","1"]]},"page":"957","publisher":"John Wiley &amp; Sons, Ltd","title":"A framework for exhaustively mapping functional missense variants","type":"article-journal","volume":"13"},"uris":["http://www.mendeley.com/documents/?uuid=4aead6f1-22af-3269-966d-03e3f35cea8e"]}],"mendeley":{"formattedCitation":"(Weile et al., 2017)","plainTextFormattedCitation":"(Weile et al., 2017)","previouslyFormattedCitation":"(Weile et al., 2017)"},"properties":{"noteIndex":0},"schema":"https://github.com/citation-style-language/schema/raw/master/csl-citation.json"}</w:instrText>
      </w:r>
      <w:r w:rsidRPr="00277E5F">
        <w:rPr>
          <w:rFonts w:ascii="Times New Roman" w:hAnsi="Times New Roman" w:cs="Times New Roman"/>
          <w:color w:val="4472C4" w:themeColor="accent1"/>
          <w:sz w:val="24"/>
          <w:szCs w:val="24"/>
        </w:rPr>
        <w:fldChar w:fldCharType="separate"/>
      </w:r>
      <w:r w:rsidRPr="00277E5F">
        <w:rPr>
          <w:rFonts w:ascii="Times New Roman" w:hAnsi="Times New Roman" w:cs="Times New Roman"/>
          <w:noProof/>
          <w:color w:val="4472C4" w:themeColor="accent1"/>
          <w:sz w:val="24"/>
          <w:szCs w:val="24"/>
        </w:rPr>
        <w:t>(Weile et al., 2017)</w:t>
      </w:r>
      <w:r w:rsidRPr="00277E5F">
        <w:rPr>
          <w:rFonts w:ascii="Times New Roman" w:hAnsi="Times New Roman" w:cs="Times New Roman"/>
          <w:color w:val="4472C4" w:themeColor="accent1"/>
          <w:sz w:val="24"/>
          <w:szCs w:val="24"/>
        </w:rPr>
        <w:fldChar w:fldCharType="end"/>
      </w:r>
      <w:r w:rsidRPr="00277E5F">
        <w:rPr>
          <w:rFonts w:ascii="Times New Roman" w:hAnsi="Times New Roman" w:cs="Times New Roman"/>
          <w:color w:val="4472C4" w:themeColor="accent1"/>
          <w:sz w:val="24"/>
          <w:szCs w:val="24"/>
        </w:rPr>
        <w:t xml:space="preserve">.  We also note that the widely acclaimed map for BRCA1 using saturation genome editing </w:t>
      </w:r>
      <w:r w:rsidRPr="00277E5F">
        <w:rPr>
          <w:rFonts w:ascii="Times New Roman" w:hAnsi="Times New Roman" w:cs="Times New Roman"/>
          <w:color w:val="4472C4" w:themeColor="accent1"/>
          <w:sz w:val="24"/>
          <w:szCs w:val="24"/>
        </w:rPr>
        <w:fldChar w:fldCharType="begin" w:fldLock="1"/>
      </w:r>
      <w:r w:rsidRPr="00277E5F">
        <w:rPr>
          <w:rFonts w:ascii="Times New Roman" w:hAnsi="Times New Roman" w:cs="Times New Roman"/>
          <w:color w:val="4472C4" w:themeColor="accent1"/>
          <w:sz w:val="24"/>
          <w:szCs w:val="24"/>
        </w:rPr>
        <w:instrText>ADDIN CSL_CITATION {"citationItems":[{"id":"ITEM-1","itemData":{"DOI":"10.1038/S41586-018-0461-Z","ISSN":"1476-4687","PMID":"30209399","abstract":"Variants of uncertain significance fundamentally limit the clinical utility of genetic information. The challenge they pose is epitomized by BRCA1, a tumour suppressor gene in which germline loss-of-function variants predispose women to breast and ovarian cancer. Although BRCA1 has been sequenced in millions of women, the risk associated with most newly observed variants cannot be definitively assigned. Here we use saturation genome editing to assay 96.5% of all possible single-nucleotide variants (SNVs) in 13 exons that encode functionally critical domains of BRCA1. Functional effects for nearly 4,000 SNVs are bimodally distributed and almost perfectly concordant with established assessments of pathogenicity. Over 400 non-functional missense SNVs are identified, as well as around 300 SNVs that disrupt expression. We predict that these results will be immediately useful for the clinical interpretation of BRCA1 variants, and that this approach can be extended to overcome the challenge of variants of uncertain significance in additional clinically actionable genes.","author":[{"dropping-particle":"","family":"Findlay","given":"Gregory M.","non-dropping-particle":"","parse-names":false,"suffix":""},{"dropping-particle":"","family":"Daza","given":"Riza M.","non-dropping-particle":"","parse-names":false,"suffix":""},{"dropping-particle":"","family":"Martin","given":"Beth","non-dropping-particle":"","parse-names":false,"suffix":""},{"dropping-particle":"","family":"Zhang","given":"Melissa D.","non-dropping-particle":"","parse-names":false,"suffix":""},{"dropping-particle":"","family":"Leith","given":"Anh P.","non-dropping-particle":"","parse-names":false,"suffix":""},{"dropping-particle":"","family":"Gasperini","given":"Molly","non-dropping-particle":"","parse-names":false,"suffix":""},{"dropping-particle":"","family":"Janizek","given":"Joseph D.","non-dropping-particle":"","parse-names":false,"suffix":""},{"dropping-particle":"","family":"Huang","given":"Xingfan","non-dropping-particle":"","parse-names":false,"suffix":""},{"dropping-particle":"","family":"Starita","given":"Lea M.","non-dropping-particle":"","parse-names":false,"suffix":""},{"dropping-particle":"","family":"Shendure","given":"Jay","non-dropping-particle":"","parse-names":false,"suffix":""}],"container-title":"Nature","id":"ITEM-1","issue":"7726","issued":{"date-parts":[["2018","10","11"]]},"page":"217-222","publisher":"Nature","title":"Accurate classification of BRCA1 variants with saturation genome editing","type":"article-journal","volume":"562"},"uris":["http://www.mendeley.com/documents/?uuid=287670ac-eba8-340c-984b-2ff13c223dde"]}],"mendeley":{"formattedCitation":"(Findlay et al., 2018)","plainTextFormattedCitation":"(Findlay et al., 2018)","previouslyFormattedCitation":"(Findlay et al., 2018)"},"properties":{"noteIndex":0},"schema":"https://github.com/citation-style-language/schema/raw/master/csl-citation.json"}</w:instrText>
      </w:r>
      <w:r w:rsidRPr="00277E5F">
        <w:rPr>
          <w:rFonts w:ascii="Times New Roman" w:hAnsi="Times New Roman" w:cs="Times New Roman"/>
          <w:color w:val="4472C4" w:themeColor="accent1"/>
          <w:sz w:val="24"/>
          <w:szCs w:val="24"/>
        </w:rPr>
        <w:fldChar w:fldCharType="separate"/>
      </w:r>
      <w:r w:rsidRPr="00277E5F">
        <w:rPr>
          <w:rFonts w:ascii="Times New Roman" w:hAnsi="Times New Roman" w:cs="Times New Roman"/>
          <w:noProof/>
          <w:color w:val="4472C4" w:themeColor="accent1"/>
          <w:sz w:val="24"/>
          <w:szCs w:val="24"/>
        </w:rPr>
        <w:t>(Findlay et al., 2018)</w:t>
      </w:r>
      <w:r w:rsidRPr="00277E5F">
        <w:rPr>
          <w:rFonts w:ascii="Times New Roman" w:hAnsi="Times New Roman" w:cs="Times New Roman"/>
          <w:color w:val="4472C4" w:themeColor="accent1"/>
          <w:sz w:val="24"/>
          <w:szCs w:val="24"/>
        </w:rPr>
        <w:fldChar w:fldCharType="end"/>
      </w:r>
      <w:r w:rsidRPr="00277E5F">
        <w:rPr>
          <w:rFonts w:ascii="Times New Roman" w:hAnsi="Times New Roman" w:cs="Times New Roman"/>
          <w:color w:val="4472C4" w:themeColor="accent1"/>
          <w:sz w:val="24"/>
          <w:szCs w:val="24"/>
        </w:rPr>
        <w:t xml:space="preserve">, which is in active use at some of the largest clinical genetic diagnostic providers (e.g., </w:t>
      </w:r>
      <w:proofErr w:type="spellStart"/>
      <w:r w:rsidRPr="00277E5F">
        <w:rPr>
          <w:rFonts w:ascii="Times New Roman" w:hAnsi="Times New Roman" w:cs="Times New Roman"/>
          <w:color w:val="4472C4" w:themeColor="accent1"/>
          <w:sz w:val="24"/>
          <w:szCs w:val="24"/>
        </w:rPr>
        <w:t>Invitae</w:t>
      </w:r>
      <w:proofErr w:type="spellEnd"/>
      <w:r w:rsidRPr="00277E5F">
        <w:rPr>
          <w:rFonts w:ascii="Times New Roman" w:hAnsi="Times New Roman" w:cs="Times New Roman"/>
          <w:color w:val="4472C4" w:themeColor="accent1"/>
          <w:sz w:val="24"/>
          <w:szCs w:val="24"/>
        </w:rPr>
        <w:t xml:space="preserve"> and Ambry Genetics), used a method akin to </w:t>
      </w:r>
      <w:proofErr w:type="spellStart"/>
      <w:r w:rsidRPr="00277E5F">
        <w:rPr>
          <w:rFonts w:ascii="Times New Roman" w:hAnsi="Times New Roman" w:cs="Times New Roman"/>
          <w:color w:val="4472C4" w:themeColor="accent1"/>
          <w:sz w:val="24"/>
          <w:szCs w:val="24"/>
        </w:rPr>
        <w:t>TileSeq</w:t>
      </w:r>
      <w:proofErr w:type="spellEnd"/>
      <w:r w:rsidRPr="00277E5F">
        <w:rPr>
          <w:rFonts w:ascii="Times New Roman" w:hAnsi="Times New Roman" w:cs="Times New Roman"/>
          <w:color w:val="4472C4" w:themeColor="accent1"/>
          <w:sz w:val="24"/>
          <w:szCs w:val="24"/>
        </w:rPr>
        <w:t xml:space="preserve"> in the sense that full-length sequencing was not employed.  Moreover, other publications have provided evidence of clinical utility for maps generated using the </w:t>
      </w:r>
      <w:proofErr w:type="spellStart"/>
      <w:r w:rsidRPr="00277E5F">
        <w:rPr>
          <w:rFonts w:ascii="Times New Roman" w:hAnsi="Times New Roman" w:cs="Times New Roman"/>
          <w:color w:val="4472C4" w:themeColor="accent1"/>
          <w:sz w:val="24"/>
          <w:szCs w:val="24"/>
        </w:rPr>
        <w:t>TileSeq</w:t>
      </w:r>
      <w:proofErr w:type="spellEnd"/>
      <w:r w:rsidRPr="00277E5F">
        <w:rPr>
          <w:rFonts w:ascii="Times New Roman" w:hAnsi="Times New Roman" w:cs="Times New Roman"/>
          <w:color w:val="4472C4" w:themeColor="accent1"/>
          <w:sz w:val="24"/>
          <w:szCs w:val="24"/>
        </w:rPr>
        <w:t xml:space="preserve"> strategy followed here </w:t>
      </w:r>
      <w:r w:rsidRPr="00277E5F">
        <w:rPr>
          <w:rFonts w:ascii="Times New Roman" w:hAnsi="Times New Roman" w:cs="Times New Roman"/>
          <w:color w:val="4472C4" w:themeColor="accent1"/>
          <w:sz w:val="24"/>
          <w:szCs w:val="24"/>
        </w:rPr>
        <w:fldChar w:fldCharType="begin" w:fldLock="1"/>
      </w:r>
      <w:r w:rsidRPr="00277E5F">
        <w:rPr>
          <w:rFonts w:ascii="Times New Roman" w:hAnsi="Times New Roman" w:cs="Times New Roman"/>
          <w:color w:val="4472C4" w:themeColor="accent1"/>
          <w:sz w:val="24"/>
          <w:szCs w:val="24"/>
        </w:rPr>
        <w:instrText>ADDIN CSL_CITATION {"citationItems":[{"id":"ITEM-1","itemData":{"DOI":"10.1186/S13073-020-0711-1/FIGURES/5","ISSN":"1756994X","PMID":"32000841","abstract":"Background: For the majority of rare clinical missense variants, pathogenicity status cannot currently be classified. Classical homocystinuria, characterized by elevated homocysteine in plasma and urine, is caused by variants in the cystathionine beta-synthase (CBS) gene, most of which are rare. With early detection, existing therapies are highly effective. Methods: Damaging CBS variants can be detected based on their failure to restore growth in yeast cells lacking the yeast ortholog CYS4. This assay has only been applied reactively, after first observing a variant in patients. Using saturation codon-mutagenesis, en masse growth selection, and sequencing, we generated a comprehensive, proactive map of CBS missense variant function. Results: Our CBS variant effect map far exceeds the performance of computational predictors of disease variants. Map scores correlated strongly with both disease severity (Spearman's δ± = 0.9) and human clinical response to vitamin B6 (δ± = 0.93). Conclusions: We demonstrate that highly multiplexed cell-based assays can yield proactive maps of variant function and patient response to therapy, even for rare variants not previously seen in the clinic.","author":[{"dropping-particle":"","family":"Sun","given":"Song","non-dropping-particle":"","parse-names":false,"suffix":""},{"dropping-particle":"","family":"Weile","given":"Jochen","non-dropping-particle":"","parse-names":false,"suffix":""},{"dropping-particle":"","family":"Verby","given":"Marta","non-dropping-particle":"","parse-names":false,"suffix":""},{"dropping-particle":"","family":"Wu","given":"Yingzhou","non-dropping-particle":"","parse-names":false,"suffix":""},{"dropping-particle":"","family":"Wang","given":"Yang","non-dropping-particle":"","parse-names":false,"suffix":""},{"dropping-particle":"","family":"Cote","given":"Atina G.","non-dropping-particle":"","parse-names":false,"suffix":""},{"dropping-particle":"","family":"Fotiadou","given":"Iosifina","non-dropping-particle":"","parse-names":false,"suffix":""},{"dropping-particle":"","family":"Kitaygorodsky","given":"Julia","non-dropping-particle":"","parse-names":false,"suffix":""},{"dropping-particle":"","family":"Vidal","given":"Marc","non-dropping-particle":"","parse-names":false,"suffix":""},{"dropping-particle":"","family":"Rine","given":"Jasper","non-dropping-particle":"","parse-names":false,"suffix":""},{"dropping-particle":"","family":"Ješina","given":"Pavel","non-dropping-particle":"","parse-names":false,"suffix":""},{"dropping-particle":"","family":"Kožich","given":"Viktor","non-dropping-particle":"","parse-names":false,"suffix":""},{"dropping-particle":"","family":"Roth","given":"Frederick P.","non-dropping-particle":"","parse-names":false,"suffix":""}],"container-title":"Genome Medicine","id":"ITEM-1","issue":"1","issued":{"date-parts":[["2020","1","30"]]},"page":"1-18","publisher":"BioMed Central Ltd.","title":"A proactive genotype-to-patient-phenotype map for cystathionine beta-synthase","type":"article-journal","volume":"12"},"uris":["http://www.mendeley.com/documents/?uuid=2ca33374-d00d-357c-af79-d3bc29db6b55"]},{"id":"ITEM-2","itemData":{"DOI":"10.1016/J.AJHG.2021.05.009","ISSN":"0002-9297","PMID":"34214447","abstract":"Most rare clinical missense variants cannot currently be classified as pathogenic or benign. Deficiency in human 5,10-methylenetetrahydrofolate reductase (MTHFR), the most common inherited disorder of folate metabolism, is caused primarily by rare missense variants. Further complicating variant interpretation, variant impacts often depend on environment. An important example of this phenomenon is the MTHFR variant p.Ala222Val (c.665C&gt;T), which is carried by half of all humans and has a phenotypic impact that depends on dietary folate. Here we describe the results of 98,336 variant functional-impact assays, covering nearly all possible MTHFR amino acid substitutions in four folinate environments, each in the presence and absence of p.Ala222Val. The resulting atlas of MTHFR variant effects reveals many complex dependencies on both folinate and p.Ala222Val. MTHFR atlas scores can distinguish pathogenic from benign variants and, among individuals with severe MTHFR deficiency, correlate with age of disease onset. Providing a powerful tool for understanding structure-function relationships, the atlas suggests a role for a disordered loop in retaining cofactor at the active site and identifies variants that enable escape of inhibition by S-adenosylmethionine. Thus, a model based on eight MTHFR variant effect maps illustrates how shifting landscapes of environment- and genetic-background-dependent missense variation can inform our clinical, structural, and functional understanding of MTHFR deficiency.","author":[{"dropping-particle":"","family":"Weile","given":"Jochen","non-dropping-particle":"","parse-names":false,"suffix":""},{"dropping-particle":"","family":"Kishore","given":"Nishka","non-dropping-particle":"","parse-names":false,"suffix":""},{"dropping-particle":"","family":"Sun","given":"Song","non-dropping-particle":"","parse-names":false,"suffix":""},{"dropping-particle":"","family":"Maaieh","given":"Ranim","non-dropping-particle":"","parse-names":false,"suffix":""},{"dropping-particle":"","family":"Verby","given":"Marta","non-dropping-particle":"","parse-names":false,"suffix":""},{"dropping-particle":"","family":"Li","given":"Roujia","non-dropping-particle":"","parse-names":false,"suffix":""},{"dropping-particle":"","family":"Fotiadou","given":"Iosifina","non-dropping-particle":"","parse-names":false,"suffix":""},{"dropping-particle":"","family":"Kitaygorodsky","given":"Julia","non-dropping-particle":"","parse-names":false,"suffix":""},{"dropping-particle":"","family":"Wu","given":"Yingzhou","non-dropping-particle":"","parse-names":false,"suffix":""},{"dropping-particle":"","family":"Holenstein","given":"Alexander","non-dropping-particle":"","parse-names":false,"suffix":""},{"dropping-particle":"","family":"Bürer","given":"Céline","non-dropping-particle":"","parse-names":false,"suffix":""},{"dropping-particle":"","family":"Blomgren","given":"Linnea","non-dropping-particle":"","parse-names":false,"suffix":""},{"dropping-particle":"","family":"Yang","given":"Shan","non-dropping-particle":"","parse-names":false,"suffix":""},{"dropping-particle":"","family":"Nussbaum","given":"Robert","non-dropping-particle":"","parse-names":false,"suffix":""},{"dropping-particle":"","family":"Rozen","given":"Rima","non-dropping-particle":"","parse-names":false,"suffix":""},{"dropping-particle":"","family":"Watkins","given":"David","non-dropping-particle":"","parse-names":false,"suffix":""},{"dropping-particle":"","family":"Gebbia","given":"Marinella","non-dropping-particle":"","parse-names":false,"suffix":""},{"dropping-particle":"","family":"Kozich","given":"Viktor","non-dropping-particle":"","parse-names":false,"suffix":""},{"dropping-particle":"","family":"Garton","given":"Michael","non-dropping-particle":"","parse-names":false,"suffix":""},{"dropping-particle":"","family":"Froese","given":"D. Sean","non-dropping-particle":"","parse-names":false,"suffix":""},{"dropping-particle":"","family":"Roth","given":"Frederick P.","non-dropping-particle":"","parse-names":false,"suffix":""}],"container-title":"The American Journal of Human Genetics","id":"ITEM-2","issue":"7","issued":{"date-parts":[["2021","7","1"]]},"page":"1283-1300","publisher":"Cell Press","title":"Shifting landscapes of human MTHFR missense-variant effects","type":"article-journal","volume":"108"},"uris":["http://www.mendeley.com/documents/?uuid=b4cb97a3-32de-37a6-b97d-2b6b5cf9c540"]},{"id":"ITEM-3","itemData":{"DOI":"10.1161/CIRCGEN.122.003792","ISSN":"2574-8300","PMID":"36716194","author":[{"dropping-particle":"","family":"Floyd","given":"Brendan J.","non-dropping-particle":"","parse-names":false,"suffix":""},{"dropping-particle":"","family":"Weile","given":"Jochen","non-dropping-particle":"","parse-names":false,"suffix":""},{"dropping-particle":"","family":"Kannankeril","given":"Prince J.","non-dropping-particle":"","parse-names":false,"suffix":""},{"dropping-particle":"","family":"Glazer","given":"Andrew M.","non-dropping-particle":"","parse-names":false,"suffix":""},{"dropping-particle":"","family":"Reuter","given":"Chloe M.","non-dropping-particle":"","parse-names":false,"suffix":""},{"dropping-particle":"","family":"MacRae","given":"Calum A.","non-dropping-particle":"","parse-names":false,"suffix":""},{"dropping-particle":"","family":"Ashley","given":"Euan A.","non-dropping-particle":"","parse-names":false,"suffix":""},{"dropping-particle":"","family":"Roden","given":"Dan M.","non-dropping-particle":"","parse-names":false,"suffix":""},{"dropping-particle":"","family":"Roth","given":"Frederick P.","non-dropping-particle":"","parse-names":false,"suffix":""},{"dropping-particle":"","family":"Parikh","given":"Victoria N.","non-dropping-particle":"","parse-names":false,"suffix":""}],"container-title":"Circulation. Genomic and precision medicine","id":"ITEM-3","issued":{"date-parts":[["2023","1","30"]]},"publisher":"Circ Genom Precis Med","title":"Proactive Variant Effect Mapping Aids Diagnosis in Pediatric Cardiac Arrest","type":"article-journal"},"uris":["http://www.mendeley.com/documents/?uuid=9bf67bae-d3fc-3e3d-b528-3dce6125f59f"]}],"mendeley":{"formattedCitation":"(Floyd et al., 2023; Sun et al., 2020; Weile et al., 2021)","plainTextFormattedCitation":"(Floyd et al., 2023; Sun et al., 2020; Weile et al., 2021)","previouslyFormattedCitation":"(Floyd et al., 2023; Sun et al., 2020; Weile et al., 2021)"},"properties":{"noteIndex":0},"schema":"https://github.com/citation-style-language/schema/raw/master/csl-citation.json"}</w:instrText>
      </w:r>
      <w:r w:rsidRPr="00277E5F">
        <w:rPr>
          <w:rFonts w:ascii="Times New Roman" w:hAnsi="Times New Roman" w:cs="Times New Roman"/>
          <w:color w:val="4472C4" w:themeColor="accent1"/>
          <w:sz w:val="24"/>
          <w:szCs w:val="24"/>
        </w:rPr>
        <w:fldChar w:fldCharType="separate"/>
      </w:r>
      <w:r w:rsidRPr="00277E5F">
        <w:rPr>
          <w:rFonts w:ascii="Times New Roman" w:hAnsi="Times New Roman" w:cs="Times New Roman"/>
          <w:noProof/>
          <w:color w:val="4472C4" w:themeColor="accent1"/>
          <w:sz w:val="24"/>
          <w:szCs w:val="24"/>
        </w:rPr>
        <w:t>(Floyd et al., 2023; Sun et al., 2020; Weile et al., 2021)</w:t>
      </w:r>
      <w:r w:rsidRPr="00277E5F">
        <w:rPr>
          <w:rFonts w:ascii="Times New Roman" w:hAnsi="Times New Roman" w:cs="Times New Roman"/>
          <w:color w:val="4472C4" w:themeColor="accent1"/>
          <w:sz w:val="24"/>
          <w:szCs w:val="24"/>
        </w:rPr>
        <w:fldChar w:fldCharType="end"/>
      </w:r>
      <w:r w:rsidRPr="00277E5F">
        <w:rPr>
          <w:rFonts w:ascii="Times New Roman" w:hAnsi="Times New Roman" w:cs="Times New Roman"/>
          <w:color w:val="4472C4" w:themeColor="accent1"/>
          <w:sz w:val="24"/>
          <w:szCs w:val="24"/>
        </w:rPr>
        <w:t xml:space="preserve">. That said, we continue to be excited to learn more about </w:t>
      </w:r>
      <w:proofErr w:type="spellStart"/>
      <w:r w:rsidRPr="00277E5F">
        <w:rPr>
          <w:rFonts w:ascii="Times New Roman" w:hAnsi="Times New Roman" w:cs="Times New Roman"/>
          <w:color w:val="4472C4" w:themeColor="accent1"/>
          <w:sz w:val="24"/>
          <w:szCs w:val="24"/>
        </w:rPr>
        <w:t>BarSeq</w:t>
      </w:r>
      <w:proofErr w:type="spellEnd"/>
      <w:r w:rsidRPr="00277E5F">
        <w:rPr>
          <w:rFonts w:ascii="Times New Roman" w:hAnsi="Times New Roman" w:cs="Times New Roman"/>
          <w:color w:val="4472C4" w:themeColor="accent1"/>
          <w:sz w:val="24"/>
          <w:szCs w:val="24"/>
        </w:rPr>
        <w:t>, especially given that it has likely reached the tipping point of being the more economical approach.</w:t>
      </w:r>
    </w:p>
    <w:p w14:paraId="5BE6B822" w14:textId="77777777" w:rsidR="00277E5F" w:rsidRPr="00277E5F" w:rsidRDefault="00277E5F" w:rsidP="0021375B">
      <w:pPr>
        <w:pStyle w:val="PlainText"/>
        <w:spacing w:line="360" w:lineRule="auto"/>
        <w:rPr>
          <w:rFonts w:ascii="Times New Roman" w:hAnsi="Times New Roman" w:cs="Times New Roman"/>
          <w:sz w:val="24"/>
          <w:szCs w:val="24"/>
        </w:rPr>
      </w:pPr>
    </w:p>
    <w:p w14:paraId="3D32CBFD" w14:textId="77777777" w:rsidR="00277E5F" w:rsidRPr="00277E5F" w:rsidRDefault="00277E5F" w:rsidP="0021375B">
      <w:pPr>
        <w:pStyle w:val="PlainText"/>
        <w:spacing w:line="360" w:lineRule="auto"/>
        <w:rPr>
          <w:rFonts w:ascii="Times New Roman" w:hAnsi="Times New Roman" w:cs="Times New Roman"/>
          <w:sz w:val="24"/>
          <w:szCs w:val="24"/>
        </w:rPr>
      </w:pPr>
    </w:p>
    <w:p w14:paraId="60C8885E" w14:textId="77777777" w:rsidR="00277E5F" w:rsidRPr="00277E5F" w:rsidRDefault="00277E5F" w:rsidP="0021375B">
      <w:pPr>
        <w:pStyle w:val="PlainText"/>
        <w:spacing w:line="360" w:lineRule="auto"/>
        <w:rPr>
          <w:rFonts w:ascii="Times New Roman" w:hAnsi="Times New Roman" w:cs="Times New Roman"/>
          <w:sz w:val="24"/>
          <w:szCs w:val="24"/>
        </w:rPr>
      </w:pPr>
      <w:r w:rsidRPr="00277E5F">
        <w:rPr>
          <w:rFonts w:ascii="Times New Roman" w:hAnsi="Times New Roman" w:cs="Times New Roman"/>
          <w:sz w:val="24"/>
          <w:szCs w:val="24"/>
        </w:rPr>
        <w:t xml:space="preserve">Reviewer #2: This is a report of the use of a yeast-based synthetic biology model to devise a map of the functional effect of SNVs (missense and nonsense) on the function of GCK, the gene most often mutated in MODY. It is based on how well GCL variants can complement a KO of all </w:t>
      </w:r>
      <w:proofErr w:type="gramStart"/>
      <w:r w:rsidRPr="00277E5F">
        <w:rPr>
          <w:rFonts w:ascii="Times New Roman" w:hAnsi="Times New Roman" w:cs="Times New Roman"/>
          <w:sz w:val="24"/>
          <w:szCs w:val="24"/>
        </w:rPr>
        <w:t>three  yeast</w:t>
      </w:r>
      <w:proofErr w:type="gramEnd"/>
      <w:r w:rsidRPr="00277E5F">
        <w:rPr>
          <w:rFonts w:ascii="Times New Roman" w:hAnsi="Times New Roman" w:cs="Times New Roman"/>
          <w:sz w:val="24"/>
          <w:szCs w:val="24"/>
        </w:rPr>
        <w:t xml:space="preserve"> hexokinases. This work represents an important application of large-scale functional annotation to a clinical problem. Although, in my opinion, the results do not quite make it to clinical utility, the concept is novel and interesting. The paper can be improved in </w:t>
      </w:r>
      <w:proofErr w:type="gramStart"/>
      <w:r w:rsidRPr="00277E5F">
        <w:rPr>
          <w:rFonts w:ascii="Times New Roman" w:hAnsi="Times New Roman" w:cs="Times New Roman"/>
          <w:sz w:val="24"/>
          <w:szCs w:val="24"/>
        </w:rPr>
        <w:t>a number of</w:t>
      </w:r>
      <w:proofErr w:type="gramEnd"/>
      <w:r w:rsidRPr="00277E5F">
        <w:rPr>
          <w:rFonts w:ascii="Times New Roman" w:hAnsi="Times New Roman" w:cs="Times New Roman"/>
          <w:sz w:val="24"/>
          <w:szCs w:val="24"/>
        </w:rPr>
        <w:t xml:space="preserve"> ways.</w:t>
      </w:r>
    </w:p>
    <w:p w14:paraId="082467BA"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p>
    <w:p w14:paraId="77ABFB6C"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1BD9488F"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lastRenderedPageBreak/>
        <w:t xml:space="preserve">Due to the concern regarding the clinical utility, we have moderated the clinical focus (lines 32-34, 44-46, 103-104, 117-118, 405-408), as also noted above for Reviewer 1. </w:t>
      </w:r>
    </w:p>
    <w:p w14:paraId="79C16632" w14:textId="77777777" w:rsidR="00277E5F" w:rsidRPr="00277E5F" w:rsidRDefault="00277E5F" w:rsidP="0021375B">
      <w:pPr>
        <w:pStyle w:val="PlainText"/>
        <w:spacing w:line="360" w:lineRule="auto"/>
        <w:rPr>
          <w:rFonts w:ascii="Times New Roman" w:hAnsi="Times New Roman" w:cs="Times New Roman"/>
          <w:sz w:val="24"/>
          <w:szCs w:val="24"/>
        </w:rPr>
      </w:pPr>
    </w:p>
    <w:p w14:paraId="0B7A7A9D"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 xml:space="preserve">Lines 183-4: It is stated that "We used the standard deviation of synonymous variants (0.4) to set the thresholds". This statement makes no sense and does not appear to be what was </w:t>
      </w:r>
      <w:proofErr w:type="gramStart"/>
      <w:r w:rsidRPr="00277E5F">
        <w:rPr>
          <w:rFonts w:ascii="Times New Roman" w:hAnsi="Times New Roman" w:cs="Times New Roman"/>
          <w:sz w:val="24"/>
          <w:szCs w:val="24"/>
        </w:rPr>
        <w:t>actually done</w:t>
      </w:r>
      <w:proofErr w:type="gramEnd"/>
      <w:r w:rsidRPr="00277E5F">
        <w:rPr>
          <w:rFonts w:ascii="Times New Roman" w:hAnsi="Times New Roman" w:cs="Times New Roman"/>
          <w:sz w:val="24"/>
          <w:szCs w:val="24"/>
        </w:rPr>
        <w:t xml:space="preserve">. The logical place to put the lowest limit of normal function would be at the delimitation between nonsense and synonymous variants which, in Fig. 2C looks like it is at 0.6, which is where the limit was </w:t>
      </w:r>
      <w:proofErr w:type="gramStart"/>
      <w:r w:rsidRPr="00277E5F">
        <w:rPr>
          <w:rFonts w:ascii="Times New Roman" w:hAnsi="Times New Roman" w:cs="Times New Roman"/>
          <w:sz w:val="24"/>
          <w:szCs w:val="24"/>
        </w:rPr>
        <w:t>actually placed</w:t>
      </w:r>
      <w:proofErr w:type="gramEnd"/>
      <w:r w:rsidRPr="00277E5F">
        <w:rPr>
          <w:rFonts w:ascii="Times New Roman" w:hAnsi="Times New Roman" w:cs="Times New Roman"/>
          <w:sz w:val="24"/>
          <w:szCs w:val="24"/>
        </w:rPr>
        <w:t xml:space="preserve"> later in the paper. The synonymous SD does seem to have been used for setting the threshold for the hyperactive variants at 1.4. This threshold is </w:t>
      </w:r>
      <w:proofErr w:type="gramStart"/>
      <w:r w:rsidRPr="00277E5F">
        <w:rPr>
          <w:rFonts w:ascii="Times New Roman" w:hAnsi="Times New Roman" w:cs="Times New Roman"/>
          <w:sz w:val="24"/>
          <w:szCs w:val="24"/>
        </w:rPr>
        <w:t>arbitrary</w:t>
      </w:r>
      <w:proofErr w:type="gramEnd"/>
      <w:r w:rsidRPr="00277E5F">
        <w:rPr>
          <w:rFonts w:ascii="Times New Roman" w:hAnsi="Times New Roman" w:cs="Times New Roman"/>
          <w:sz w:val="24"/>
          <w:szCs w:val="24"/>
        </w:rPr>
        <w:t xml:space="preserve"> and it does not make sense, as it includes a non-negligible portion of the synonymous variants. I believe that this problem explains the 14% of all variants being GOF, something implausible, especially considering the rarity of HH due to such GCK variants. </w:t>
      </w:r>
    </w:p>
    <w:p w14:paraId="74BE829E"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4BA5E055"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We agree that these thresholds, which are used in the beginning of the paper, were somewhat arbitrary and unnecessary, and have therefore deleted this section (line 177). </w:t>
      </w:r>
    </w:p>
    <w:p w14:paraId="359BFD50" w14:textId="77777777" w:rsidR="00277E5F" w:rsidRPr="00277E5F" w:rsidRDefault="00277E5F" w:rsidP="0021375B">
      <w:pPr>
        <w:pStyle w:val="PlainText"/>
        <w:spacing w:line="360" w:lineRule="auto"/>
        <w:rPr>
          <w:rFonts w:ascii="Times New Roman" w:hAnsi="Times New Roman" w:cs="Times New Roman"/>
          <w:sz w:val="24"/>
          <w:szCs w:val="24"/>
        </w:rPr>
      </w:pPr>
    </w:p>
    <w:p w14:paraId="3C51B723"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Line 225. How was the score imputed? The concept is not explained.</w:t>
      </w:r>
    </w:p>
    <w:p w14:paraId="25EB81B9"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56DC5F09"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We have clarified that the score was imputed using the Human Protein Variant Effect Map Imputation Toolkit </w:t>
      </w:r>
      <w:r w:rsidRPr="00277E5F">
        <w:rPr>
          <w:rFonts w:ascii="Times New Roman" w:hAnsi="Times New Roman" w:cs="Times New Roman"/>
          <w:color w:val="4472C4" w:themeColor="accent1"/>
          <w:sz w:val="24"/>
          <w:szCs w:val="24"/>
        </w:rPr>
        <w:fldChar w:fldCharType="begin" w:fldLock="1"/>
      </w:r>
      <w:r w:rsidRPr="00277E5F">
        <w:rPr>
          <w:rFonts w:ascii="Times New Roman" w:hAnsi="Times New Roman" w:cs="Times New Roman"/>
          <w:color w:val="4472C4" w:themeColor="accent1"/>
          <w:sz w:val="24"/>
          <w:szCs w:val="24"/>
        </w:rPr>
        <w:instrText>ADDIN CSL_CITATION {"citationItems":[{"id":"ITEM-1","itemData":{"DOI":"10.1093/BIOINFORMATICS/BTZ012","ISSN":"1367-4803","PMID":"30649215","abstract":"The promise of personalized genomic medicine depends on our ability to assess the functional impact of rare sequence variation. Multiplexed assays can experimentally measure the functional impact of missense variants on a massive scale. However, even after such assays, many missense variants remain poorly measured. Here we describe a software pipeline and application to impute missing information in experimentally determined variant effect maps.","author":[{"dropping-particle":"","family":"Wu","given":"Yingzhou","non-dropping-particle":"","parse-names":false,"suffix":""},{"dropping-particle":"","family":"Weile","given":"Jochen","non-dropping-particle":"","parse-names":false,"suffix":""},{"dropping-particle":"","family":"Cote","given":"Atina G.","non-dropping-particle":"","parse-names":false,"suffix":""},{"dropping-particle":"","family":"Sun","given":"Song","non-dropping-particle":"","parse-names":false,"suffix":""},{"dropping-particle":"","family":"Knapp","given":"Jennifer","non-dropping-particle":"","parse-names":false,"suffix":""},{"dropping-particle":"","family":"Verby","given":"Marta","non-dropping-particle":"","parse-names":false,"suffix":""},{"dropping-particle":"","family":"Roth","given":"Frederick P.","non-dropping-particle":"","parse-names":false,"suffix":""}],"container-title":"Bioinformatics","id":"ITEM-1","issue":"17","issued":{"date-parts":[["2019","9","1"]]},"page":"3191-3193","publisher":"Oxford Academic","title":"A web application and service for imputing and visualizing missense variant effect maps","type":"article-journal","volume":"35"},"uris":["http://www.mendeley.com/documents/?uuid=db54be3b-459b-3042-8822-f79ffdd76e41"]}],"mendeley":{"formattedCitation":"(Wu et al., 2019)","plainTextFormattedCitation":"(Wu et al., 2019)","previouslyFormattedCitation":"(Wu et al., 2019)"},"properties":{"noteIndex":0},"schema":"https://github.com/citation-style-language/schema/raw/master/csl-citation.json"}</w:instrText>
      </w:r>
      <w:r w:rsidRPr="00277E5F">
        <w:rPr>
          <w:rFonts w:ascii="Times New Roman" w:hAnsi="Times New Roman" w:cs="Times New Roman"/>
          <w:color w:val="4472C4" w:themeColor="accent1"/>
          <w:sz w:val="24"/>
          <w:szCs w:val="24"/>
        </w:rPr>
        <w:fldChar w:fldCharType="separate"/>
      </w:r>
      <w:r w:rsidRPr="00277E5F">
        <w:rPr>
          <w:rFonts w:ascii="Times New Roman" w:hAnsi="Times New Roman" w:cs="Times New Roman"/>
          <w:noProof/>
          <w:color w:val="4472C4" w:themeColor="accent1"/>
          <w:sz w:val="24"/>
          <w:szCs w:val="24"/>
        </w:rPr>
        <w:t>(Wu et al., 2019)</w:t>
      </w:r>
      <w:r w:rsidRPr="00277E5F">
        <w:rPr>
          <w:rFonts w:ascii="Times New Roman" w:hAnsi="Times New Roman" w:cs="Times New Roman"/>
          <w:color w:val="4472C4" w:themeColor="accent1"/>
          <w:sz w:val="24"/>
          <w:szCs w:val="24"/>
        </w:rPr>
        <w:fldChar w:fldCharType="end"/>
      </w:r>
      <w:r w:rsidRPr="00277E5F">
        <w:rPr>
          <w:rFonts w:ascii="Times New Roman" w:hAnsi="Times New Roman" w:cs="Times New Roman"/>
          <w:color w:val="4472C4" w:themeColor="accent1"/>
          <w:sz w:val="24"/>
          <w:szCs w:val="24"/>
        </w:rPr>
        <w:t xml:space="preserve"> (lines 214-217), as noted previously in the manuscript (lines 172-174). </w:t>
      </w:r>
    </w:p>
    <w:p w14:paraId="5F36CB63" w14:textId="77777777" w:rsidR="00277E5F" w:rsidRPr="00277E5F" w:rsidRDefault="00277E5F" w:rsidP="0021375B">
      <w:pPr>
        <w:pStyle w:val="PlainText"/>
        <w:spacing w:line="360" w:lineRule="auto"/>
        <w:rPr>
          <w:rFonts w:ascii="Times New Roman" w:hAnsi="Times New Roman" w:cs="Times New Roman"/>
          <w:sz w:val="24"/>
          <w:szCs w:val="24"/>
        </w:rPr>
      </w:pPr>
    </w:p>
    <w:p w14:paraId="54257D1D"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Line 234. Why so few benign variants? I presume that fasting blood glucose and GCK sequence was available from the 7k individuals (general population sample and the child cohort) used. If so, it is hard to believe that only three individuals with normal fasting glucose were found to have coding variants. If not, what was done with these cohorts and why are they even mentioned?</w:t>
      </w:r>
    </w:p>
    <w:p w14:paraId="3D3DADCF"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0241A3BD"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These cohorts were only used to examine the correlation between fasting glucose and activity scores, and we did not classify the variants detected in the cohorts as either benign or pathogenic. The three benign variants used for ROC analyses were obtained from </w:t>
      </w:r>
      <w:proofErr w:type="gramStart"/>
      <w:r w:rsidRPr="00277E5F">
        <w:rPr>
          <w:rFonts w:ascii="Times New Roman" w:hAnsi="Times New Roman" w:cs="Times New Roman"/>
          <w:color w:val="4472C4" w:themeColor="accent1"/>
          <w:sz w:val="24"/>
          <w:szCs w:val="24"/>
        </w:rPr>
        <w:t xml:space="preserve">literature, </w:t>
      </w:r>
      <w:r w:rsidRPr="00277E5F">
        <w:rPr>
          <w:rFonts w:ascii="Times New Roman" w:hAnsi="Times New Roman" w:cs="Times New Roman"/>
          <w:color w:val="4472C4" w:themeColor="accent1"/>
          <w:sz w:val="24"/>
          <w:szCs w:val="24"/>
        </w:rPr>
        <w:lastRenderedPageBreak/>
        <w:t>and</w:t>
      </w:r>
      <w:proofErr w:type="gramEnd"/>
      <w:r w:rsidRPr="00277E5F">
        <w:rPr>
          <w:rFonts w:ascii="Times New Roman" w:hAnsi="Times New Roman" w:cs="Times New Roman"/>
          <w:color w:val="4472C4" w:themeColor="accent1"/>
          <w:sz w:val="24"/>
          <w:szCs w:val="24"/>
        </w:rPr>
        <w:t xml:space="preserve"> are the only known benign GCK variants. We have attempted to further clarify this (line(s) 211, 222-225). </w:t>
      </w:r>
    </w:p>
    <w:p w14:paraId="2B332C5B" w14:textId="77777777" w:rsidR="00277E5F" w:rsidRPr="00277E5F" w:rsidRDefault="00277E5F" w:rsidP="0021375B">
      <w:pPr>
        <w:pStyle w:val="PlainText"/>
        <w:spacing w:line="360" w:lineRule="auto"/>
        <w:rPr>
          <w:rFonts w:ascii="Times New Roman" w:hAnsi="Times New Roman" w:cs="Times New Roman"/>
          <w:sz w:val="24"/>
          <w:szCs w:val="24"/>
        </w:rPr>
      </w:pPr>
    </w:p>
    <w:p w14:paraId="6539565B"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The evolutionary conservation analysis gives the impression of re-inventing the wheel, given the existence of multiple well established pathogenicity algorithms most of which rely extensively or exclusively on evolutionary conservation.</w:t>
      </w:r>
    </w:p>
    <w:p w14:paraId="63B2D3D9"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5E761029"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We apologize for giving this impression, which was not intended, and have clarified that evolutionary conservation analysis is widely used to assess the effect of protein variants (lines 252-253). Indeed, we and others have previously used GEMME for this kind of analysis, and a recent assessment of variant effect prediction tools against MAVE data shows it to be the second-best performing model out of the &gt;30 models tested (https://www.proteingym.org/substitutions).</w:t>
      </w:r>
    </w:p>
    <w:p w14:paraId="7256D70C" w14:textId="77777777" w:rsidR="00277E5F" w:rsidRPr="00277E5F" w:rsidRDefault="00277E5F" w:rsidP="0021375B">
      <w:pPr>
        <w:pStyle w:val="PlainText"/>
        <w:spacing w:line="360" w:lineRule="auto"/>
        <w:rPr>
          <w:rFonts w:ascii="Times New Roman" w:hAnsi="Times New Roman" w:cs="Times New Roman"/>
          <w:sz w:val="24"/>
          <w:szCs w:val="24"/>
        </w:rPr>
      </w:pPr>
    </w:p>
    <w:p w14:paraId="0884E59E"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Lines 345-355 in the Discussion really belong under Methods. They give a perfectly good answer to the concern about multiple mutants on the same clone, which I would not consider a substantial weakness of the study. The excess of variant reads over the total number of tile reads can be used to calculate the frequency and redundancy of such multiple mutants. This text reads like an afterthought, in response to a previous review, and feels out of place in the Discussion.</w:t>
      </w:r>
    </w:p>
    <w:p w14:paraId="6D69946B"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066FCBA7"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We have deleted a part of the extensive explanation of this limitation (lines 345-346) but prefer to retain the remainder of this section since it is linked to point 2 of reviewer #1 and our response to this issue.</w:t>
      </w:r>
    </w:p>
    <w:p w14:paraId="09E48609" w14:textId="77777777" w:rsidR="00277E5F" w:rsidRPr="00277E5F" w:rsidRDefault="00277E5F" w:rsidP="0021375B">
      <w:pPr>
        <w:pStyle w:val="PlainText"/>
        <w:spacing w:line="360" w:lineRule="auto"/>
        <w:rPr>
          <w:rFonts w:ascii="Times New Roman" w:hAnsi="Times New Roman" w:cs="Times New Roman"/>
          <w:sz w:val="24"/>
          <w:szCs w:val="24"/>
        </w:rPr>
      </w:pPr>
    </w:p>
    <w:p w14:paraId="1EF6BBDF"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Please annotate the horizontal series of points within the same concentration in each panel of Fig. 1. What do they represent?</w:t>
      </w:r>
    </w:p>
    <w:p w14:paraId="7A92211E"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Our response:</w:t>
      </w:r>
    </w:p>
    <w:p w14:paraId="530D6433"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We apologize for missing annotations and have adapted the figure to clarify that the horizontal series of points are serial dilutions of yeast cells. </w:t>
      </w:r>
    </w:p>
    <w:p w14:paraId="43C9CC5F" w14:textId="77777777" w:rsidR="00277E5F" w:rsidRPr="00277E5F" w:rsidRDefault="00277E5F" w:rsidP="0021375B">
      <w:pPr>
        <w:pStyle w:val="PlainText"/>
        <w:spacing w:line="360" w:lineRule="auto"/>
        <w:rPr>
          <w:rFonts w:ascii="Times New Roman" w:hAnsi="Times New Roman" w:cs="Times New Roman"/>
          <w:sz w:val="24"/>
          <w:szCs w:val="24"/>
        </w:rPr>
      </w:pPr>
    </w:p>
    <w:p w14:paraId="2FB23C2B" w14:textId="77777777" w:rsidR="00277E5F" w:rsidRPr="00277E5F" w:rsidRDefault="00277E5F" w:rsidP="0021375B">
      <w:pPr>
        <w:pStyle w:val="PlainText"/>
        <w:numPr>
          <w:ilvl w:val="0"/>
          <w:numId w:val="2"/>
        </w:numPr>
        <w:spacing w:line="360" w:lineRule="auto"/>
        <w:rPr>
          <w:rFonts w:ascii="Times New Roman" w:hAnsi="Times New Roman" w:cs="Times New Roman"/>
          <w:sz w:val="24"/>
          <w:szCs w:val="24"/>
        </w:rPr>
      </w:pPr>
      <w:r w:rsidRPr="00277E5F">
        <w:rPr>
          <w:rFonts w:ascii="Times New Roman" w:hAnsi="Times New Roman" w:cs="Times New Roman"/>
          <w:sz w:val="24"/>
          <w:szCs w:val="24"/>
        </w:rPr>
        <w:t>Lines 212-213 The term "population" is used incorrectly. It should be "a population sample of Danish children (n=1138 . . ."</w:t>
      </w:r>
    </w:p>
    <w:p w14:paraId="63BB076C"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lastRenderedPageBreak/>
        <w:t>Our response:</w:t>
      </w:r>
    </w:p>
    <w:p w14:paraId="438729CC"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r w:rsidRPr="00277E5F">
        <w:rPr>
          <w:rFonts w:ascii="Times New Roman" w:hAnsi="Times New Roman" w:cs="Times New Roman"/>
          <w:color w:val="4472C4" w:themeColor="accent1"/>
          <w:sz w:val="24"/>
          <w:szCs w:val="24"/>
        </w:rPr>
        <w:t xml:space="preserve">We have corrected the mistake (lines 203-204). </w:t>
      </w:r>
    </w:p>
    <w:p w14:paraId="514BAB4D" w14:textId="77777777" w:rsidR="00277E5F" w:rsidRPr="00277E5F" w:rsidRDefault="00277E5F" w:rsidP="0021375B">
      <w:pPr>
        <w:pStyle w:val="PlainText"/>
        <w:spacing w:line="360" w:lineRule="auto"/>
        <w:rPr>
          <w:rFonts w:ascii="Times New Roman" w:hAnsi="Times New Roman" w:cs="Times New Roman"/>
          <w:color w:val="4472C4" w:themeColor="accent1"/>
          <w:sz w:val="24"/>
          <w:szCs w:val="24"/>
        </w:rPr>
      </w:pPr>
    </w:p>
    <w:p w14:paraId="0F9FD584" w14:textId="335B5153" w:rsidR="00277E5F" w:rsidRPr="00277E5F" w:rsidRDefault="00277E5F" w:rsidP="0021375B">
      <w:pPr>
        <w:pStyle w:val="PlainText"/>
        <w:spacing w:line="360" w:lineRule="auto"/>
        <w:rPr>
          <w:rFonts w:ascii="Times New Roman" w:hAnsi="Times New Roman" w:cs="Times New Roman"/>
          <w:noProof/>
          <w:sz w:val="24"/>
          <w:szCs w:val="24"/>
        </w:rPr>
      </w:pPr>
      <w:r w:rsidRPr="00277E5F">
        <w:rPr>
          <w:rFonts w:ascii="Times New Roman" w:hAnsi="Times New Roman" w:cs="Times New Roman"/>
          <w:sz w:val="24"/>
          <w:szCs w:val="24"/>
        </w:rPr>
        <w:fldChar w:fldCharType="begin" w:fldLock="1"/>
      </w:r>
      <w:r w:rsidRPr="00277E5F">
        <w:rPr>
          <w:rFonts w:ascii="Times New Roman" w:hAnsi="Times New Roman" w:cs="Times New Roman"/>
          <w:sz w:val="24"/>
          <w:szCs w:val="24"/>
        </w:rPr>
        <w:instrText xml:space="preserve">ADDIN Mendeley Bibliography CSL_BIBLIOGRAPHY </w:instrText>
      </w:r>
      <w:r w:rsidRPr="00277E5F">
        <w:rPr>
          <w:rFonts w:ascii="Times New Roman" w:hAnsi="Times New Roman" w:cs="Times New Roman"/>
          <w:sz w:val="24"/>
          <w:szCs w:val="24"/>
        </w:rPr>
        <w:fldChar w:fldCharType="separate"/>
      </w:r>
      <w:r w:rsidRPr="00277E5F">
        <w:rPr>
          <w:rFonts w:ascii="Times New Roman" w:hAnsi="Times New Roman" w:cs="Times New Roman"/>
          <w:noProof/>
          <w:sz w:val="24"/>
          <w:szCs w:val="24"/>
        </w:rPr>
        <w:t xml:space="preserve">Findlay, G.M., Daza, R.M., Martin, B., Zhang, M.D., Leith, A.P., Gasperini, M., Janizek, J.D., Huang, X., Starita, L.M., and Shendure, J. (2018). Accurate classification of BRCA1 variants with saturation genome editing. Nature </w:t>
      </w:r>
      <w:r w:rsidRPr="00277E5F">
        <w:rPr>
          <w:rFonts w:ascii="Times New Roman" w:hAnsi="Times New Roman" w:cs="Times New Roman"/>
          <w:i/>
          <w:iCs/>
          <w:noProof/>
          <w:sz w:val="24"/>
          <w:szCs w:val="24"/>
        </w:rPr>
        <w:t>562</w:t>
      </w:r>
      <w:r w:rsidRPr="00277E5F">
        <w:rPr>
          <w:rFonts w:ascii="Times New Roman" w:hAnsi="Times New Roman" w:cs="Times New Roman"/>
          <w:noProof/>
          <w:sz w:val="24"/>
          <w:szCs w:val="24"/>
        </w:rPr>
        <w:t>, 217–222. https://doi.org/10.1038/S41586-018-0461-Z.</w:t>
      </w:r>
    </w:p>
    <w:p w14:paraId="01CEE713" w14:textId="77777777" w:rsidR="00277E5F" w:rsidRPr="00277E5F" w:rsidRDefault="00277E5F" w:rsidP="0021375B">
      <w:pPr>
        <w:widowControl w:val="0"/>
        <w:autoSpaceDE w:val="0"/>
        <w:autoSpaceDN w:val="0"/>
        <w:adjustRightInd w:val="0"/>
        <w:spacing w:after="0" w:line="360" w:lineRule="auto"/>
        <w:rPr>
          <w:rFonts w:ascii="Times New Roman" w:hAnsi="Times New Roman" w:cs="Times New Roman"/>
          <w:noProof/>
          <w:sz w:val="24"/>
          <w:szCs w:val="24"/>
        </w:rPr>
      </w:pPr>
      <w:r w:rsidRPr="00277E5F">
        <w:rPr>
          <w:rFonts w:ascii="Times New Roman" w:hAnsi="Times New Roman" w:cs="Times New Roman"/>
          <w:noProof/>
          <w:sz w:val="24"/>
          <w:szCs w:val="24"/>
        </w:rPr>
        <w:t>Floyd, B.J., Weile, J., Kannankeril, P.J., Glazer, A.M., Reuter, C.M., MacRae, C.A., Ashley, E.A., Roden, D.M., Roth, F.P., and Parikh, V.N. (2023). Proactive Variant Effect Mapping Aids Diagnosis in Pediatric Cardiac Arrest. Circ. Genomic Precis. Med. https://doi.org/10.1161/CIRCGEN.122.003792.</w:t>
      </w:r>
    </w:p>
    <w:p w14:paraId="79836744" w14:textId="77777777" w:rsidR="00277E5F" w:rsidRPr="00277E5F" w:rsidRDefault="00277E5F" w:rsidP="0021375B">
      <w:pPr>
        <w:widowControl w:val="0"/>
        <w:autoSpaceDE w:val="0"/>
        <w:autoSpaceDN w:val="0"/>
        <w:adjustRightInd w:val="0"/>
        <w:spacing w:after="0" w:line="360" w:lineRule="auto"/>
        <w:rPr>
          <w:rFonts w:ascii="Times New Roman" w:hAnsi="Times New Roman" w:cs="Times New Roman"/>
          <w:noProof/>
          <w:sz w:val="24"/>
          <w:szCs w:val="24"/>
        </w:rPr>
      </w:pPr>
      <w:r w:rsidRPr="00277E5F">
        <w:rPr>
          <w:rFonts w:ascii="Times New Roman" w:hAnsi="Times New Roman" w:cs="Times New Roman"/>
          <w:noProof/>
          <w:sz w:val="24"/>
          <w:szCs w:val="24"/>
        </w:rPr>
        <w:t xml:space="preserve">Sun, S., Weile, J., Verby, M., Wu, Y., Wang, Y., Cote, A.G., Fotiadou, I., Kitaygorodsky, J., Vidal, M., Rine, J., et al. (2020). A proactive genotype-to-patient-phenotype map for cystathionine beta-synthase. Genome Med. </w:t>
      </w:r>
      <w:r w:rsidRPr="00277E5F">
        <w:rPr>
          <w:rFonts w:ascii="Times New Roman" w:hAnsi="Times New Roman" w:cs="Times New Roman"/>
          <w:i/>
          <w:iCs/>
          <w:noProof/>
          <w:sz w:val="24"/>
          <w:szCs w:val="24"/>
        </w:rPr>
        <w:t>12</w:t>
      </w:r>
      <w:r w:rsidRPr="00277E5F">
        <w:rPr>
          <w:rFonts w:ascii="Times New Roman" w:hAnsi="Times New Roman" w:cs="Times New Roman"/>
          <w:noProof/>
          <w:sz w:val="24"/>
          <w:szCs w:val="24"/>
        </w:rPr>
        <w:t>, 1–18. https://doi.org/10.1186/S13073-020-0711-1/FIGURES/5.</w:t>
      </w:r>
    </w:p>
    <w:p w14:paraId="411D91B8" w14:textId="77777777" w:rsidR="00277E5F" w:rsidRPr="00277E5F" w:rsidRDefault="00277E5F" w:rsidP="0021375B">
      <w:pPr>
        <w:widowControl w:val="0"/>
        <w:autoSpaceDE w:val="0"/>
        <w:autoSpaceDN w:val="0"/>
        <w:adjustRightInd w:val="0"/>
        <w:spacing w:after="0" w:line="360" w:lineRule="auto"/>
        <w:rPr>
          <w:rFonts w:ascii="Times New Roman" w:hAnsi="Times New Roman" w:cs="Times New Roman"/>
          <w:noProof/>
          <w:sz w:val="24"/>
          <w:szCs w:val="24"/>
          <w:lang w:val="da-DK"/>
        </w:rPr>
      </w:pPr>
      <w:r w:rsidRPr="00277E5F">
        <w:rPr>
          <w:rFonts w:ascii="Times New Roman" w:hAnsi="Times New Roman" w:cs="Times New Roman"/>
          <w:noProof/>
          <w:sz w:val="24"/>
          <w:szCs w:val="24"/>
        </w:rPr>
        <w:t xml:space="preserve">Weile, J., Sun, S., Cote, A.G., Knapp, J., Verby, M., Mellor, J.C., Wu, Y., Pons, C., Wong, C., Lieshout, N. van, et al. (2017). A framework for exhaustively mapping functional missense variants. Mol. Syst. </w:t>
      </w:r>
      <w:r w:rsidRPr="00277E5F">
        <w:rPr>
          <w:rFonts w:ascii="Times New Roman" w:hAnsi="Times New Roman" w:cs="Times New Roman"/>
          <w:noProof/>
          <w:sz w:val="24"/>
          <w:szCs w:val="24"/>
          <w:lang w:val="da-DK"/>
        </w:rPr>
        <w:t xml:space="preserve">Biol. </w:t>
      </w:r>
      <w:r w:rsidRPr="00277E5F">
        <w:rPr>
          <w:rFonts w:ascii="Times New Roman" w:hAnsi="Times New Roman" w:cs="Times New Roman"/>
          <w:i/>
          <w:iCs/>
          <w:noProof/>
          <w:sz w:val="24"/>
          <w:szCs w:val="24"/>
          <w:lang w:val="da-DK"/>
        </w:rPr>
        <w:t>13</w:t>
      </w:r>
      <w:r w:rsidRPr="00277E5F">
        <w:rPr>
          <w:rFonts w:ascii="Times New Roman" w:hAnsi="Times New Roman" w:cs="Times New Roman"/>
          <w:noProof/>
          <w:sz w:val="24"/>
          <w:szCs w:val="24"/>
          <w:lang w:val="da-DK"/>
        </w:rPr>
        <w:t>, 957. https://doi.org/10.15252/MSB.20177908.</w:t>
      </w:r>
    </w:p>
    <w:p w14:paraId="266C0D8C" w14:textId="77777777" w:rsidR="00277E5F" w:rsidRPr="00277E5F" w:rsidRDefault="00277E5F" w:rsidP="0021375B">
      <w:pPr>
        <w:widowControl w:val="0"/>
        <w:autoSpaceDE w:val="0"/>
        <w:autoSpaceDN w:val="0"/>
        <w:adjustRightInd w:val="0"/>
        <w:spacing w:after="0" w:line="360" w:lineRule="auto"/>
        <w:rPr>
          <w:rFonts w:ascii="Times New Roman" w:hAnsi="Times New Roman" w:cs="Times New Roman"/>
          <w:noProof/>
          <w:sz w:val="24"/>
          <w:szCs w:val="24"/>
        </w:rPr>
      </w:pPr>
      <w:r w:rsidRPr="00277E5F">
        <w:rPr>
          <w:rFonts w:ascii="Times New Roman" w:hAnsi="Times New Roman" w:cs="Times New Roman"/>
          <w:noProof/>
          <w:sz w:val="24"/>
          <w:szCs w:val="24"/>
          <w:lang w:val="da-DK"/>
        </w:rPr>
        <w:t xml:space="preserve">Weile, J., Kishore, N., Sun, S., Maaieh, R., Verby, M., Li, R., Fotiadou, I., Kitaygorodsky, J., Wu, Y., Holenstein, A., et al. </w:t>
      </w:r>
      <w:r w:rsidRPr="00277E5F">
        <w:rPr>
          <w:rFonts w:ascii="Times New Roman" w:hAnsi="Times New Roman" w:cs="Times New Roman"/>
          <w:noProof/>
          <w:sz w:val="24"/>
          <w:szCs w:val="24"/>
        </w:rPr>
        <w:t xml:space="preserve">(2021). Shifting landscapes of human MTHFR missense-variant effects. Am. J. Hum. Genet. </w:t>
      </w:r>
      <w:r w:rsidRPr="00277E5F">
        <w:rPr>
          <w:rFonts w:ascii="Times New Roman" w:hAnsi="Times New Roman" w:cs="Times New Roman"/>
          <w:i/>
          <w:iCs/>
          <w:noProof/>
          <w:sz w:val="24"/>
          <w:szCs w:val="24"/>
        </w:rPr>
        <w:t>108</w:t>
      </w:r>
      <w:r w:rsidRPr="00277E5F">
        <w:rPr>
          <w:rFonts w:ascii="Times New Roman" w:hAnsi="Times New Roman" w:cs="Times New Roman"/>
          <w:noProof/>
          <w:sz w:val="24"/>
          <w:szCs w:val="24"/>
        </w:rPr>
        <w:t>, 1283–1300. https://doi.org/10.1016/J.AJHG.2021.05.009.</w:t>
      </w:r>
    </w:p>
    <w:p w14:paraId="1A507533" w14:textId="77777777" w:rsidR="00277E5F" w:rsidRPr="00277E5F" w:rsidRDefault="00277E5F" w:rsidP="0021375B">
      <w:pPr>
        <w:widowControl w:val="0"/>
        <w:autoSpaceDE w:val="0"/>
        <w:autoSpaceDN w:val="0"/>
        <w:adjustRightInd w:val="0"/>
        <w:spacing w:after="0" w:line="360" w:lineRule="auto"/>
        <w:rPr>
          <w:rFonts w:ascii="Times New Roman" w:hAnsi="Times New Roman" w:cs="Times New Roman"/>
          <w:noProof/>
          <w:sz w:val="24"/>
          <w:szCs w:val="24"/>
        </w:rPr>
      </w:pPr>
      <w:r w:rsidRPr="00277E5F">
        <w:rPr>
          <w:rFonts w:ascii="Times New Roman" w:hAnsi="Times New Roman" w:cs="Times New Roman"/>
          <w:noProof/>
          <w:sz w:val="24"/>
          <w:szCs w:val="24"/>
        </w:rPr>
        <w:t xml:space="preserve">Wu, Y., Weile, J., Cote, A.G., Sun, S., Knapp, J., Verby, M., and Roth, F.P. (2019). A web application and service for imputing and visualizing missense variant effect maps. Bioinformatics </w:t>
      </w:r>
      <w:r w:rsidRPr="00277E5F">
        <w:rPr>
          <w:rFonts w:ascii="Times New Roman" w:hAnsi="Times New Roman" w:cs="Times New Roman"/>
          <w:i/>
          <w:iCs/>
          <w:noProof/>
          <w:sz w:val="24"/>
          <w:szCs w:val="24"/>
        </w:rPr>
        <w:t>35</w:t>
      </w:r>
      <w:r w:rsidRPr="00277E5F">
        <w:rPr>
          <w:rFonts w:ascii="Times New Roman" w:hAnsi="Times New Roman" w:cs="Times New Roman"/>
          <w:noProof/>
          <w:sz w:val="24"/>
          <w:szCs w:val="24"/>
        </w:rPr>
        <w:t>, 3191–3193. https://doi.org/10.1093/BIOINFORMATICS/BTZ012.</w:t>
      </w:r>
    </w:p>
    <w:p w14:paraId="534CB32B" w14:textId="051FD0E4" w:rsidR="00277E5F" w:rsidRPr="00277E5F" w:rsidRDefault="00277E5F" w:rsidP="0021375B">
      <w:pPr>
        <w:pStyle w:val="PlainText"/>
        <w:spacing w:line="360" w:lineRule="auto"/>
        <w:rPr>
          <w:rFonts w:ascii="Times New Roman" w:hAnsi="Times New Roman" w:cs="Times New Roman"/>
          <w:sz w:val="24"/>
          <w:szCs w:val="24"/>
        </w:rPr>
      </w:pPr>
      <w:r w:rsidRPr="00277E5F">
        <w:rPr>
          <w:rFonts w:ascii="Times New Roman" w:hAnsi="Times New Roman" w:cs="Times New Roman"/>
          <w:sz w:val="24"/>
          <w:szCs w:val="24"/>
        </w:rPr>
        <w:fldChar w:fldCharType="end"/>
      </w:r>
    </w:p>
    <w:p w14:paraId="2ED2507D" w14:textId="77777777" w:rsidR="00277E5F" w:rsidRPr="00277E5F" w:rsidRDefault="00277E5F" w:rsidP="0021375B">
      <w:pPr>
        <w:spacing w:after="240" w:line="360" w:lineRule="auto"/>
        <w:rPr>
          <w:rFonts w:ascii="Times New Roman" w:eastAsia="Times New Roman" w:hAnsi="Times New Roman" w:cs="Times New Roman"/>
          <w:sz w:val="24"/>
          <w:szCs w:val="24"/>
          <w:lang w:eastAsia="en-GB"/>
        </w:rPr>
      </w:pPr>
    </w:p>
    <w:p w14:paraId="5566A6BF" w14:textId="77777777"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Second round of review</w:t>
      </w:r>
    </w:p>
    <w:p w14:paraId="5E17D755" w14:textId="73E5D45A"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b/>
          <w:bCs/>
          <w:color w:val="000000"/>
          <w:sz w:val="24"/>
          <w:szCs w:val="24"/>
          <w:lang w:eastAsia="en-GB"/>
        </w:rPr>
        <w:t>Reviewer 1</w:t>
      </w:r>
      <w:r w:rsidRPr="00277E5F">
        <w:rPr>
          <w:rFonts w:ascii="Times New Roman" w:eastAsia="Times New Roman" w:hAnsi="Times New Roman" w:cs="Times New Roman"/>
          <w:b/>
          <w:bCs/>
          <w:color w:val="000000"/>
          <w:sz w:val="24"/>
          <w:szCs w:val="24"/>
          <w:lang w:eastAsia="en-GB"/>
        </w:rPr>
        <w:t xml:space="preserve">: </w:t>
      </w:r>
      <w:r w:rsidRPr="00277E5F">
        <w:rPr>
          <w:rFonts w:ascii="Times New Roman" w:eastAsia="Times New Roman" w:hAnsi="Times New Roman" w:cs="Times New Roman"/>
          <w:color w:val="000000"/>
          <w:sz w:val="24"/>
          <w:szCs w:val="24"/>
          <w:lang w:eastAsia="en-GB"/>
        </w:rPr>
        <w:t xml:space="preserve">The authors have addressed </w:t>
      </w:r>
      <w:proofErr w:type="gramStart"/>
      <w:r w:rsidRPr="00277E5F">
        <w:rPr>
          <w:rFonts w:ascii="Times New Roman" w:eastAsia="Times New Roman" w:hAnsi="Times New Roman" w:cs="Times New Roman"/>
          <w:color w:val="000000"/>
          <w:sz w:val="24"/>
          <w:szCs w:val="24"/>
          <w:lang w:eastAsia="en-GB"/>
        </w:rPr>
        <w:t>all of</w:t>
      </w:r>
      <w:proofErr w:type="gramEnd"/>
      <w:r w:rsidRPr="00277E5F">
        <w:rPr>
          <w:rFonts w:ascii="Times New Roman" w:eastAsia="Times New Roman" w:hAnsi="Times New Roman" w:cs="Times New Roman"/>
          <w:color w:val="000000"/>
          <w:sz w:val="24"/>
          <w:szCs w:val="24"/>
          <w:lang w:eastAsia="en-GB"/>
        </w:rPr>
        <w:t xml:space="preserve"> my concerns. I encourage publication.</w:t>
      </w:r>
    </w:p>
    <w:p w14:paraId="53ACD1F0"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p>
    <w:p w14:paraId="770C503B" w14:textId="77777777" w:rsidR="00277E5F" w:rsidRPr="00277E5F" w:rsidRDefault="00277E5F" w:rsidP="0021375B">
      <w:pPr>
        <w:spacing w:after="200" w:line="360" w:lineRule="auto"/>
        <w:rPr>
          <w:rFonts w:ascii="Times New Roman" w:eastAsia="Times New Roman" w:hAnsi="Times New Roman" w:cs="Times New Roman"/>
          <w:color w:val="000000"/>
          <w:sz w:val="24"/>
          <w:szCs w:val="24"/>
          <w:lang w:eastAsia="en-GB"/>
        </w:rPr>
      </w:pPr>
      <w:r w:rsidRPr="00277E5F">
        <w:rPr>
          <w:rFonts w:ascii="Times New Roman" w:eastAsia="Times New Roman" w:hAnsi="Times New Roman" w:cs="Times New Roman"/>
          <w:b/>
          <w:bCs/>
          <w:color w:val="000000"/>
          <w:sz w:val="24"/>
          <w:szCs w:val="24"/>
          <w:lang w:eastAsia="en-GB"/>
        </w:rPr>
        <w:t>Reviewer 2</w:t>
      </w:r>
      <w:r w:rsidRPr="00277E5F">
        <w:rPr>
          <w:rFonts w:ascii="Times New Roman" w:eastAsia="Times New Roman" w:hAnsi="Times New Roman" w:cs="Times New Roman"/>
          <w:b/>
          <w:bCs/>
          <w:color w:val="000000"/>
          <w:sz w:val="24"/>
          <w:szCs w:val="24"/>
          <w:lang w:eastAsia="en-GB"/>
        </w:rPr>
        <w:t xml:space="preserve">: </w:t>
      </w:r>
      <w:r w:rsidRPr="00277E5F">
        <w:rPr>
          <w:rFonts w:ascii="Times New Roman" w:eastAsia="Times New Roman" w:hAnsi="Times New Roman" w:cs="Times New Roman"/>
          <w:color w:val="000000"/>
          <w:sz w:val="24"/>
          <w:szCs w:val="24"/>
          <w:lang w:eastAsia="en-GB"/>
        </w:rPr>
        <w:t>This revised version adequately recognizes the shortcomings of the study, especially in terms of clinical utility.</w:t>
      </w:r>
    </w:p>
    <w:p w14:paraId="27FEB9E8" w14:textId="2E6EF0A1" w:rsidR="00277E5F" w:rsidRPr="00277E5F" w:rsidRDefault="00277E5F" w:rsidP="0021375B">
      <w:pPr>
        <w:spacing w:after="200" w:line="360" w:lineRule="auto"/>
        <w:rPr>
          <w:rFonts w:ascii="Times New Roman" w:eastAsia="Times New Roman" w:hAnsi="Times New Roman" w:cs="Times New Roman"/>
          <w:sz w:val="24"/>
          <w:szCs w:val="24"/>
          <w:lang w:eastAsia="en-GB"/>
        </w:rPr>
      </w:pPr>
      <w:r w:rsidRPr="00277E5F">
        <w:rPr>
          <w:rFonts w:ascii="Times New Roman" w:eastAsia="Times New Roman" w:hAnsi="Times New Roman" w:cs="Times New Roman"/>
          <w:color w:val="000000"/>
          <w:sz w:val="24"/>
          <w:szCs w:val="24"/>
          <w:lang w:eastAsia="en-GB"/>
        </w:rPr>
        <w:lastRenderedPageBreak/>
        <w:t xml:space="preserve">I still think that the paper would read better if the text addressing the problem of &gt;1 </w:t>
      </w:r>
      <w:proofErr w:type="gramStart"/>
      <w:r w:rsidRPr="00277E5F">
        <w:rPr>
          <w:rFonts w:ascii="Times New Roman" w:eastAsia="Times New Roman" w:hAnsi="Times New Roman" w:cs="Times New Roman"/>
          <w:color w:val="000000"/>
          <w:sz w:val="24"/>
          <w:szCs w:val="24"/>
          <w:lang w:eastAsia="en-GB"/>
        </w:rPr>
        <w:t>variants</w:t>
      </w:r>
      <w:proofErr w:type="gramEnd"/>
      <w:r w:rsidRPr="00277E5F">
        <w:rPr>
          <w:rFonts w:ascii="Times New Roman" w:eastAsia="Times New Roman" w:hAnsi="Times New Roman" w:cs="Times New Roman"/>
          <w:color w:val="000000"/>
          <w:sz w:val="24"/>
          <w:szCs w:val="24"/>
          <w:lang w:eastAsia="en-GB"/>
        </w:rPr>
        <w:t xml:space="preserve"> per clone is moved to Methods, but I leave this to the discretion of the authors and editors. I have no further comments on this submission.</w:t>
      </w:r>
    </w:p>
    <w:p w14:paraId="722ECB53" w14:textId="77777777" w:rsidR="00277E5F" w:rsidRPr="00277E5F" w:rsidRDefault="00277E5F" w:rsidP="0021375B">
      <w:pPr>
        <w:spacing w:after="0" w:line="360" w:lineRule="auto"/>
        <w:rPr>
          <w:rFonts w:ascii="Times New Roman" w:eastAsia="Times New Roman" w:hAnsi="Times New Roman" w:cs="Times New Roman"/>
          <w:sz w:val="24"/>
          <w:szCs w:val="24"/>
          <w:lang w:eastAsia="en-GB"/>
        </w:rPr>
      </w:pPr>
    </w:p>
    <w:p w14:paraId="581E5EED" w14:textId="77777777" w:rsidR="00A61D91" w:rsidRPr="00277E5F" w:rsidRDefault="0021375B" w:rsidP="0021375B">
      <w:pPr>
        <w:spacing w:line="360" w:lineRule="auto"/>
        <w:rPr>
          <w:rFonts w:ascii="Times New Roman" w:hAnsi="Times New Roman" w:cs="Times New Roman"/>
          <w:sz w:val="24"/>
          <w:szCs w:val="24"/>
        </w:rPr>
      </w:pPr>
    </w:p>
    <w:sectPr w:rsidR="00A61D91" w:rsidRPr="00277E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B18AE"/>
    <w:multiLevelType w:val="hybridMultilevel"/>
    <w:tmpl w:val="A4CE00F4"/>
    <w:lvl w:ilvl="0" w:tplc="905239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0A4A81"/>
    <w:multiLevelType w:val="hybridMultilevel"/>
    <w:tmpl w:val="27844C1E"/>
    <w:lvl w:ilvl="0" w:tplc="686EC7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5F"/>
    <w:rsid w:val="000C7287"/>
    <w:rsid w:val="0021375B"/>
    <w:rsid w:val="00277E5F"/>
    <w:rsid w:val="007550BD"/>
    <w:rsid w:val="00826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F520"/>
  <w15:chartTrackingRefBased/>
  <w15:docId w15:val="{0D170712-9D97-4C42-A213-10B2804F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7E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77E5F"/>
    <w:rPr>
      <w:color w:val="0563C1" w:themeColor="hyperlink"/>
      <w:u w:val="single"/>
    </w:rPr>
  </w:style>
  <w:style w:type="paragraph" w:styleId="PlainText">
    <w:name w:val="Plain Text"/>
    <w:basedOn w:val="Normal"/>
    <w:link w:val="PlainTextChar"/>
    <w:uiPriority w:val="99"/>
    <w:unhideWhenUsed/>
    <w:rsid w:val="00277E5F"/>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277E5F"/>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670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6099</Words>
  <Characters>34769</Characters>
  <Application>Microsoft Office Word</Application>
  <DocSecurity>0</DocSecurity>
  <Lines>289</Lines>
  <Paragraphs>81</Paragraphs>
  <ScaleCrop>false</ScaleCrop>
  <Company>Springer Nature</Company>
  <LinksUpToDate>false</LinksUpToDate>
  <CharactersWithSpaces>40787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2</cp:revision>
  <dcterms:created xsi:type="dcterms:W3CDTF">2023-04-10T19:26:00Z</dcterms:created>
  <dcterms:modified xsi:type="dcterms:W3CDTF">2023-04-10T19:54:00Z</dcterms:modified>
</cp:coreProperties>
</file>