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8422640" cy="5524500"/>
            <wp:effectExtent b="0" l="0" r="0" t="0"/>
            <wp:docPr id="27" name="image20.png"/>
            <a:graphic>
              <a:graphicData uri="http://schemas.openxmlformats.org/drawingml/2006/picture">
                <pic:pic>
                  <pic:nvPicPr>
                    <pic:cNvPr id="0" name="image20.png"/>
                    <pic:cNvPicPr preferRelativeResize="0"/>
                  </pic:nvPicPr>
                  <pic:blipFill>
                    <a:blip r:embed="rId7"/>
                    <a:srcRect b="0" l="0" r="2505" t="0"/>
                    <a:stretch>
                      <a:fillRect/>
                    </a:stretch>
                  </pic:blipFill>
                  <pic:spPr>
                    <a:xfrm>
                      <a:off x="0" y="0"/>
                      <a:ext cx="8422640" cy="55245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Fig. S1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number of unique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-mers reported by KrakenUniq is strongly (significantly) correlated with the breadth of coverage computed via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samtools depth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command from SAMtools [29] for each species detected by aMeta in the simulated ancient metagenomic samples.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935" distR="114935" hidden="0" layoutInCell="1" locked="0" relativeHeight="0" simplePos="0">
            <wp:simplePos x="0" y="0"/>
            <wp:positionH relativeFrom="column">
              <wp:posOffset>267335</wp:posOffset>
            </wp:positionH>
            <wp:positionV relativeFrom="paragraph">
              <wp:posOffset>635</wp:posOffset>
            </wp:positionV>
            <wp:extent cx="9212580" cy="4781550"/>
            <wp:effectExtent b="0" l="0" r="0" t="0"/>
            <wp:wrapNone/>
            <wp:docPr id="28" name="image15.png"/>
            <a:graphic>
              <a:graphicData uri="http://schemas.openxmlformats.org/drawingml/2006/picture">
                <pic:pic>
                  <pic:nvPicPr>
                    <pic:cNvPr id="0" name="image15.png"/>
                    <pic:cNvPicPr preferRelativeResize="0"/>
                  </pic:nvPicPr>
                  <pic:blipFill>
                    <a:blip r:embed="rId8"/>
                    <a:srcRect b="-48" l="-17" r="-13" t="-48"/>
                    <a:stretch>
                      <a:fillRect/>
                    </a:stretch>
                  </pic:blipFill>
                  <pic:spPr>
                    <a:xfrm>
                      <a:off x="0" y="0"/>
                      <a:ext cx="9212580" cy="4781550"/>
                    </a:xfrm>
                    <a:prstGeom prst="rect"/>
                    <a:ln/>
                  </pic:spPr>
                </pic:pic>
              </a:graphicData>
            </a:graphic>
          </wp:anchor>
        </w:drawing>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Fig. S2.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Visualization of false-positive alignments of modern metagenomic reads to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Yersinia pestis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reference genome in IGV [30]. Metagenomic reads from a stool sample taken from a modern infant (who unlikely had a plague) were mapped against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 pestis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CO92 reference genome alone, which resulted in a number of reads aligned unevenly to regions conserved across bacterial organisms.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8865235" cy="5878195"/>
            <wp:effectExtent b="0" l="0" r="0" t="0"/>
            <wp:docPr id="29" name="image19.png"/>
            <a:graphic>
              <a:graphicData uri="http://schemas.openxmlformats.org/drawingml/2006/picture">
                <pic:pic>
                  <pic:nvPicPr>
                    <pic:cNvPr id="0" name="image19.png"/>
                    <pic:cNvPicPr preferRelativeResize="0"/>
                  </pic:nvPicPr>
                  <pic:blipFill>
                    <a:blip r:embed="rId9"/>
                    <a:srcRect b="0" l="0" r="0" t="0"/>
                    <a:stretch>
                      <a:fillRect/>
                    </a:stretch>
                  </pic:blipFill>
                  <pic:spPr>
                    <a:xfrm>
                      <a:off x="0" y="0"/>
                      <a:ext cx="8865235" cy="5878195"/>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Fig. S3.</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Authentication output from aMeta for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Yersinia pestis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found in Gökhem 4 (Gok4) individual [5].</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8651240" cy="5800725"/>
            <wp:effectExtent b="0" l="0" r="0" t="0"/>
            <wp:docPr id="32" name="image16.png"/>
            <a:graphic>
              <a:graphicData uri="http://schemas.openxmlformats.org/drawingml/2006/picture">
                <pic:pic>
                  <pic:nvPicPr>
                    <pic:cNvPr id="0" name="image16.png"/>
                    <pic:cNvPicPr preferRelativeResize="0"/>
                  </pic:nvPicPr>
                  <pic:blipFill>
                    <a:blip r:embed="rId10"/>
                    <a:srcRect b="3578" l="0" r="1598" t="3114"/>
                    <a:stretch>
                      <a:fillRect/>
                    </a:stretch>
                  </pic:blipFill>
                  <pic:spPr>
                    <a:xfrm>
                      <a:off x="0" y="0"/>
                      <a:ext cx="8651240" cy="5800725"/>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pgSz w:h="11906" w:w="16838" w:orient="landscape"/>
          <w:pgMar w:bottom="1134" w:top="1134" w:left="1134" w:right="1134" w:header="0" w:footer="0"/>
          <w:pgNumType w:start="1"/>
        </w:sectPr>
      </w:pPr>
      <w:r w:rsidDel="00000000" w:rsidR="00000000" w:rsidRPr="00000000">
        <w:rPr>
          <w:rFonts w:ascii="Times New Roman" w:cs="Times New Roman" w:eastAsia="Times New Roman" w:hAnsi="Times New Roman"/>
          <w:b w:val="1"/>
          <w:rtl w:val="0"/>
        </w:rPr>
        <w:t xml:space="preserve">Fig. S4.</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Heatmap overview of authentication scores produced by aMeta for each detected microbe in each simulated sample.</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7609205" cy="5561330"/>
            <wp:effectExtent b="0" l="0" r="0" t="0"/>
            <wp:docPr id="30"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7609205" cy="556133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Fig. S5.</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Heatmap of ground truth microbial abundance in each simulated sample. The elements of the matrix correspond to the simulated fractions of microbes per metagenomic sample. Human reads are ignored.</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7805420" cy="5694680"/>
            <wp:effectExtent b="0" l="0" r="0" t="0"/>
            <wp:docPr id="35" name="image13.png"/>
            <a:graphic>
              <a:graphicData uri="http://schemas.openxmlformats.org/drawingml/2006/picture">
                <pic:pic>
                  <pic:nvPicPr>
                    <pic:cNvPr id="0" name="image13.png"/>
                    <pic:cNvPicPr preferRelativeResize="0"/>
                  </pic:nvPicPr>
                  <pic:blipFill>
                    <a:blip r:embed="rId12"/>
                    <a:srcRect b="0" l="0" r="0" t="0"/>
                    <a:stretch>
                      <a:fillRect/>
                    </a:stretch>
                  </pic:blipFill>
                  <pic:spPr>
                    <a:xfrm>
                      <a:off x="0" y="0"/>
                      <a:ext cx="7805420" cy="569468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Fig. S6.</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Heatmap of binarized (0 – absent, 1 – present) ground truth microbial abundance in each simulated sample.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8051165" cy="5876925"/>
            <wp:effectExtent b="0" l="0" r="0" t="0"/>
            <wp:docPr id="33"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8051165" cy="5876925"/>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Fig. S7.</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Heatmap of binarized (0 – absent, 1 – present) microbial abundance reconstructed by aMeta in simulated samples.</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8041005" cy="5879465"/>
            <wp:effectExtent b="0" l="0" r="0" t="0"/>
            <wp:docPr id="38" name="image18.png"/>
            <a:graphic>
              <a:graphicData uri="http://schemas.openxmlformats.org/drawingml/2006/picture">
                <pic:pic>
                  <pic:nvPicPr>
                    <pic:cNvPr id="0" name="image18.png"/>
                    <pic:cNvPicPr preferRelativeResize="0"/>
                  </pic:nvPicPr>
                  <pic:blipFill>
                    <a:blip r:embed="rId14"/>
                    <a:srcRect b="0" l="0" r="0" t="0"/>
                    <a:stretch>
                      <a:fillRect/>
                    </a:stretch>
                  </pic:blipFill>
                  <pic:spPr>
                    <a:xfrm>
                      <a:off x="0" y="0"/>
                      <a:ext cx="8041005" cy="5879465"/>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Fig. S8.</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Heatmap of binarized (0 – absent, 1 – present) microbial abundance reconstructed by HOPS in simulated samples.</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9251950" cy="3683000"/>
            <wp:effectExtent b="0" l="0" r="0" t="0"/>
            <wp:docPr id="36"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9251950" cy="36830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Fig. S9.</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Confusion matrix of microbial reconstruction by aMeta and HOPS: 0 – microbe absent, 1 – microbe present. The accuracy of microbial detection with aMeta is 80%, left panel, and the accuracy of microbial detection with HOPS is 69%, right panel.</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9251950" cy="4559300"/>
            <wp:effectExtent b="0" l="0" r="0" t="0"/>
            <wp:docPr id="42" name="image10.png"/>
            <a:graphic>
              <a:graphicData uri="http://schemas.openxmlformats.org/drawingml/2006/picture">
                <pic:pic>
                  <pic:nvPicPr>
                    <pic:cNvPr id="0" name="image10.png"/>
                    <pic:cNvPicPr preferRelativeResize="0"/>
                  </pic:nvPicPr>
                  <pic:blipFill>
                    <a:blip r:embed="rId16"/>
                    <a:srcRect b="0" l="0" r="0" t="0"/>
                    <a:stretch>
                      <a:fillRect/>
                    </a:stretch>
                  </pic:blipFill>
                  <pic:spPr>
                    <a:xfrm>
                      <a:off x="0" y="0"/>
                      <a:ext cx="9251950" cy="4559300"/>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Fig. S10.</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Microbial reconstruction accuracy (A), as well as false-positive (B), and false-negative C), counts computed in simulated samples by aMeta and HOPS. aMeta demonstrates consistently higher accuracy and lower numbers of false-positive and false-negative counts compared to HOPS in a wide range of read number thresholds varying from 0 to 800 assigned reads.</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9171940" cy="5359400"/>
            <wp:effectExtent b="0" l="0" r="0" t="0"/>
            <wp:docPr id="39"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9171940" cy="535940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rtl w:val="0"/>
        </w:rPr>
        <w:t xml:space="preserve">Fig. S11.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Comparison of simulated and reconstructed read counts for aMeta / KrakenUniq (A), and HOPS (B). Horizontal dashed lines mark a reasonable read count threshold (~100-300 reads) that can be applied to KrakenUniq and HOPS abundance matrices. The axes of the plot are log10-scaled. HOPS demonstrates a higher dropout, i.e. </w:t>
      </w:r>
      <w:r w:rsidDel="00000000" w:rsidR="00000000" w:rsidRPr="00000000">
        <w:rPr>
          <w:rFonts w:ascii="Times New Roman" w:cs="Times New Roman" w:eastAsia="Times New Roman" w:hAnsi="Times New Roman"/>
          <w:b w:val="0"/>
          <w:i w:val="0"/>
          <w:smallCaps w:val="0"/>
          <w:strike w:val="0"/>
          <w:color w:val="1d1c1d"/>
          <w:sz w:val="24"/>
          <w:szCs w:val="24"/>
          <w:u w:val="none"/>
          <w:shd w:fill="auto" w:val="clear"/>
          <w:vertAlign w:val="baseline"/>
          <w:rtl w:val="0"/>
        </w:rPr>
        <w:t xml:space="preserve">high false-positive and false-negative counts, and poorer correlation with the ground truth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1668145</wp:posOffset>
            </wp:positionH>
            <wp:positionV relativeFrom="paragraph">
              <wp:posOffset>-104139</wp:posOffset>
            </wp:positionV>
            <wp:extent cx="6785610" cy="5418455"/>
            <wp:effectExtent b="0" l="0" r="0" t="0"/>
            <wp:wrapSquare wrapText="bothSides" distB="0" distT="0" distL="0" distR="0"/>
            <wp:docPr id="26" name="image11.png"/>
            <a:graphic>
              <a:graphicData uri="http://schemas.openxmlformats.org/drawingml/2006/picture">
                <pic:pic>
                  <pic:nvPicPr>
                    <pic:cNvPr id="0" name="image11.png"/>
                    <pic:cNvPicPr preferRelativeResize="0"/>
                  </pic:nvPicPr>
                  <pic:blipFill>
                    <a:blip r:embed="rId18"/>
                    <a:srcRect b="4425" l="1897" r="1207" t="6355"/>
                    <a:stretch>
                      <a:fillRect/>
                    </a:stretch>
                  </pic:blipFill>
                  <pic:spPr>
                    <a:xfrm>
                      <a:off x="0" y="0"/>
                      <a:ext cx="6785610" cy="5418455"/>
                    </a:xfrm>
                    <a:prstGeom prst="rect"/>
                    <a:ln/>
                  </pic:spPr>
                </pic:pic>
              </a:graphicData>
            </a:graphic>
          </wp:anchor>
        </w:drawing>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Fig. S12.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Heatmap of HOPS authentication scores that shows different levels of confidence of ancient microbial presence in simulated data.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Rhodopseudomonas palustris,  Rhodococcus hoagii,  Lactococcus lactis,  Brevibacterium aurantiacum, Burkholderia mallei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were simulated modern, while the other species on the y-axis of the heatmap were simulated ancient.</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1821179</wp:posOffset>
            </wp:positionH>
            <wp:positionV relativeFrom="paragraph">
              <wp:posOffset>635</wp:posOffset>
            </wp:positionV>
            <wp:extent cx="5610225" cy="5707380"/>
            <wp:effectExtent b="0" l="0" r="0" t="0"/>
            <wp:wrapSquare wrapText="bothSides" distB="0" distT="0" distL="0" distR="0"/>
            <wp:docPr id="34" name="image5.png"/>
            <a:graphic>
              <a:graphicData uri="http://schemas.openxmlformats.org/drawingml/2006/picture">
                <pic:pic>
                  <pic:nvPicPr>
                    <pic:cNvPr id="0" name="image5.png"/>
                    <pic:cNvPicPr preferRelativeResize="0"/>
                  </pic:nvPicPr>
                  <pic:blipFill>
                    <a:blip r:embed="rId19"/>
                    <a:srcRect b="0" l="0" r="0" t="0"/>
                    <a:stretch>
                      <a:fillRect/>
                    </a:stretch>
                  </pic:blipFill>
                  <pic:spPr>
                    <a:xfrm>
                      <a:off x="0" y="0"/>
                      <a:ext cx="5610225" cy="5707380"/>
                    </a:xfrm>
                    <a:prstGeom prst="rect"/>
                    <a:ln/>
                  </pic:spPr>
                </pic:pic>
              </a:graphicData>
            </a:graphic>
          </wp:anchor>
        </w:drawing>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1"/>
          <w:rtl w:val="0"/>
        </w:rPr>
        <w:t xml:space="preserve">Fig. S13.</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Authentication output from HOPS for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Salmonella enterica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that was simulated to be ancient in sample 10.</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8055610" cy="5708015"/>
            <wp:effectExtent b="0" l="0" r="0" t="0"/>
            <wp:docPr id="43"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8055610" cy="5708015"/>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Fig. S14.</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Authentication output from aMeta for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Salmonella enterica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that was simulated to be ancient in sample 10.</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8140065" cy="5704840"/>
            <wp:effectExtent b="0" l="0" r="0" t="0"/>
            <wp:docPr id="44"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8140065" cy="5704840"/>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Fig. S15.</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Replication of the decreasing profile, observed in Figure 9, for the number of (misaligned) reads mapped uniquely to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Y.pestis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 the case of sampling random bacteria from the Microbial NCBI NT database.</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1047750</wp:posOffset>
            </wp:positionH>
            <wp:positionV relativeFrom="paragraph">
              <wp:posOffset>635</wp:posOffset>
            </wp:positionV>
            <wp:extent cx="7534275" cy="5294630"/>
            <wp:effectExtent b="0" l="0" r="0" t="0"/>
            <wp:wrapSquare wrapText="bothSides" distB="0" distT="0" distL="0" distR="0"/>
            <wp:docPr id="25" name="image17.png"/>
            <a:graphic>
              <a:graphicData uri="http://schemas.openxmlformats.org/drawingml/2006/picture">
                <pic:pic>
                  <pic:nvPicPr>
                    <pic:cNvPr id="0" name="image17.png"/>
                    <pic:cNvPicPr preferRelativeResize="0"/>
                  </pic:nvPicPr>
                  <pic:blipFill>
                    <a:blip r:embed="rId22"/>
                    <a:srcRect b="0" l="0" r="0" t="0"/>
                    <a:stretch>
                      <a:fillRect/>
                    </a:stretch>
                  </pic:blipFill>
                  <pic:spPr>
                    <a:xfrm>
                      <a:off x="0" y="0"/>
                      <a:ext cx="7534275" cy="5294630"/>
                    </a:xfrm>
                    <a:prstGeom prst="rect"/>
                    <a:ln/>
                  </pic:spPr>
                </pic:pic>
              </a:graphicData>
            </a:graphic>
          </wp:anchor>
        </w:drawing>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Fig. S16.</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Benchmarking KrakenUniq memory requirements for version 0.5.8 and low-memory version 0.7.3. The database used was ~450 GB in size and could only be fit into a 512 GB memory computer node when using the version 0.5.8. However, database chunking implemented in v0.7.3 allowed processing the same data on 128 GB RAM computer node, and nearly 10 times faster.</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7478395" cy="5662295"/>
            <wp:effectExtent b="0" l="0" r="0" t="0"/>
            <wp:docPr id="45" name="image21.png"/>
            <a:graphic>
              <a:graphicData uri="http://schemas.openxmlformats.org/drawingml/2006/picture">
                <pic:pic>
                  <pic:nvPicPr>
                    <pic:cNvPr id="0" name="image21.png"/>
                    <pic:cNvPicPr preferRelativeResize="0"/>
                  </pic:nvPicPr>
                  <pic:blipFill>
                    <a:blip r:embed="rId23"/>
                    <a:srcRect b="0" l="0" r="0" t="0"/>
                    <a:stretch>
                      <a:fillRect/>
                    </a:stretch>
                  </pic:blipFill>
                  <pic:spPr>
                    <a:xfrm>
                      <a:off x="0" y="0"/>
                      <a:ext cx="7478395" cy="5662295"/>
                    </a:xfrm>
                    <a:prstGeom prst="rect"/>
                    <a:ln/>
                  </pic:spPr>
                </pic:pic>
              </a:graphicData>
            </a:graphic>
          </wp:inline>
        </w:drawing>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1"/>
          <w:rtl w:val="0"/>
        </w:rPr>
        <w:t xml:space="preserve">Fig. S17.</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Rule-graph (DAG) of a typical project run via the aMeta workflow.</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8555990" cy="5801995"/>
            <wp:effectExtent b="0" l="0" r="0" t="0"/>
            <wp:docPr id="46" name="image23.png"/>
            <a:graphic>
              <a:graphicData uri="http://schemas.openxmlformats.org/drawingml/2006/picture">
                <pic:pic>
                  <pic:nvPicPr>
                    <pic:cNvPr id="0" name="image23.png"/>
                    <pic:cNvPicPr preferRelativeResize="0"/>
                  </pic:nvPicPr>
                  <pic:blipFill>
                    <a:blip r:embed="rId24"/>
                    <a:srcRect b="0" l="0" r="0" t="0"/>
                    <a:stretch>
                      <a:fillRect/>
                    </a:stretch>
                  </pic:blipFill>
                  <pic:spPr>
                    <a:xfrm>
                      <a:off x="0" y="0"/>
                      <a:ext cx="8555990" cy="5801995"/>
                    </a:xfrm>
                    <a:prstGeom prst="rect"/>
                    <a:ln/>
                  </pic:spPr>
                </pic:pic>
              </a:graphicData>
            </a:graphic>
          </wp:inline>
        </w:drawing>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Fig. S18.</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Heatmap demonstrating ground truth microbial abundance in simulated pathogen-enriched dataset.</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8479155" cy="5810885"/>
            <wp:effectExtent b="0" l="0" r="0" t="0"/>
            <wp:docPr id="47" name="image22.png"/>
            <a:graphic>
              <a:graphicData uri="http://schemas.openxmlformats.org/drawingml/2006/picture">
                <pic:pic>
                  <pic:nvPicPr>
                    <pic:cNvPr id="0" name="image22.png"/>
                    <pic:cNvPicPr preferRelativeResize="0"/>
                  </pic:nvPicPr>
                  <pic:blipFill>
                    <a:blip r:embed="rId25"/>
                    <a:srcRect b="3577" l="0" r="2637" t="2094"/>
                    <a:stretch>
                      <a:fillRect/>
                    </a:stretch>
                  </pic:blipFill>
                  <pic:spPr>
                    <a:xfrm>
                      <a:off x="0" y="0"/>
                      <a:ext cx="8479155" cy="5810885"/>
                    </a:xfrm>
                    <a:prstGeom prst="rect"/>
                    <a:ln/>
                  </pic:spPr>
                </pic:pic>
              </a:graphicData>
            </a:graphic>
          </wp:inline>
        </w:drawing>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Fig. S19.</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Authentication heatmap overview of aMeta for simulated pathogen-enriched ancient metagenomic dataset.</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7343775" cy="5520690"/>
            <wp:effectExtent b="0" l="0" r="0" t="0"/>
            <wp:docPr id="48" name="image24.png"/>
            <a:graphic>
              <a:graphicData uri="http://schemas.openxmlformats.org/drawingml/2006/picture">
                <pic:pic>
                  <pic:nvPicPr>
                    <pic:cNvPr id="0" name="image24.png"/>
                    <pic:cNvPicPr preferRelativeResize="0"/>
                  </pic:nvPicPr>
                  <pic:blipFill>
                    <a:blip r:embed="rId26"/>
                    <a:srcRect b="3852" l="6138" r="0" t="11266"/>
                    <a:stretch>
                      <a:fillRect/>
                    </a:stretch>
                  </pic:blipFill>
                  <pic:spPr>
                    <a:xfrm>
                      <a:off x="0" y="0"/>
                      <a:ext cx="7343775" cy="5520690"/>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Fig. S20.</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Authentication heatmap overview of HOPS for the simulated pathogen-enriched ancient metagenomic dataset. </w:t>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8533130" cy="5685790"/>
            <wp:effectExtent b="0" l="0" r="0" t="0"/>
            <wp:docPr id="37" name="image14.png"/>
            <a:graphic>
              <a:graphicData uri="http://schemas.openxmlformats.org/drawingml/2006/picture">
                <pic:pic>
                  <pic:nvPicPr>
                    <pic:cNvPr id="0" name="image14.png"/>
                    <pic:cNvPicPr preferRelativeResize="0"/>
                  </pic:nvPicPr>
                  <pic:blipFill>
                    <a:blip r:embed="rId27"/>
                    <a:srcRect b="3768" l="0" r="0" t="2055"/>
                    <a:stretch>
                      <a:fillRect/>
                    </a:stretch>
                  </pic:blipFill>
                  <pic:spPr>
                    <a:xfrm>
                      <a:off x="0" y="0"/>
                      <a:ext cx="8533130" cy="5685790"/>
                    </a:xfrm>
                    <a:prstGeom prst="rect"/>
                    <a:ln/>
                  </pic:spPr>
                </pic:pic>
              </a:graphicData>
            </a:graphic>
          </wp:inline>
        </w:drawing>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rtl w:val="0"/>
        </w:rPr>
        <w:t xml:space="preserve">Fig. S21.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Authentication plot produced by aMeta for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Plasmodium vivax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 eukaryotic pathogen correctly detected in sample 6 of the simulated pathogen-enriched ancient metagenomic dataset.</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7860030" cy="5880735"/>
            <wp:effectExtent b="0" l="0" r="0" t="0"/>
            <wp:docPr id="40" name="image7.png"/>
            <a:graphic>
              <a:graphicData uri="http://schemas.openxmlformats.org/drawingml/2006/picture">
                <pic:pic>
                  <pic:nvPicPr>
                    <pic:cNvPr id="0" name="image7.png"/>
                    <pic:cNvPicPr preferRelativeResize="0"/>
                  </pic:nvPicPr>
                  <pic:blipFill>
                    <a:blip r:embed="rId28"/>
                    <a:srcRect b="23267" l="0" r="0" t="2079"/>
                    <a:stretch>
                      <a:fillRect/>
                    </a:stretch>
                  </pic:blipFill>
                  <pic:spPr>
                    <a:xfrm>
                      <a:off x="0" y="0"/>
                      <a:ext cx="7860030" cy="5880735"/>
                    </a:xfrm>
                    <a:prstGeom prst="rect"/>
                    <a:ln/>
                  </pic:spPr>
                </pic:pic>
              </a:graphicData>
            </a:graphic>
          </wp:inline>
        </w:drawing>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1" w:id="1"/>
      <w:bookmarkEnd w:id="1"/>
      <w:r w:rsidDel="00000000" w:rsidR="00000000" w:rsidRPr="00000000">
        <w:rPr>
          <w:rFonts w:ascii="Times New Roman" w:cs="Times New Roman" w:eastAsia="Times New Roman" w:hAnsi="Times New Roman"/>
          <w:b w:val="1"/>
          <w:rtl w:val="0"/>
        </w:rPr>
        <w:t xml:space="preserve">Fig. S22.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Authentication output from HOPS for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Variola virus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detected for sample 5 from the simulated pathogen-enriched dataset.</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mykftl8ct5jc" w:id="2"/>
      <w:bookmarkEnd w:id="2"/>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Pr>
        <w:drawing>
          <wp:inline distB="0" distT="0" distL="0" distR="0">
            <wp:extent cx="9081135" cy="4953000"/>
            <wp:effectExtent b="0" l="0" r="0" t="0"/>
            <wp:docPr id="41" name="image12.png"/>
            <a:graphic>
              <a:graphicData uri="http://schemas.openxmlformats.org/drawingml/2006/picture">
                <pic:pic>
                  <pic:nvPicPr>
                    <pic:cNvPr id="0" name="image12.png"/>
                    <pic:cNvPicPr preferRelativeResize="0"/>
                  </pic:nvPicPr>
                  <pic:blipFill>
                    <a:blip r:embed="rId29"/>
                    <a:srcRect b="0" l="0" r="1806" t="0"/>
                    <a:stretch>
                      <a:fillRect/>
                    </a:stretch>
                  </pic:blipFill>
                  <pic:spPr>
                    <a:xfrm>
                      <a:off x="0" y="0"/>
                      <a:ext cx="9081135" cy="4953000"/>
                    </a:xfrm>
                    <a:prstGeom prst="rect"/>
                    <a:ln/>
                  </pic:spPr>
                </pic:pic>
              </a:graphicData>
            </a:graphic>
          </wp:inline>
        </w:drawing>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wrmyw4z3670l" w:id="3"/>
      <w:bookmarkEnd w:id="3"/>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bookmarkStart w:colFirst="0" w:colLast="0" w:name="_heading=h.gjdgxs2" w:id="4"/>
      <w:bookmarkEnd w:id="4"/>
      <w:r w:rsidDel="00000000" w:rsidR="00000000" w:rsidRPr="00000000">
        <w:rPr>
          <w:rFonts w:ascii="Times New Roman" w:cs="Times New Roman" w:eastAsia="Times New Roman" w:hAnsi="Times New Roman"/>
          <w:b w:val="1"/>
          <w:rtl w:val="0"/>
        </w:rPr>
        <w:t xml:space="preserve">Fig. S23.</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Number of assigned pathogenic reads by A) aMeta, and B) HOPS on simulated low-coverage pathogen-enriched data. The total number of simulated microbial reads varied between 100 000 and 300 000 across the samples. Horizontal dashed lines mark a reasonable read count threshold (~100-300 reads) that can be applied to KrakenUniq and HOPS abundance matrices.</w:t>
      </w: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s449np552c40" w:id="5"/>
      <w:bookmarkEnd w:id="5"/>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8vhjhpfyvorm" w:id="6"/>
      <w:bookmarkEnd w:id="6"/>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heading=h.sff6h3alrml5" w:id="7"/>
      <w:bookmarkEnd w:id="7"/>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360045</wp:posOffset>
            </wp:positionH>
            <wp:positionV relativeFrom="paragraph">
              <wp:posOffset>116204</wp:posOffset>
            </wp:positionV>
            <wp:extent cx="8903335" cy="4982210"/>
            <wp:effectExtent b="0" l="0" r="0" t="0"/>
            <wp:wrapTopAndBottom distB="0" distT="0"/>
            <wp:docPr id="31" name="image6.png"/>
            <a:graphic>
              <a:graphicData uri="http://schemas.openxmlformats.org/drawingml/2006/picture">
                <pic:pic>
                  <pic:nvPicPr>
                    <pic:cNvPr id="0" name="image6.png"/>
                    <pic:cNvPicPr preferRelativeResize="0"/>
                  </pic:nvPicPr>
                  <pic:blipFill>
                    <a:blip r:embed="rId30"/>
                    <a:srcRect b="1583" l="0" r="1662" t="2185"/>
                    <a:stretch>
                      <a:fillRect/>
                    </a:stretch>
                  </pic:blipFill>
                  <pic:spPr>
                    <a:xfrm>
                      <a:off x="0" y="0"/>
                      <a:ext cx="8903335" cy="4982210"/>
                    </a:xfrm>
                    <a:prstGeom prst="rect"/>
                    <a:ln/>
                  </pic:spPr>
                </pic:pic>
              </a:graphicData>
            </a:graphic>
          </wp:anchor>
        </w:drawing>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bookmarkStart w:colFirst="0" w:colLast="0" w:name="_heading=h.gjdgxs3" w:id="8"/>
      <w:bookmarkEnd w:id="8"/>
      <w:r w:rsidDel="00000000" w:rsidR="00000000" w:rsidRPr="00000000">
        <w:rPr>
          <w:rFonts w:ascii="Times New Roman" w:cs="Times New Roman" w:eastAsia="Times New Roman" w:hAnsi="Times New Roman"/>
          <w:b w:val="1"/>
          <w:rtl w:val="0"/>
        </w:rPr>
        <w:t xml:space="preserve">Fig. S24.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Sensitivity analysis of aMeta with respect to filtering by A) depth (number of assigned reads), and B) breadth of coverage (number of unique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-mers) performed on 36 libraries with at least one microbial pathogen reported previously by 4 ancient metagenomic studies [54-57]. The horizontal dashed lines mark default aMeta thresholds: 200 assigned reads and 1000 unique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-mers. </w:t>
      </w:r>
      <w:r w:rsidDel="00000000" w:rsidR="00000000" w:rsidRPr="00000000">
        <w:rPr>
          <w:rtl w:val="0"/>
        </w:rPr>
      </w:r>
    </w:p>
    <w:sectPr>
      <w:type w:val="nextPage"/>
      <w:pgSz w:h="11906" w:w="16838" w:orient="landscape"/>
      <w:pgMar w:bottom="1134" w:top="1134" w:left="1134" w:right="1134"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Liberation Serif" w:cs="Liberation Serif" w:eastAsia="Liberation Serif" w:hAnsi="Liberation Serif"/>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Liberation Serif" w:cs="Liberation Serif" w:eastAsia="Liberation Serif" w:hAnsi="Liberation Serif"/>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Liberation Serif" w:cs="Liberation Serif" w:eastAsia="Liberation Serif" w:hAnsi="Liberation Serif"/>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Liberation Serif" w:cs="Liberation Serif" w:eastAsia="Liberation Serif" w:hAnsi="Liberation Serif"/>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Liberation Serif" w:cs="Liberation Serif" w:eastAsia="Liberation Serif" w:hAnsi="Liberation Serif"/>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Liberation Serif" w:cs="Liberation Serif" w:eastAsia="Liberation Serif" w:hAnsi="Liberation Serif"/>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Liberation Serif" w:cs="Liberation Serif" w:eastAsia="Liberation Serif" w:hAnsi="Liberation Serif"/>
      <w:b w:val="1"/>
      <w:i w:val="0"/>
      <w:smallCaps w:val="0"/>
      <w:strike w:val="0"/>
      <w:color w:val="000000"/>
      <w:sz w:val="72"/>
      <w:szCs w:val="72"/>
      <w:u w:val="none"/>
      <w:shd w:fill="auto" w:val="clear"/>
      <w:vertAlign w:val="baseline"/>
    </w:rPr>
  </w:style>
  <w:style w:type="paragraph" w:styleId="Normal">
    <w:name w:val="Normal"/>
    <w:qFormat w:val="1"/>
    <w:pPr>
      <w:widowControl w:val="1"/>
      <w:bidi w:val="0"/>
      <w:jc w:val="left"/>
    </w:pPr>
    <w:rPr>
      <w:rFonts w:ascii="Liberation Serif" w:cs="Lohit Devanagari" w:eastAsia="Noto Sans CJK SC" w:hAnsi="Liberation Serif"/>
      <w:color w:val="auto"/>
      <w:kern w:val="2"/>
      <w:sz w:val="24"/>
      <w:szCs w:val="24"/>
      <w:lang w:bidi="hi-IN" w:eastAsia="zh-CN" w:val="en-US"/>
    </w:rPr>
  </w:style>
  <w:style w:type="paragraph" w:styleId="Heading1">
    <w:name w:val="Heading 1"/>
    <w:basedOn w:val="Normal"/>
    <w:next w:val="Normal"/>
    <w:qFormat w:val="1"/>
    <w:pPr>
      <w:keepNext w:val="1"/>
      <w:keepLines w:val="1"/>
      <w:pageBreakBefore w:val="0"/>
      <w:widowControl w:val="0"/>
      <w:bidi w:val="0"/>
      <w:spacing w:after="120" w:before="480" w:line="240" w:lineRule="auto"/>
      <w:jc w:val="left"/>
    </w:pPr>
    <w:rPr>
      <w:rFonts w:ascii="Liberation Serif" w:cs="Liberation Serif" w:eastAsia="Liberation Serif" w:hAnsi="Liberation Serif"/>
      <w:b w:val="1"/>
      <w:color w:val="auto"/>
      <w:kern w:val="0"/>
      <w:sz w:val="48"/>
      <w:szCs w:val="48"/>
      <w:lang w:bidi="hi-IN" w:eastAsia="zh-CN" w:val="en-US"/>
    </w:rPr>
  </w:style>
  <w:style w:type="paragraph" w:styleId="Heading2">
    <w:name w:val="Heading 2"/>
    <w:basedOn w:val="Normal"/>
    <w:next w:val="Normal"/>
    <w:qFormat w:val="1"/>
    <w:pPr>
      <w:keepNext w:val="1"/>
      <w:keepLines w:val="1"/>
      <w:pageBreakBefore w:val="0"/>
      <w:widowControl w:val="0"/>
      <w:bidi w:val="0"/>
      <w:spacing w:after="80" w:before="360" w:line="240" w:lineRule="auto"/>
      <w:jc w:val="left"/>
    </w:pPr>
    <w:rPr>
      <w:rFonts w:ascii="Liberation Serif" w:cs="Liberation Serif" w:eastAsia="Liberation Serif" w:hAnsi="Liberation Serif"/>
      <w:b w:val="1"/>
      <w:color w:val="auto"/>
      <w:kern w:val="0"/>
      <w:sz w:val="36"/>
      <w:szCs w:val="36"/>
      <w:lang w:bidi="hi-IN" w:eastAsia="zh-CN" w:val="en-US"/>
    </w:rPr>
  </w:style>
  <w:style w:type="paragraph" w:styleId="Heading3">
    <w:name w:val="Heading 3"/>
    <w:basedOn w:val="Normal"/>
    <w:next w:val="Normal"/>
    <w:qFormat w:val="1"/>
    <w:pPr>
      <w:keepNext w:val="1"/>
      <w:keepLines w:val="1"/>
      <w:pageBreakBefore w:val="0"/>
      <w:widowControl w:val="0"/>
      <w:bidi w:val="0"/>
      <w:spacing w:after="80" w:before="280" w:line="240" w:lineRule="auto"/>
      <w:jc w:val="left"/>
    </w:pPr>
    <w:rPr>
      <w:rFonts w:ascii="Liberation Serif" w:cs="Liberation Serif" w:eastAsia="Liberation Serif" w:hAnsi="Liberation Serif"/>
      <w:b w:val="1"/>
      <w:color w:val="auto"/>
      <w:kern w:val="0"/>
      <w:sz w:val="28"/>
      <w:szCs w:val="28"/>
      <w:lang w:bidi="hi-IN" w:eastAsia="zh-CN" w:val="en-US"/>
    </w:rPr>
  </w:style>
  <w:style w:type="paragraph" w:styleId="Heading4">
    <w:name w:val="Heading 4"/>
    <w:basedOn w:val="Normal"/>
    <w:next w:val="Normal"/>
    <w:qFormat w:val="1"/>
    <w:pPr>
      <w:keepNext w:val="1"/>
      <w:keepLines w:val="1"/>
      <w:pageBreakBefore w:val="0"/>
      <w:widowControl w:val="0"/>
      <w:bidi w:val="0"/>
      <w:spacing w:after="40" w:before="240" w:line="240" w:lineRule="auto"/>
      <w:jc w:val="left"/>
    </w:pPr>
    <w:rPr>
      <w:rFonts w:ascii="Liberation Serif" w:cs="Liberation Serif" w:eastAsia="Liberation Serif" w:hAnsi="Liberation Serif"/>
      <w:b w:val="1"/>
      <w:color w:val="auto"/>
      <w:kern w:val="0"/>
      <w:sz w:val="24"/>
      <w:szCs w:val="24"/>
      <w:lang w:bidi="hi-IN" w:eastAsia="zh-CN" w:val="en-US"/>
    </w:rPr>
  </w:style>
  <w:style w:type="paragraph" w:styleId="Heading5">
    <w:name w:val="Heading 5"/>
    <w:basedOn w:val="Normal"/>
    <w:next w:val="Normal"/>
    <w:qFormat w:val="1"/>
    <w:pPr>
      <w:keepNext w:val="1"/>
      <w:keepLines w:val="1"/>
      <w:pageBreakBefore w:val="0"/>
      <w:widowControl w:val="0"/>
      <w:bidi w:val="0"/>
      <w:spacing w:after="40" w:before="220" w:line="240" w:lineRule="auto"/>
      <w:jc w:val="left"/>
    </w:pPr>
    <w:rPr>
      <w:rFonts w:ascii="Liberation Serif" w:cs="Liberation Serif" w:eastAsia="Liberation Serif" w:hAnsi="Liberation Serif"/>
      <w:b w:val="1"/>
      <w:color w:val="auto"/>
      <w:kern w:val="0"/>
      <w:sz w:val="22"/>
      <w:szCs w:val="22"/>
      <w:lang w:bidi="hi-IN" w:eastAsia="zh-CN" w:val="en-US"/>
    </w:rPr>
  </w:style>
  <w:style w:type="paragraph" w:styleId="Heading6">
    <w:name w:val="Heading 6"/>
    <w:basedOn w:val="Normal"/>
    <w:next w:val="Normal"/>
    <w:qFormat w:val="1"/>
    <w:pPr>
      <w:keepNext w:val="1"/>
      <w:keepLines w:val="1"/>
      <w:pageBreakBefore w:val="0"/>
      <w:widowControl w:val="0"/>
      <w:bidi w:val="0"/>
      <w:spacing w:after="40" w:before="200" w:line="240" w:lineRule="auto"/>
      <w:jc w:val="left"/>
    </w:pPr>
    <w:rPr>
      <w:rFonts w:ascii="Liberation Serif" w:cs="Liberation Serif" w:eastAsia="Liberation Serif" w:hAnsi="Liberation Serif"/>
      <w:b w:val="1"/>
      <w:color w:val="auto"/>
      <w:kern w:val="0"/>
      <w:sz w:val="20"/>
      <w:szCs w:val="20"/>
      <w:lang w:bidi="hi-IN" w:eastAsia="zh-CN" w:val="en-US"/>
    </w:rPr>
  </w:style>
  <w:style w:type="paragraph" w:styleId="Heading">
    <w:name w:val="Heading"/>
    <w:basedOn w:val="Normal"/>
    <w:next w:val="TextBody"/>
    <w:qFormat w:val="1"/>
    <w:pPr>
      <w:keepNext w:val="1"/>
      <w:widowControl w:val="0"/>
      <w:bidi w:val="0"/>
      <w:spacing w:after="120" w:before="240"/>
      <w:jc w:val="left"/>
    </w:pPr>
    <w:rPr>
      <w:rFonts w:ascii="Liberation Sans" w:cs="Lohit Devanagari" w:eastAsia="Noto Sans CJK SC" w:hAnsi="Liberation Sans"/>
      <w:color w:val="auto"/>
      <w:kern w:val="0"/>
      <w:sz w:val="28"/>
      <w:szCs w:val="28"/>
      <w:lang w:bidi="hi-IN" w:eastAsia="zh-CN" w:val="en-US"/>
    </w:rPr>
  </w:style>
  <w:style w:type="paragraph" w:styleId="TextBody">
    <w:name w:val="Body Text"/>
    <w:basedOn w:val="Normal"/>
    <w:pPr>
      <w:widowControl w:val="0"/>
      <w:bidi w:val="0"/>
      <w:spacing w:after="140" w:before="0" w:line="276" w:lineRule="auto"/>
      <w:jc w:val="left"/>
    </w:pPr>
    <w:rPr>
      <w:rFonts w:ascii="Liberation Serif" w:cs="Liberation Serif" w:eastAsia="Liberation Serif" w:hAnsi="Liberation Serif"/>
      <w:color w:val="auto"/>
      <w:kern w:val="0"/>
      <w:sz w:val="24"/>
      <w:szCs w:val="24"/>
      <w:lang w:bidi="hi-IN" w:eastAsia="zh-CN" w:val="en-US"/>
    </w:rPr>
  </w:style>
  <w:style w:type="paragraph" w:styleId="List">
    <w:name w:val="List"/>
    <w:basedOn w:val="TextBody"/>
    <w:pPr/>
    <w:rPr>
      <w:rFonts w:cs="Lohit Devanagari"/>
    </w:rPr>
  </w:style>
  <w:style w:type="paragraph" w:styleId="Caption">
    <w:name w:val="Caption"/>
    <w:basedOn w:val="Normal"/>
    <w:qFormat w:val="1"/>
    <w:pPr>
      <w:widowControl w:val="0"/>
      <w:suppressLineNumbers w:val="1"/>
      <w:bidi w:val="0"/>
      <w:spacing w:after="120" w:before="120"/>
      <w:jc w:val="left"/>
    </w:pPr>
    <w:rPr>
      <w:rFonts w:ascii="Liberation Serif" w:cs="Lohit Devanagari" w:eastAsia="Liberation Serif" w:hAnsi="Liberation Serif"/>
      <w:i w:val="1"/>
      <w:iCs w:val="1"/>
      <w:color w:val="auto"/>
      <w:kern w:val="0"/>
      <w:sz w:val="24"/>
      <w:szCs w:val="24"/>
      <w:lang w:bidi="hi-IN" w:eastAsia="zh-CN" w:val="en-US"/>
    </w:rPr>
  </w:style>
  <w:style w:type="paragraph" w:styleId="Index">
    <w:name w:val="Index"/>
    <w:basedOn w:val="Normal"/>
    <w:qFormat w:val="1"/>
    <w:pPr>
      <w:widowControl w:val="0"/>
      <w:suppressLineNumbers w:val="1"/>
      <w:bidi w:val="0"/>
      <w:jc w:val="left"/>
    </w:pPr>
    <w:rPr>
      <w:rFonts w:ascii="Liberation Serif" w:cs="Lohit Devanagari" w:eastAsia="Liberation Serif" w:hAnsi="Liberation Serif"/>
      <w:color w:val="auto"/>
      <w:kern w:val="0"/>
      <w:sz w:val="24"/>
      <w:szCs w:val="24"/>
      <w:lang w:bidi="hi-IN" w:eastAsia="zh-CN" w:val="en-US"/>
    </w:rPr>
  </w:style>
  <w:style w:type="paragraph" w:styleId="LOnormal1" w:default="1">
    <w:name w:val="LO-normal1"/>
    <w:qFormat w:val="1"/>
    <w:pPr>
      <w:widowControl w:val="1"/>
      <w:bidi w:val="0"/>
      <w:jc w:val="left"/>
    </w:pPr>
    <w:rPr>
      <w:rFonts w:ascii="Liberation Serif" w:cs="Liberation Serif" w:eastAsia="Liberation Serif" w:hAnsi="Liberation Serif"/>
      <w:color w:val="auto"/>
      <w:kern w:val="0"/>
      <w:sz w:val="24"/>
      <w:szCs w:val="24"/>
      <w:lang w:bidi="hi-IN" w:eastAsia="zh-CN" w:val="en-US"/>
    </w:rPr>
  </w:style>
  <w:style w:type="paragraph" w:styleId="Title">
    <w:name w:val="Title"/>
    <w:next w:val="Normal"/>
    <w:qFormat w:val="1"/>
    <w:pPr>
      <w:keepNext w:val="1"/>
      <w:keepLines w:val="1"/>
      <w:pageBreakBefore w:val="0"/>
      <w:widowControl w:val="0"/>
      <w:spacing w:after="120" w:before="480" w:line="240" w:lineRule="auto"/>
    </w:pPr>
    <w:rPr>
      <w:rFonts w:ascii="Liberation Serif" w:cs="Liberation Serif" w:eastAsia="Liberation Serif" w:hAnsi="Liberation Serif"/>
      <w:b w:val="1"/>
      <w:color w:val="auto"/>
      <w:kern w:val="0"/>
      <w:sz w:val="72"/>
      <w:szCs w:val="72"/>
      <w:lang w:bidi="hi-IN" w:eastAsia="zh-CN" w:val="en-US"/>
    </w:rPr>
  </w:style>
  <w:style w:type="paragraph" w:styleId="LOnormal" w:default="1">
    <w:name w:val="LO-normal"/>
    <w:qFormat w:val="1"/>
    <w:pPr>
      <w:widowControl w:val="1"/>
      <w:bidi w:val="0"/>
      <w:jc w:val="left"/>
    </w:pPr>
    <w:rPr>
      <w:rFonts w:ascii="Liberation Serif" w:cs="Liberation Serif" w:eastAsia="Liberation Serif" w:hAnsi="Liberation Serif"/>
      <w:color w:val="auto"/>
      <w:kern w:val="0"/>
      <w:sz w:val="24"/>
      <w:szCs w:val="24"/>
      <w:lang w:bidi="hi-IN" w:eastAsia="zh-CN" w:val="en-US"/>
    </w:rPr>
  </w:style>
  <w:style w:type="paragraph" w:styleId="Subtitle">
    <w:name w:val="Subtitle"/>
    <w:basedOn w:val="LOnormal1"/>
    <w:next w:val="Normal"/>
    <w:qFormat w:val="1"/>
    <w:pPr>
      <w:keepNext w:val="1"/>
      <w:keepLines w:val="1"/>
      <w:pageBreakBefore w:val="0"/>
      <w:widowControl w:val="1"/>
      <w:shd w:fill="auto" w:val="clear"/>
      <w:spacing w:after="80" w:before="360" w:line="240" w:lineRule="auto"/>
      <w:ind w:left="0" w:right="0" w:hanging="0"/>
      <w:jc w:val="left"/>
    </w:pPr>
    <w:rPr>
      <w:rFonts w:ascii="Georgia" w:cs="Georgia" w:eastAsia="Georgia" w:hAnsi="Georgia"/>
      <w:b w:val="0"/>
      <w:i w:val="1"/>
      <w:caps w:val="0"/>
      <w:smallCaps w:val="0"/>
      <w:strike w:val="0"/>
      <w:dstrike w:val="0"/>
      <w:color w:val="666666"/>
      <w:position w:val="0"/>
      <w:sz w:val="48"/>
      <w:szCs w:val="48"/>
      <w:u w:val="none"/>
      <w:shd w:fill="auto" w:val="clear"/>
      <w:vertAlign w:val="baseline"/>
    </w:rPr>
  </w:style>
  <w:style w:type="table" w:styleId="TableNormal" w:default="1">
    <w:name w:val="Table Normal"/>
  </w:style>
  <w:style w:type="table" w:styleId="TableNormal" w:default="1">
    <w:name w:val="Table Normal"/>
  </w:style>
  <w:style w:type="table" w:styleId="TableNormal" w:default="1">
    <w:name w:val="Table Normal"/>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22" Type="http://schemas.openxmlformats.org/officeDocument/2006/relationships/image" Target="media/image17.png"/><Relationship Id="rId21" Type="http://schemas.openxmlformats.org/officeDocument/2006/relationships/image" Target="media/image8.png"/><Relationship Id="rId24" Type="http://schemas.openxmlformats.org/officeDocument/2006/relationships/image" Target="media/image23.png"/><Relationship Id="rId23" Type="http://schemas.openxmlformats.org/officeDocument/2006/relationships/image" Target="media/image2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9.png"/><Relationship Id="rId26" Type="http://schemas.openxmlformats.org/officeDocument/2006/relationships/image" Target="media/image24.png"/><Relationship Id="rId25" Type="http://schemas.openxmlformats.org/officeDocument/2006/relationships/image" Target="media/image22.png"/><Relationship Id="rId28" Type="http://schemas.openxmlformats.org/officeDocument/2006/relationships/image" Target="media/image7.png"/><Relationship Id="rId27" Type="http://schemas.openxmlformats.org/officeDocument/2006/relationships/image" Target="media/image14.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2.png"/><Relationship Id="rId7" Type="http://schemas.openxmlformats.org/officeDocument/2006/relationships/image" Target="media/image20.png"/><Relationship Id="rId8" Type="http://schemas.openxmlformats.org/officeDocument/2006/relationships/image" Target="media/image15.png"/><Relationship Id="rId30" Type="http://schemas.openxmlformats.org/officeDocument/2006/relationships/image" Target="media/image6.png"/><Relationship Id="rId11" Type="http://schemas.openxmlformats.org/officeDocument/2006/relationships/image" Target="media/image4.png"/><Relationship Id="rId10" Type="http://schemas.openxmlformats.org/officeDocument/2006/relationships/image" Target="media/image16.png"/><Relationship Id="rId13" Type="http://schemas.openxmlformats.org/officeDocument/2006/relationships/image" Target="media/image9.png"/><Relationship Id="rId12" Type="http://schemas.openxmlformats.org/officeDocument/2006/relationships/image" Target="media/image13.png"/><Relationship Id="rId15" Type="http://schemas.openxmlformats.org/officeDocument/2006/relationships/image" Target="media/image2.png"/><Relationship Id="rId14" Type="http://schemas.openxmlformats.org/officeDocument/2006/relationships/image" Target="media/image18.png"/><Relationship Id="rId17" Type="http://schemas.openxmlformats.org/officeDocument/2006/relationships/image" Target="media/image3.png"/><Relationship Id="rId16" Type="http://schemas.openxmlformats.org/officeDocument/2006/relationships/image" Target="media/image10.png"/><Relationship Id="rId19" Type="http://schemas.openxmlformats.org/officeDocument/2006/relationships/image" Target="media/image5.png"/><Relationship Id="rId18"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r1qFRdWLCnupG0/9HRyYTPWyTA==">CgMxLjAyCGguZ2pkZ3hzMgloLmdqZGd4czEyDmgubXlrZnRsOGN0NWpjMg5oLndybXl3NHozNjcwbDIJaC5namRneHMyMg5oLnM0NDlucDU1MmM0MDIOaC44dmhqaHBmeXZvcm0yDmguc2ZmNmgzYWxybWw1MgloLmdqZGd4czM4AGobChRzdWdnZXN0LmdmMzlncWIwczM4bBIDWiBQciExMGlGYkhsRVhfMk0xRkg1MzVWOU9MalZ0Y3dXckJwcko=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2022-07-27T14:58:23Z</dcterms:created>
  <dc:creator>Nikolay Oskolkov</dc:creator>
</cp:coreProperties>
</file>