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DB7BBB" w14:textId="77777777" w:rsidR="00AD6DD7" w:rsidRPr="00B8175F" w:rsidRDefault="00AD6DD7" w:rsidP="00AD6DD7">
      <w:pPr>
        <w:spacing w:after="200" w:line="240" w:lineRule="auto"/>
        <w:rPr>
          <w:rFonts w:ascii="Times New Roman" w:eastAsia="Times New Roman" w:hAnsi="Times New Roman" w:cs="Times New Roman"/>
          <w:sz w:val="24"/>
          <w:szCs w:val="24"/>
        </w:rPr>
      </w:pPr>
      <w:r w:rsidRPr="00B8175F">
        <w:rPr>
          <w:rFonts w:ascii="Times New Roman" w:eastAsia="Times New Roman" w:hAnsi="Times New Roman" w:cs="Times New Roman"/>
          <w:color w:val="000000"/>
        </w:rPr>
        <w:t>Review History</w:t>
      </w:r>
    </w:p>
    <w:p w14:paraId="2826949E" w14:textId="77777777" w:rsidR="00AD6DD7" w:rsidRPr="00B8175F" w:rsidRDefault="00AD6DD7" w:rsidP="00AD6DD7">
      <w:pPr>
        <w:spacing w:after="0" w:line="240" w:lineRule="auto"/>
        <w:rPr>
          <w:rFonts w:ascii="Times New Roman" w:eastAsia="Times New Roman" w:hAnsi="Times New Roman" w:cs="Times New Roman"/>
          <w:sz w:val="24"/>
          <w:szCs w:val="24"/>
        </w:rPr>
      </w:pPr>
      <w:r w:rsidRPr="00B8175F">
        <w:rPr>
          <w:rFonts w:ascii="Times New Roman" w:eastAsia="Times New Roman" w:hAnsi="Times New Roman" w:cs="Times New Roman"/>
          <w:b/>
          <w:bCs/>
          <w:color w:val="000000"/>
        </w:rPr>
        <w:t>First round of review</w:t>
      </w:r>
    </w:p>
    <w:p w14:paraId="6B204983" w14:textId="77777777" w:rsidR="00AD6DD7" w:rsidRPr="00B8175F" w:rsidRDefault="00AD6DD7" w:rsidP="00AD6DD7">
      <w:pPr>
        <w:spacing w:after="0" w:line="240" w:lineRule="auto"/>
        <w:rPr>
          <w:rFonts w:ascii="Times New Roman" w:eastAsia="Times New Roman" w:hAnsi="Times New Roman" w:cs="Times New Roman"/>
          <w:sz w:val="24"/>
          <w:szCs w:val="24"/>
        </w:rPr>
      </w:pPr>
      <w:r w:rsidRPr="00B8175F">
        <w:rPr>
          <w:rFonts w:ascii="Times New Roman" w:eastAsia="Times New Roman" w:hAnsi="Times New Roman" w:cs="Times New Roman"/>
          <w:b/>
          <w:bCs/>
          <w:color w:val="000000"/>
        </w:rPr>
        <w:t>Reviewer 1</w:t>
      </w:r>
    </w:p>
    <w:p w14:paraId="50B117CE" w14:textId="77777777" w:rsidR="00AD6DD7" w:rsidRPr="00B8175F" w:rsidRDefault="00AD6DD7" w:rsidP="00AD6DD7">
      <w:pPr>
        <w:spacing w:after="0" w:line="240" w:lineRule="auto"/>
        <w:rPr>
          <w:rFonts w:ascii="Times New Roman" w:eastAsia="Times New Roman" w:hAnsi="Times New Roman" w:cs="Times New Roman"/>
          <w:sz w:val="24"/>
          <w:szCs w:val="24"/>
        </w:rPr>
      </w:pPr>
    </w:p>
    <w:p w14:paraId="34EB255C" w14:textId="14541588" w:rsidR="00AD6DD7" w:rsidRPr="00AD6DD7" w:rsidRDefault="00AD6DD7" w:rsidP="00AD6DD7">
      <w:pPr>
        <w:spacing w:after="0" w:line="240" w:lineRule="auto"/>
        <w:rPr>
          <w:rFonts w:ascii="Times New Roman" w:eastAsia="Times New Roman" w:hAnsi="Times New Roman" w:cs="Times New Roman"/>
          <w:sz w:val="24"/>
          <w:szCs w:val="24"/>
        </w:rPr>
      </w:pPr>
      <w:r w:rsidRPr="00B8175F">
        <w:rPr>
          <w:rFonts w:ascii="Times New Roman" w:eastAsia="Times New Roman" w:hAnsi="Times New Roman" w:cs="Times New Roman"/>
          <w:b/>
          <w:bCs/>
          <w:color w:val="000033"/>
          <w:shd w:val="clear" w:color="auto" w:fill="FFFFFF"/>
        </w:rPr>
        <w:t>Were you able to assess all statistics in the manuscript, including the appropriateness of statistical tests used?</w:t>
      </w:r>
      <w:r>
        <w:rPr>
          <w:rFonts w:ascii="Times New Roman" w:eastAsia="Times New Roman" w:hAnsi="Times New Roman" w:cs="Times New Roman"/>
          <w:b/>
          <w:bCs/>
          <w:color w:val="000033"/>
          <w:shd w:val="clear" w:color="auto" w:fill="FFFFFF"/>
        </w:rPr>
        <w:t xml:space="preserve"> </w:t>
      </w:r>
      <w:r>
        <w:rPr>
          <w:rFonts w:ascii="Times New Roman" w:eastAsia="Times New Roman" w:hAnsi="Times New Roman" w:cs="Times New Roman"/>
          <w:color w:val="000033"/>
          <w:shd w:val="clear" w:color="auto" w:fill="FFFFFF"/>
        </w:rPr>
        <w:t xml:space="preserve">No, I do not feel adequately qualified to assess the statistics. </w:t>
      </w:r>
    </w:p>
    <w:p w14:paraId="3C050700" w14:textId="77777777" w:rsidR="00AD6DD7" w:rsidRPr="00B8175F" w:rsidRDefault="00AD6DD7" w:rsidP="00AD6DD7">
      <w:pPr>
        <w:spacing w:after="0" w:line="240" w:lineRule="auto"/>
        <w:rPr>
          <w:rFonts w:ascii="Times New Roman" w:eastAsia="Times New Roman" w:hAnsi="Times New Roman" w:cs="Times New Roman"/>
          <w:sz w:val="24"/>
          <w:szCs w:val="24"/>
        </w:rPr>
      </w:pPr>
    </w:p>
    <w:p w14:paraId="27EA56E7" w14:textId="0F0D9DF2" w:rsidR="00AD6DD7" w:rsidRPr="00AD6DD7" w:rsidRDefault="00AD6DD7" w:rsidP="00AD6DD7">
      <w:pPr>
        <w:spacing w:after="0" w:line="240" w:lineRule="auto"/>
        <w:rPr>
          <w:rFonts w:ascii="Times New Roman" w:eastAsia="Times New Roman" w:hAnsi="Times New Roman" w:cs="Times New Roman"/>
          <w:sz w:val="24"/>
          <w:szCs w:val="24"/>
        </w:rPr>
      </w:pPr>
      <w:r w:rsidRPr="00B8175F">
        <w:rPr>
          <w:rFonts w:ascii="Times New Roman" w:eastAsia="Times New Roman" w:hAnsi="Times New Roman" w:cs="Times New Roman"/>
          <w:b/>
          <w:bCs/>
          <w:color w:val="000033"/>
        </w:rPr>
        <w:t>Were you able to directly test the methods?</w:t>
      </w:r>
      <w:r>
        <w:rPr>
          <w:rFonts w:ascii="Times New Roman" w:eastAsia="Times New Roman" w:hAnsi="Times New Roman" w:cs="Times New Roman"/>
          <w:b/>
          <w:bCs/>
          <w:color w:val="000033"/>
        </w:rPr>
        <w:t xml:space="preserve"> </w:t>
      </w:r>
      <w:r>
        <w:rPr>
          <w:rFonts w:ascii="Times New Roman" w:eastAsia="Times New Roman" w:hAnsi="Times New Roman" w:cs="Times New Roman"/>
          <w:color w:val="000033"/>
        </w:rPr>
        <w:t xml:space="preserve">No. </w:t>
      </w:r>
    </w:p>
    <w:p w14:paraId="6414B5D4" w14:textId="77777777" w:rsidR="00AD6DD7" w:rsidRPr="00B8175F" w:rsidRDefault="00AD6DD7" w:rsidP="00AD6DD7">
      <w:pPr>
        <w:spacing w:after="0" w:line="240" w:lineRule="auto"/>
        <w:rPr>
          <w:rFonts w:ascii="Times New Roman" w:eastAsia="Times New Roman" w:hAnsi="Times New Roman" w:cs="Times New Roman"/>
          <w:sz w:val="24"/>
          <w:szCs w:val="24"/>
        </w:rPr>
      </w:pPr>
    </w:p>
    <w:p w14:paraId="09908506" w14:textId="77777777" w:rsidR="00AD6DD7" w:rsidRPr="00B8175F" w:rsidRDefault="00AD6DD7" w:rsidP="00AD6DD7">
      <w:pPr>
        <w:spacing w:after="0" w:line="240" w:lineRule="auto"/>
        <w:rPr>
          <w:rFonts w:ascii="Times New Roman" w:eastAsia="Times New Roman" w:hAnsi="Times New Roman" w:cs="Times New Roman"/>
          <w:sz w:val="24"/>
          <w:szCs w:val="24"/>
        </w:rPr>
      </w:pPr>
      <w:r w:rsidRPr="00B8175F">
        <w:rPr>
          <w:rFonts w:ascii="Times New Roman" w:eastAsia="Times New Roman" w:hAnsi="Times New Roman" w:cs="Times New Roman"/>
          <w:b/>
          <w:bCs/>
          <w:color w:val="000000"/>
        </w:rPr>
        <w:t>Comments to author:</w:t>
      </w:r>
    </w:p>
    <w:p w14:paraId="790F9CF3" w14:textId="77777777" w:rsidR="00AD6DD7" w:rsidRPr="00AD6DD7" w:rsidRDefault="00AD6DD7" w:rsidP="00AD6DD7">
      <w:pPr>
        <w:spacing w:after="240" w:line="240" w:lineRule="auto"/>
        <w:rPr>
          <w:rFonts w:ascii="Times New Roman" w:eastAsia="Times New Roman" w:hAnsi="Times New Roman" w:cs="Times New Roman"/>
          <w:sz w:val="24"/>
          <w:szCs w:val="24"/>
        </w:rPr>
      </w:pPr>
      <w:r w:rsidRPr="00AD6DD7">
        <w:rPr>
          <w:rFonts w:ascii="Times New Roman" w:eastAsia="Times New Roman" w:hAnsi="Times New Roman" w:cs="Times New Roman"/>
          <w:sz w:val="24"/>
          <w:szCs w:val="24"/>
        </w:rPr>
        <w:t>In this manuscript, the authors present a high-throughput screening platform combining UMI clustering and nanopore sequencing to characterize thousands of DNA editing enzyme variants on multiple target sites, and demonstrated the applicability of this platform on two different DNA editing systems. A few of my concerns for the authors to consider:</w:t>
      </w:r>
    </w:p>
    <w:p w14:paraId="67050C23" w14:textId="77777777" w:rsidR="00AD6DD7" w:rsidRPr="00AD6DD7" w:rsidRDefault="00AD6DD7" w:rsidP="00AD6DD7">
      <w:pPr>
        <w:spacing w:after="240" w:line="240" w:lineRule="auto"/>
        <w:rPr>
          <w:rFonts w:ascii="Times New Roman" w:eastAsia="Times New Roman" w:hAnsi="Times New Roman" w:cs="Times New Roman"/>
          <w:sz w:val="24"/>
          <w:szCs w:val="24"/>
        </w:rPr>
      </w:pPr>
      <w:r w:rsidRPr="00AD6DD7">
        <w:rPr>
          <w:rFonts w:ascii="Times New Roman" w:eastAsia="Times New Roman" w:hAnsi="Times New Roman" w:cs="Times New Roman"/>
          <w:sz w:val="24"/>
          <w:szCs w:val="24"/>
        </w:rPr>
        <w:t>1. I am not very convinced by the statement "to our knowledge none of these enable the efficient linkage of genotype and phenotype information retrieval at scale". I hope that the authors can further elaborate and be cautious of using such a firm statement. As protein directed evolution is based on phenotypic outcome as a screening criterion, functional variants are selected from a library of various genotypes.</w:t>
      </w:r>
    </w:p>
    <w:p w14:paraId="47AF9047" w14:textId="77777777" w:rsidR="00AD6DD7" w:rsidRPr="00AD6DD7" w:rsidRDefault="00AD6DD7" w:rsidP="00AD6DD7">
      <w:pPr>
        <w:spacing w:after="240" w:line="240" w:lineRule="auto"/>
        <w:rPr>
          <w:rFonts w:ascii="Times New Roman" w:eastAsia="Times New Roman" w:hAnsi="Times New Roman" w:cs="Times New Roman"/>
          <w:sz w:val="24"/>
          <w:szCs w:val="24"/>
        </w:rPr>
      </w:pPr>
      <w:r w:rsidRPr="00AD6DD7">
        <w:rPr>
          <w:rFonts w:ascii="Times New Roman" w:eastAsia="Times New Roman" w:hAnsi="Times New Roman" w:cs="Times New Roman"/>
          <w:sz w:val="24"/>
          <w:szCs w:val="24"/>
        </w:rPr>
        <w:t xml:space="preserve">2. 3-candidate variants (138, 181, 1244 for recombinase variants, and 2, 3030, 3301 for Cas12f-ABE) were selected to validate the </w:t>
      </w:r>
      <w:proofErr w:type="spellStart"/>
      <w:r w:rsidRPr="00AD6DD7">
        <w:rPr>
          <w:rFonts w:ascii="Times New Roman" w:eastAsia="Times New Roman" w:hAnsi="Times New Roman" w:cs="Times New Roman"/>
          <w:sz w:val="24"/>
          <w:szCs w:val="24"/>
        </w:rPr>
        <w:t>DEQSeq</w:t>
      </w:r>
      <w:proofErr w:type="spellEnd"/>
      <w:r w:rsidRPr="00AD6DD7">
        <w:rPr>
          <w:rFonts w:ascii="Times New Roman" w:eastAsia="Times New Roman" w:hAnsi="Times New Roman" w:cs="Times New Roman"/>
          <w:sz w:val="24"/>
          <w:szCs w:val="24"/>
        </w:rPr>
        <w:t xml:space="preserve"> result. However, the manuscript did not provide a clear explanation on which specific variant was optimal and how the authors determined its importance. Based on the information provided, "optimal" in the sentence "…selection of optimal genome enzymes from directed molecular evolution experiments…" may not accurate.</w:t>
      </w:r>
    </w:p>
    <w:p w14:paraId="353ECD68" w14:textId="77777777" w:rsidR="00AD6DD7" w:rsidRPr="00AD6DD7" w:rsidRDefault="00AD6DD7" w:rsidP="00AD6DD7">
      <w:pPr>
        <w:spacing w:after="240" w:line="240" w:lineRule="auto"/>
        <w:rPr>
          <w:rFonts w:ascii="Times New Roman" w:eastAsia="Times New Roman" w:hAnsi="Times New Roman" w:cs="Times New Roman"/>
          <w:sz w:val="24"/>
          <w:szCs w:val="24"/>
        </w:rPr>
      </w:pPr>
      <w:r w:rsidRPr="00AD6DD7">
        <w:rPr>
          <w:rFonts w:ascii="Times New Roman" w:eastAsia="Times New Roman" w:hAnsi="Times New Roman" w:cs="Times New Roman"/>
          <w:sz w:val="24"/>
          <w:szCs w:val="24"/>
        </w:rPr>
        <w:t xml:space="preserve">3. The manuscript does not provide information comparing off-target activity of evolved high editing efficiency Cas12f-ABE variants with Un1Cas12f1-ABE8e across the whole genome. If the off-target results demonstrate comparable levels of activity, it would serve as a strong endorsement for the effectiveness of </w:t>
      </w:r>
      <w:proofErr w:type="spellStart"/>
      <w:r w:rsidRPr="00AD6DD7">
        <w:rPr>
          <w:rFonts w:ascii="Times New Roman" w:eastAsia="Times New Roman" w:hAnsi="Times New Roman" w:cs="Times New Roman"/>
          <w:sz w:val="24"/>
          <w:szCs w:val="24"/>
        </w:rPr>
        <w:t>DEQSeq</w:t>
      </w:r>
      <w:proofErr w:type="spellEnd"/>
      <w:r w:rsidRPr="00AD6DD7">
        <w:rPr>
          <w:rFonts w:ascii="Times New Roman" w:eastAsia="Times New Roman" w:hAnsi="Times New Roman" w:cs="Times New Roman"/>
          <w:sz w:val="24"/>
          <w:szCs w:val="24"/>
        </w:rPr>
        <w:t>.</w:t>
      </w:r>
    </w:p>
    <w:p w14:paraId="455AF1E9" w14:textId="77777777" w:rsidR="00AD6DD7" w:rsidRPr="00AD6DD7" w:rsidRDefault="00AD6DD7" w:rsidP="00AD6DD7">
      <w:pPr>
        <w:spacing w:after="240" w:line="240" w:lineRule="auto"/>
        <w:rPr>
          <w:rFonts w:ascii="Times New Roman" w:eastAsia="Times New Roman" w:hAnsi="Times New Roman" w:cs="Times New Roman"/>
          <w:sz w:val="24"/>
          <w:szCs w:val="24"/>
        </w:rPr>
      </w:pPr>
      <w:r w:rsidRPr="00AD6DD7">
        <w:rPr>
          <w:rFonts w:ascii="Times New Roman" w:eastAsia="Times New Roman" w:hAnsi="Times New Roman" w:cs="Times New Roman"/>
          <w:sz w:val="24"/>
          <w:szCs w:val="24"/>
        </w:rPr>
        <w:t>4. Could the authors consider inserting an enzyme cleavage site between the two loxF8 site and digesting with this enzyme prior to subcloning the 3 other target backbones (HG1, HG2, HG2L)? This could potentially help exclude variants that are not recombinantly active on the loxF8 site.</w:t>
      </w:r>
    </w:p>
    <w:p w14:paraId="4CFF5D66" w14:textId="77777777" w:rsidR="00AD6DD7" w:rsidRPr="00AD6DD7" w:rsidRDefault="00AD6DD7" w:rsidP="00AD6DD7">
      <w:pPr>
        <w:spacing w:after="240" w:line="240" w:lineRule="auto"/>
        <w:rPr>
          <w:rFonts w:ascii="Times New Roman" w:eastAsia="Times New Roman" w:hAnsi="Times New Roman" w:cs="Times New Roman"/>
          <w:sz w:val="24"/>
          <w:szCs w:val="24"/>
        </w:rPr>
      </w:pPr>
      <w:r w:rsidRPr="00AD6DD7">
        <w:rPr>
          <w:rFonts w:ascii="Times New Roman" w:eastAsia="Times New Roman" w:hAnsi="Times New Roman" w:cs="Times New Roman"/>
          <w:sz w:val="24"/>
          <w:szCs w:val="24"/>
        </w:rPr>
        <w:t>Minor points:</w:t>
      </w:r>
    </w:p>
    <w:p w14:paraId="7BAEDF27" w14:textId="77777777" w:rsidR="00AD6DD7" w:rsidRPr="00AD6DD7" w:rsidRDefault="00AD6DD7" w:rsidP="00AD6DD7">
      <w:pPr>
        <w:spacing w:after="240" w:line="240" w:lineRule="auto"/>
        <w:rPr>
          <w:rFonts w:ascii="Times New Roman" w:eastAsia="Times New Roman" w:hAnsi="Times New Roman" w:cs="Times New Roman"/>
          <w:sz w:val="24"/>
          <w:szCs w:val="24"/>
        </w:rPr>
      </w:pPr>
      <w:r w:rsidRPr="00AD6DD7">
        <w:rPr>
          <w:rFonts w:ascii="Times New Roman" w:eastAsia="Times New Roman" w:hAnsi="Times New Roman" w:cs="Times New Roman"/>
          <w:sz w:val="24"/>
          <w:szCs w:val="24"/>
        </w:rPr>
        <w:t>1. Please add statistical methods in Fig. 1e and Fig. 2e.</w:t>
      </w:r>
    </w:p>
    <w:p w14:paraId="7EB3D7D8" w14:textId="77777777" w:rsidR="00AD6DD7" w:rsidRPr="00AD6DD7" w:rsidRDefault="00AD6DD7" w:rsidP="00AD6DD7">
      <w:pPr>
        <w:spacing w:after="240" w:line="240" w:lineRule="auto"/>
        <w:rPr>
          <w:rFonts w:ascii="Times New Roman" w:eastAsia="Times New Roman" w:hAnsi="Times New Roman" w:cs="Times New Roman"/>
          <w:sz w:val="24"/>
          <w:szCs w:val="24"/>
        </w:rPr>
      </w:pPr>
      <w:r w:rsidRPr="00AD6DD7">
        <w:rPr>
          <w:rFonts w:ascii="Times New Roman" w:eastAsia="Times New Roman" w:hAnsi="Times New Roman" w:cs="Times New Roman"/>
          <w:sz w:val="24"/>
          <w:szCs w:val="24"/>
        </w:rPr>
        <w:t>2. In Fig.1 and 2, before transformed to E. coli, the plasmid library diagram missed the loxF8 site and promoter, target site of 3 sgRNA and sgRNA.</w:t>
      </w:r>
    </w:p>
    <w:p w14:paraId="084BE617" w14:textId="61F47CAD" w:rsidR="00AD6DD7" w:rsidRDefault="00AD6DD7" w:rsidP="00AD6DD7">
      <w:pPr>
        <w:spacing w:after="240" w:line="240" w:lineRule="auto"/>
        <w:rPr>
          <w:rFonts w:ascii="Times New Roman" w:eastAsia="Times New Roman" w:hAnsi="Times New Roman" w:cs="Times New Roman"/>
          <w:sz w:val="24"/>
          <w:szCs w:val="24"/>
        </w:rPr>
      </w:pPr>
      <w:r w:rsidRPr="00AD6DD7">
        <w:rPr>
          <w:rFonts w:ascii="Times New Roman" w:eastAsia="Times New Roman" w:hAnsi="Times New Roman" w:cs="Times New Roman"/>
          <w:sz w:val="24"/>
          <w:szCs w:val="24"/>
        </w:rPr>
        <w:t>3. The format of reference 15 should remain consistent with others.</w:t>
      </w:r>
    </w:p>
    <w:p w14:paraId="7B5FE2CB" w14:textId="77777777" w:rsidR="00AD6DD7" w:rsidRPr="00B8175F" w:rsidRDefault="00AD6DD7" w:rsidP="00AD6DD7">
      <w:pPr>
        <w:spacing w:after="240" w:line="240" w:lineRule="auto"/>
        <w:rPr>
          <w:rFonts w:ascii="Times New Roman" w:eastAsia="Times New Roman" w:hAnsi="Times New Roman" w:cs="Times New Roman"/>
          <w:sz w:val="24"/>
          <w:szCs w:val="24"/>
        </w:rPr>
      </w:pPr>
    </w:p>
    <w:p w14:paraId="62C6A897" w14:textId="77777777" w:rsidR="00AD6DD7" w:rsidRPr="00B8175F" w:rsidRDefault="00AD6DD7" w:rsidP="00AD6DD7">
      <w:pPr>
        <w:spacing w:after="0" w:line="240" w:lineRule="auto"/>
        <w:rPr>
          <w:rFonts w:ascii="Times New Roman" w:eastAsia="Times New Roman" w:hAnsi="Times New Roman" w:cs="Times New Roman"/>
          <w:sz w:val="24"/>
          <w:szCs w:val="24"/>
        </w:rPr>
      </w:pPr>
      <w:r w:rsidRPr="00B8175F">
        <w:rPr>
          <w:rFonts w:ascii="Times New Roman" w:eastAsia="Times New Roman" w:hAnsi="Times New Roman" w:cs="Times New Roman"/>
          <w:b/>
          <w:bCs/>
          <w:color w:val="000000"/>
        </w:rPr>
        <w:t>Reviewer 2</w:t>
      </w:r>
    </w:p>
    <w:p w14:paraId="7A3E9772" w14:textId="47D89DDE" w:rsidR="00AD6DD7" w:rsidRPr="00AD6DD7" w:rsidRDefault="00AD6DD7" w:rsidP="00AD6DD7">
      <w:pPr>
        <w:spacing w:after="0" w:line="240" w:lineRule="auto"/>
        <w:rPr>
          <w:rFonts w:ascii="Times New Roman" w:eastAsia="Times New Roman" w:hAnsi="Times New Roman" w:cs="Times New Roman"/>
          <w:sz w:val="24"/>
          <w:szCs w:val="24"/>
        </w:rPr>
      </w:pPr>
      <w:r w:rsidRPr="00B8175F">
        <w:rPr>
          <w:rFonts w:ascii="Times New Roman" w:eastAsia="Times New Roman" w:hAnsi="Times New Roman" w:cs="Times New Roman"/>
          <w:b/>
          <w:bCs/>
          <w:color w:val="000033"/>
          <w:shd w:val="clear" w:color="auto" w:fill="FFFFFF"/>
        </w:rPr>
        <w:lastRenderedPageBreak/>
        <w:t>Were you able to assess all statistics in the manuscript, including the appropriateness of statistical tests used?</w:t>
      </w:r>
      <w:r>
        <w:rPr>
          <w:rFonts w:ascii="Times New Roman" w:eastAsia="Times New Roman" w:hAnsi="Times New Roman" w:cs="Times New Roman"/>
          <w:b/>
          <w:bCs/>
          <w:color w:val="000033"/>
          <w:shd w:val="clear" w:color="auto" w:fill="FFFFFF"/>
        </w:rPr>
        <w:t xml:space="preserve"> </w:t>
      </w:r>
      <w:r>
        <w:rPr>
          <w:rFonts w:ascii="Times New Roman" w:eastAsia="Times New Roman" w:hAnsi="Times New Roman" w:cs="Times New Roman"/>
          <w:color w:val="000033"/>
          <w:shd w:val="clear" w:color="auto" w:fill="FFFFFF"/>
        </w:rPr>
        <w:t xml:space="preserve">No, I do not feel adequately qualified to assess the statistics. </w:t>
      </w:r>
    </w:p>
    <w:p w14:paraId="4E44F483" w14:textId="77777777" w:rsidR="00AD6DD7" w:rsidRPr="00B8175F" w:rsidRDefault="00AD6DD7" w:rsidP="00AD6DD7">
      <w:pPr>
        <w:spacing w:after="0" w:line="240" w:lineRule="auto"/>
        <w:rPr>
          <w:rFonts w:ascii="Times New Roman" w:eastAsia="Times New Roman" w:hAnsi="Times New Roman" w:cs="Times New Roman"/>
          <w:sz w:val="24"/>
          <w:szCs w:val="24"/>
        </w:rPr>
      </w:pPr>
    </w:p>
    <w:p w14:paraId="4665286C" w14:textId="7A281052" w:rsidR="00AD6DD7" w:rsidRPr="00AD6DD7" w:rsidRDefault="00AD6DD7" w:rsidP="00AD6DD7">
      <w:pPr>
        <w:spacing w:after="0" w:line="240" w:lineRule="auto"/>
        <w:rPr>
          <w:rFonts w:ascii="Times New Roman" w:eastAsia="Times New Roman" w:hAnsi="Times New Roman" w:cs="Times New Roman"/>
          <w:sz w:val="24"/>
          <w:szCs w:val="24"/>
        </w:rPr>
      </w:pPr>
      <w:r w:rsidRPr="00B8175F">
        <w:rPr>
          <w:rFonts w:ascii="Times New Roman" w:eastAsia="Times New Roman" w:hAnsi="Times New Roman" w:cs="Times New Roman"/>
          <w:b/>
          <w:bCs/>
          <w:color w:val="000033"/>
        </w:rPr>
        <w:t>Were you able to directly test the methods?</w:t>
      </w:r>
      <w:r>
        <w:rPr>
          <w:rFonts w:ascii="Times New Roman" w:eastAsia="Times New Roman" w:hAnsi="Times New Roman" w:cs="Times New Roman"/>
          <w:b/>
          <w:bCs/>
          <w:color w:val="000033"/>
        </w:rPr>
        <w:t xml:space="preserve"> </w:t>
      </w:r>
      <w:r>
        <w:rPr>
          <w:rFonts w:ascii="Times New Roman" w:eastAsia="Times New Roman" w:hAnsi="Times New Roman" w:cs="Times New Roman"/>
          <w:color w:val="000033"/>
        </w:rPr>
        <w:t xml:space="preserve">No. </w:t>
      </w:r>
    </w:p>
    <w:p w14:paraId="31CC811D" w14:textId="77777777" w:rsidR="00AD6DD7" w:rsidRPr="00B8175F" w:rsidRDefault="00AD6DD7" w:rsidP="00AD6DD7">
      <w:pPr>
        <w:spacing w:after="0" w:line="240" w:lineRule="auto"/>
        <w:rPr>
          <w:rFonts w:ascii="Times New Roman" w:eastAsia="Times New Roman" w:hAnsi="Times New Roman" w:cs="Times New Roman"/>
          <w:sz w:val="24"/>
          <w:szCs w:val="24"/>
        </w:rPr>
      </w:pPr>
    </w:p>
    <w:p w14:paraId="0D821320" w14:textId="77777777" w:rsidR="00AD6DD7" w:rsidRPr="00B8175F" w:rsidRDefault="00AD6DD7" w:rsidP="00AD6DD7">
      <w:pPr>
        <w:spacing w:after="200" w:line="240" w:lineRule="auto"/>
        <w:rPr>
          <w:rFonts w:ascii="Times New Roman" w:eastAsia="Times New Roman" w:hAnsi="Times New Roman" w:cs="Times New Roman"/>
          <w:sz w:val="24"/>
          <w:szCs w:val="24"/>
        </w:rPr>
      </w:pPr>
      <w:r w:rsidRPr="00B8175F">
        <w:rPr>
          <w:rFonts w:ascii="Times New Roman" w:eastAsia="Times New Roman" w:hAnsi="Times New Roman" w:cs="Times New Roman"/>
          <w:b/>
          <w:bCs/>
          <w:color w:val="000000"/>
        </w:rPr>
        <w:t>Comments to author:</w:t>
      </w:r>
    </w:p>
    <w:p w14:paraId="3FB89616" w14:textId="77777777" w:rsidR="00AD6DD7" w:rsidRPr="00AD6DD7" w:rsidRDefault="00AD6DD7" w:rsidP="00AD6DD7">
      <w:pPr>
        <w:spacing w:after="0" w:line="240" w:lineRule="auto"/>
        <w:rPr>
          <w:rFonts w:ascii="Times New Roman" w:eastAsia="Times New Roman" w:hAnsi="Times New Roman" w:cs="Times New Roman"/>
          <w:sz w:val="24"/>
          <w:szCs w:val="24"/>
        </w:rPr>
      </w:pPr>
      <w:r w:rsidRPr="00AD6DD7">
        <w:rPr>
          <w:rFonts w:ascii="Times New Roman" w:eastAsia="Times New Roman" w:hAnsi="Times New Roman" w:cs="Times New Roman"/>
          <w:sz w:val="24"/>
          <w:szCs w:val="24"/>
        </w:rPr>
        <w:t>This is a very interesting study that reports a widely applicable method to evolve and engineer DNA recombination and engineering enzymes. The authors smartly combine the enzyme-coding sequence variance and the target in sequence so that they can be sequenced together with long-read nanopore sequencing. Their platform was demonstrated with engineering designer recombinases and Un1Cas12f1-ABE systems.</w:t>
      </w:r>
    </w:p>
    <w:p w14:paraId="2762917A" w14:textId="77777777" w:rsidR="00AD6DD7" w:rsidRPr="00AD6DD7" w:rsidRDefault="00AD6DD7" w:rsidP="00AD6DD7">
      <w:pPr>
        <w:spacing w:after="0" w:line="240" w:lineRule="auto"/>
        <w:rPr>
          <w:rFonts w:ascii="Times New Roman" w:eastAsia="Times New Roman" w:hAnsi="Times New Roman" w:cs="Times New Roman"/>
          <w:sz w:val="24"/>
          <w:szCs w:val="24"/>
        </w:rPr>
      </w:pPr>
    </w:p>
    <w:p w14:paraId="0B73B3BD" w14:textId="77777777" w:rsidR="00AD6DD7" w:rsidRPr="00AD6DD7" w:rsidRDefault="00AD6DD7" w:rsidP="00AD6DD7">
      <w:pPr>
        <w:spacing w:after="0" w:line="240" w:lineRule="auto"/>
        <w:rPr>
          <w:rFonts w:ascii="Times New Roman" w:eastAsia="Times New Roman" w:hAnsi="Times New Roman" w:cs="Times New Roman"/>
          <w:sz w:val="24"/>
          <w:szCs w:val="24"/>
        </w:rPr>
      </w:pPr>
      <w:r w:rsidRPr="00AD6DD7">
        <w:rPr>
          <w:rFonts w:ascii="Times New Roman" w:eastAsia="Times New Roman" w:hAnsi="Times New Roman" w:cs="Times New Roman"/>
          <w:sz w:val="24"/>
          <w:szCs w:val="24"/>
        </w:rPr>
        <w:t>Major points:</w:t>
      </w:r>
    </w:p>
    <w:p w14:paraId="70C318E6" w14:textId="77777777" w:rsidR="00AD6DD7" w:rsidRPr="00AD6DD7" w:rsidRDefault="00AD6DD7" w:rsidP="00AD6DD7">
      <w:pPr>
        <w:spacing w:after="0" w:line="240" w:lineRule="auto"/>
        <w:rPr>
          <w:rFonts w:ascii="Times New Roman" w:eastAsia="Times New Roman" w:hAnsi="Times New Roman" w:cs="Times New Roman"/>
          <w:sz w:val="24"/>
          <w:szCs w:val="24"/>
        </w:rPr>
      </w:pPr>
      <w:r w:rsidRPr="00AD6DD7">
        <w:rPr>
          <w:rFonts w:ascii="Times New Roman" w:eastAsia="Times New Roman" w:hAnsi="Times New Roman" w:cs="Times New Roman"/>
          <w:sz w:val="24"/>
          <w:szCs w:val="24"/>
        </w:rPr>
        <w:t>1) The manuscript is too succinct to follow. The rationale and design are hidden in the Figure legends and Methods. This is not the best way to write a paper. Based on the content, it would be nicer to write it as a full-length research article.</w:t>
      </w:r>
    </w:p>
    <w:p w14:paraId="079F1516" w14:textId="77777777" w:rsidR="00AD6DD7" w:rsidRPr="00AD6DD7" w:rsidRDefault="00AD6DD7" w:rsidP="00AD6DD7">
      <w:pPr>
        <w:spacing w:after="0" w:line="240" w:lineRule="auto"/>
        <w:rPr>
          <w:rFonts w:ascii="Times New Roman" w:eastAsia="Times New Roman" w:hAnsi="Times New Roman" w:cs="Times New Roman"/>
          <w:sz w:val="24"/>
          <w:szCs w:val="24"/>
        </w:rPr>
      </w:pPr>
      <w:r w:rsidRPr="00AD6DD7">
        <w:rPr>
          <w:rFonts w:ascii="Times New Roman" w:eastAsia="Times New Roman" w:hAnsi="Times New Roman" w:cs="Times New Roman"/>
          <w:sz w:val="24"/>
          <w:szCs w:val="24"/>
        </w:rPr>
        <w:t>2) In both cases (designer recombinase and Un1Cas12f1-ABE), what's the rationale for picking the three variants each? Was that truly random? It would be valuable to pick more clones for validation so that we can learn how reliable the system is and what kind of mutations are behind the improved activity.</w:t>
      </w:r>
    </w:p>
    <w:p w14:paraId="7CF8A543" w14:textId="77777777" w:rsidR="00AD6DD7" w:rsidRPr="00AD6DD7" w:rsidRDefault="00AD6DD7" w:rsidP="00AD6DD7">
      <w:pPr>
        <w:spacing w:after="0" w:line="240" w:lineRule="auto"/>
        <w:rPr>
          <w:rFonts w:ascii="Times New Roman" w:eastAsia="Times New Roman" w:hAnsi="Times New Roman" w:cs="Times New Roman"/>
          <w:sz w:val="24"/>
          <w:szCs w:val="24"/>
        </w:rPr>
      </w:pPr>
      <w:r w:rsidRPr="00AD6DD7">
        <w:rPr>
          <w:rFonts w:ascii="Times New Roman" w:eastAsia="Times New Roman" w:hAnsi="Times New Roman" w:cs="Times New Roman"/>
          <w:sz w:val="24"/>
          <w:szCs w:val="24"/>
        </w:rPr>
        <w:t xml:space="preserve">3) The authors listed protein alignments of the three highly efficient Un1Cas12f-ABE systems. Please provide full protein sequences and annotated vector sequences for readers to extract such information. Also, I suggest depositing these vectors to </w:t>
      </w:r>
      <w:proofErr w:type="spellStart"/>
      <w:r w:rsidRPr="00AD6DD7">
        <w:rPr>
          <w:rFonts w:ascii="Times New Roman" w:eastAsia="Times New Roman" w:hAnsi="Times New Roman" w:cs="Times New Roman"/>
          <w:sz w:val="24"/>
          <w:szCs w:val="24"/>
        </w:rPr>
        <w:t>Addgene</w:t>
      </w:r>
      <w:proofErr w:type="spellEnd"/>
      <w:r w:rsidRPr="00AD6DD7">
        <w:rPr>
          <w:rFonts w:ascii="Times New Roman" w:eastAsia="Times New Roman" w:hAnsi="Times New Roman" w:cs="Times New Roman"/>
          <w:sz w:val="24"/>
          <w:szCs w:val="24"/>
        </w:rPr>
        <w:t xml:space="preserve"> because many would be interested in testing and applying these improved ABEs in their organisms of interest.</w:t>
      </w:r>
    </w:p>
    <w:p w14:paraId="69E8E4FD" w14:textId="77777777" w:rsidR="00AD6DD7" w:rsidRPr="00AD6DD7" w:rsidRDefault="00AD6DD7" w:rsidP="00AD6DD7">
      <w:pPr>
        <w:spacing w:after="0" w:line="240" w:lineRule="auto"/>
        <w:rPr>
          <w:rFonts w:ascii="Times New Roman" w:eastAsia="Times New Roman" w:hAnsi="Times New Roman" w:cs="Times New Roman"/>
          <w:sz w:val="24"/>
          <w:szCs w:val="24"/>
        </w:rPr>
      </w:pPr>
      <w:r w:rsidRPr="00AD6DD7">
        <w:rPr>
          <w:rFonts w:ascii="Times New Roman" w:eastAsia="Times New Roman" w:hAnsi="Times New Roman" w:cs="Times New Roman"/>
          <w:sz w:val="24"/>
          <w:szCs w:val="24"/>
        </w:rPr>
        <w:t>4) Will the system work well with larger enzymes and hence longer coding sequences? What will be the challenges in this case? Some interesting discussion on this point and others would make this paper more interesting.</w:t>
      </w:r>
    </w:p>
    <w:p w14:paraId="26A59C3F" w14:textId="77777777" w:rsidR="00AD6DD7" w:rsidRPr="00AD6DD7" w:rsidRDefault="00AD6DD7" w:rsidP="00AD6DD7">
      <w:pPr>
        <w:spacing w:after="0" w:line="240" w:lineRule="auto"/>
        <w:rPr>
          <w:rFonts w:ascii="Times New Roman" w:eastAsia="Times New Roman" w:hAnsi="Times New Roman" w:cs="Times New Roman"/>
          <w:sz w:val="24"/>
          <w:szCs w:val="24"/>
        </w:rPr>
      </w:pPr>
      <w:r w:rsidRPr="00AD6DD7">
        <w:rPr>
          <w:rFonts w:ascii="Times New Roman" w:eastAsia="Times New Roman" w:hAnsi="Times New Roman" w:cs="Times New Roman"/>
          <w:sz w:val="24"/>
          <w:szCs w:val="24"/>
        </w:rPr>
        <w:t>5) Will the evolved work well in eukaryotic cells? Validation on this will add much to this story.</w:t>
      </w:r>
    </w:p>
    <w:p w14:paraId="3A67EAAA" w14:textId="77777777" w:rsidR="00AD6DD7" w:rsidRPr="00AD6DD7" w:rsidRDefault="00AD6DD7" w:rsidP="00AD6DD7">
      <w:pPr>
        <w:spacing w:after="0" w:line="240" w:lineRule="auto"/>
        <w:rPr>
          <w:rFonts w:ascii="Times New Roman" w:eastAsia="Times New Roman" w:hAnsi="Times New Roman" w:cs="Times New Roman"/>
          <w:sz w:val="24"/>
          <w:szCs w:val="24"/>
        </w:rPr>
      </w:pPr>
    </w:p>
    <w:p w14:paraId="3FA24410" w14:textId="77777777" w:rsidR="00AD6DD7" w:rsidRPr="00AD6DD7" w:rsidRDefault="00AD6DD7" w:rsidP="00AD6DD7">
      <w:pPr>
        <w:spacing w:after="0" w:line="240" w:lineRule="auto"/>
        <w:rPr>
          <w:rFonts w:ascii="Times New Roman" w:eastAsia="Times New Roman" w:hAnsi="Times New Roman" w:cs="Times New Roman"/>
          <w:sz w:val="24"/>
          <w:szCs w:val="24"/>
        </w:rPr>
      </w:pPr>
    </w:p>
    <w:p w14:paraId="4F19FE84" w14:textId="77777777" w:rsidR="00AD6DD7" w:rsidRPr="00AD6DD7" w:rsidRDefault="00AD6DD7" w:rsidP="00AD6DD7">
      <w:pPr>
        <w:spacing w:after="0" w:line="240" w:lineRule="auto"/>
        <w:rPr>
          <w:rFonts w:ascii="Times New Roman" w:eastAsia="Times New Roman" w:hAnsi="Times New Roman" w:cs="Times New Roman"/>
          <w:sz w:val="24"/>
          <w:szCs w:val="24"/>
        </w:rPr>
      </w:pPr>
      <w:r w:rsidRPr="00AD6DD7">
        <w:rPr>
          <w:rFonts w:ascii="Times New Roman" w:eastAsia="Times New Roman" w:hAnsi="Times New Roman" w:cs="Times New Roman"/>
          <w:sz w:val="24"/>
          <w:szCs w:val="24"/>
        </w:rPr>
        <w:t>Minor point:</w:t>
      </w:r>
    </w:p>
    <w:p w14:paraId="52246114" w14:textId="662A6CA8" w:rsidR="00AD6DD7" w:rsidRDefault="00AD6DD7" w:rsidP="00AD6DD7">
      <w:pPr>
        <w:pStyle w:val="ListParagraph"/>
        <w:numPr>
          <w:ilvl w:val="0"/>
          <w:numId w:val="1"/>
        </w:numPr>
        <w:spacing w:after="0" w:line="240" w:lineRule="auto"/>
        <w:rPr>
          <w:rFonts w:ascii="Times New Roman" w:eastAsia="Times New Roman" w:hAnsi="Times New Roman" w:cs="Times New Roman"/>
          <w:sz w:val="24"/>
          <w:szCs w:val="24"/>
        </w:rPr>
      </w:pPr>
      <w:r w:rsidRPr="00AD6DD7">
        <w:rPr>
          <w:rFonts w:ascii="Times New Roman" w:eastAsia="Times New Roman" w:hAnsi="Times New Roman" w:cs="Times New Roman"/>
          <w:sz w:val="24"/>
          <w:szCs w:val="24"/>
        </w:rPr>
        <w:t>Page 5 line 64-69: Please mention the 1244 clone as this one showed reduced off-target effects without compromising the on-target recombination activity.</w:t>
      </w:r>
    </w:p>
    <w:p w14:paraId="04975528" w14:textId="77777777" w:rsidR="00AD6DD7" w:rsidRPr="00AD6DD7" w:rsidRDefault="00AD6DD7" w:rsidP="00AD6DD7">
      <w:pPr>
        <w:pStyle w:val="ListParagraph"/>
        <w:spacing w:after="0" w:line="240" w:lineRule="auto"/>
        <w:rPr>
          <w:rFonts w:ascii="Times New Roman" w:eastAsia="Times New Roman" w:hAnsi="Times New Roman" w:cs="Times New Roman"/>
          <w:sz w:val="24"/>
          <w:szCs w:val="24"/>
        </w:rPr>
      </w:pPr>
    </w:p>
    <w:p w14:paraId="2CE7E344" w14:textId="77777777" w:rsidR="00AD6DD7" w:rsidRPr="00AD6DD7" w:rsidRDefault="00AD6DD7" w:rsidP="00AD6DD7">
      <w:pPr>
        <w:spacing w:after="0" w:line="240" w:lineRule="auto"/>
        <w:rPr>
          <w:rFonts w:ascii="Times New Roman" w:eastAsia="Times New Roman" w:hAnsi="Times New Roman" w:cs="Times New Roman"/>
          <w:sz w:val="24"/>
          <w:szCs w:val="24"/>
        </w:rPr>
      </w:pPr>
    </w:p>
    <w:p w14:paraId="58AD2DC8" w14:textId="77777777" w:rsidR="00AD6DD7" w:rsidRPr="00B8175F" w:rsidRDefault="00AD6DD7" w:rsidP="00AD6DD7">
      <w:pPr>
        <w:spacing w:after="200" w:line="240" w:lineRule="auto"/>
        <w:rPr>
          <w:rFonts w:ascii="Times New Roman" w:eastAsia="Times New Roman" w:hAnsi="Times New Roman" w:cs="Times New Roman"/>
          <w:sz w:val="24"/>
          <w:szCs w:val="24"/>
        </w:rPr>
      </w:pPr>
      <w:r w:rsidRPr="00B8175F">
        <w:rPr>
          <w:rFonts w:ascii="Times New Roman" w:eastAsia="Times New Roman" w:hAnsi="Times New Roman" w:cs="Times New Roman"/>
          <w:b/>
          <w:bCs/>
          <w:color w:val="000000"/>
        </w:rPr>
        <w:t>Authors Response</w:t>
      </w:r>
    </w:p>
    <w:p w14:paraId="06C2329E" w14:textId="77777777" w:rsidR="00AD6DD7" w:rsidRPr="00B8175F" w:rsidRDefault="00AD6DD7" w:rsidP="00AD6DD7">
      <w:pPr>
        <w:spacing w:after="200" w:line="240" w:lineRule="auto"/>
        <w:rPr>
          <w:rFonts w:ascii="Times New Roman" w:eastAsia="Times New Roman" w:hAnsi="Times New Roman" w:cs="Times New Roman"/>
          <w:sz w:val="24"/>
          <w:szCs w:val="24"/>
        </w:rPr>
      </w:pPr>
      <w:r w:rsidRPr="00B8175F">
        <w:rPr>
          <w:rFonts w:ascii="Times New Roman" w:eastAsia="Times New Roman" w:hAnsi="Times New Roman" w:cs="Times New Roman"/>
          <w:b/>
          <w:bCs/>
          <w:color w:val="000000"/>
        </w:rPr>
        <w:t>Point-by-point responses to the reviewers’ comments: </w:t>
      </w:r>
    </w:p>
    <w:p w14:paraId="08392E86" w14:textId="77777777" w:rsidR="00AD6DD7" w:rsidRPr="00AD6DD7" w:rsidRDefault="00AD6DD7" w:rsidP="00AD6DD7">
      <w:pPr>
        <w:spacing w:after="0" w:line="240" w:lineRule="auto"/>
        <w:jc w:val="both"/>
        <w:rPr>
          <w:rFonts w:ascii="Arial" w:eastAsia="Times New Roman" w:hAnsi="Arial" w:cs="Arial"/>
          <w:color w:val="1D1D1D"/>
          <w:sz w:val="20"/>
          <w:szCs w:val="20"/>
          <w:lang w:eastAsia="en-GB"/>
        </w:rPr>
      </w:pPr>
      <w:r w:rsidRPr="00AD6DD7">
        <w:rPr>
          <w:rFonts w:ascii="Arial" w:eastAsia="Times New Roman" w:hAnsi="Arial" w:cs="Arial"/>
          <w:color w:val="1D1D1D"/>
          <w:sz w:val="20"/>
          <w:szCs w:val="20"/>
          <w:lang w:eastAsia="en-GB"/>
        </w:rPr>
        <w:t>Reviewer #1: In this manuscript, the authors present a high-throughput screening platform combining UMI clustering and nanopore sequencing to characterize thousands of DNA editing enzyme variants on multiple target sites, and demonstrated the applicability of this platform on two different DNA editing systems. A few of my concerns for the authors to consider: </w:t>
      </w:r>
    </w:p>
    <w:p w14:paraId="14BA6F06" w14:textId="77777777" w:rsidR="00AD6DD7" w:rsidRPr="00AD6DD7" w:rsidRDefault="00AD6DD7" w:rsidP="00AD6DD7">
      <w:pPr>
        <w:spacing w:after="0" w:line="240" w:lineRule="auto"/>
        <w:jc w:val="both"/>
        <w:rPr>
          <w:rFonts w:ascii="Arial" w:eastAsia="Times New Roman" w:hAnsi="Arial" w:cs="Arial"/>
          <w:color w:val="1D1D1D"/>
          <w:sz w:val="20"/>
          <w:szCs w:val="20"/>
          <w:lang w:eastAsia="en-GB"/>
        </w:rPr>
      </w:pPr>
    </w:p>
    <w:p w14:paraId="4F41F054" w14:textId="77777777" w:rsidR="00AD6DD7" w:rsidRPr="00AD6DD7" w:rsidRDefault="00AD6DD7" w:rsidP="00AD6DD7">
      <w:pPr>
        <w:spacing w:after="0" w:line="240" w:lineRule="auto"/>
        <w:jc w:val="both"/>
        <w:rPr>
          <w:rFonts w:ascii="Arial" w:eastAsia="Times New Roman" w:hAnsi="Arial" w:cs="Arial"/>
          <w:b/>
          <w:bCs/>
          <w:color w:val="4472C4"/>
          <w:sz w:val="20"/>
          <w:szCs w:val="20"/>
          <w:lang w:eastAsia="en-GB"/>
        </w:rPr>
      </w:pPr>
      <w:r w:rsidRPr="00AD6DD7">
        <w:rPr>
          <w:rFonts w:ascii="Arial" w:eastAsia="Times New Roman" w:hAnsi="Arial" w:cs="Arial"/>
          <w:b/>
          <w:bCs/>
          <w:color w:val="4472C4"/>
          <w:sz w:val="20"/>
          <w:szCs w:val="20"/>
          <w:lang w:eastAsia="en-GB"/>
        </w:rPr>
        <w:t>Reply: We thank reviewer#1 for the comments and suggestions that we have addressed as outlined below.</w:t>
      </w:r>
    </w:p>
    <w:p w14:paraId="2FAD945E" w14:textId="77777777" w:rsidR="00AD6DD7" w:rsidRPr="00AD6DD7" w:rsidRDefault="00AD6DD7" w:rsidP="00AD6DD7">
      <w:pPr>
        <w:spacing w:after="0" w:line="240" w:lineRule="auto"/>
        <w:jc w:val="both"/>
        <w:rPr>
          <w:rFonts w:ascii="Arial" w:eastAsia="Times New Roman" w:hAnsi="Arial" w:cs="Arial"/>
          <w:color w:val="1D1D1D"/>
          <w:sz w:val="20"/>
          <w:szCs w:val="20"/>
          <w:lang w:eastAsia="en-GB"/>
        </w:rPr>
      </w:pPr>
    </w:p>
    <w:p w14:paraId="3121A96C" w14:textId="77777777" w:rsidR="00AD6DD7" w:rsidRPr="00AD6DD7" w:rsidRDefault="00AD6DD7" w:rsidP="00AD6DD7">
      <w:pPr>
        <w:spacing w:after="0" w:line="240" w:lineRule="auto"/>
        <w:jc w:val="both"/>
        <w:rPr>
          <w:rFonts w:ascii="Arial" w:eastAsia="Times New Roman" w:hAnsi="Arial" w:cs="Arial"/>
          <w:color w:val="1D1D1D"/>
          <w:sz w:val="20"/>
          <w:szCs w:val="20"/>
          <w:lang w:eastAsia="en-GB"/>
        </w:rPr>
      </w:pPr>
      <w:r w:rsidRPr="00AD6DD7">
        <w:rPr>
          <w:rFonts w:ascii="Arial" w:eastAsia="Times New Roman" w:hAnsi="Arial" w:cs="Arial"/>
          <w:color w:val="1D1D1D"/>
          <w:sz w:val="20"/>
          <w:szCs w:val="20"/>
          <w:lang w:eastAsia="en-GB"/>
        </w:rPr>
        <w:lastRenderedPageBreak/>
        <w:t>1.      I am not very convinced by the statement "to our knowledge none of these enable the efficient linkage of genotype and phenotype information retrieval at scale". I hope that the authors can further elaborate and be cautious of using such a firm statement. As protein directed evolution is based on phenotypic outcome as a screening criterion, functional variants are selected from a library of various genotypes.</w:t>
      </w:r>
    </w:p>
    <w:p w14:paraId="736D74D0" w14:textId="77777777" w:rsidR="00AD6DD7" w:rsidRPr="00AD6DD7" w:rsidRDefault="00AD6DD7" w:rsidP="00AD6DD7">
      <w:pPr>
        <w:spacing w:after="0" w:line="240" w:lineRule="auto"/>
        <w:jc w:val="both"/>
        <w:rPr>
          <w:rFonts w:ascii="Arial" w:eastAsia="Times New Roman" w:hAnsi="Arial" w:cs="Arial"/>
          <w:color w:val="1D1D1D"/>
          <w:sz w:val="20"/>
          <w:szCs w:val="20"/>
          <w:lang w:eastAsia="en-GB"/>
        </w:rPr>
      </w:pPr>
    </w:p>
    <w:p w14:paraId="492754EF" w14:textId="77777777" w:rsidR="00AD6DD7" w:rsidRPr="00AD6DD7" w:rsidRDefault="00AD6DD7" w:rsidP="00AD6DD7">
      <w:pPr>
        <w:spacing w:after="0" w:line="240" w:lineRule="auto"/>
        <w:jc w:val="both"/>
        <w:rPr>
          <w:rFonts w:ascii="Arial" w:eastAsia="Times New Roman" w:hAnsi="Arial" w:cs="Arial"/>
          <w:b/>
          <w:bCs/>
          <w:color w:val="4472C4"/>
          <w:sz w:val="20"/>
          <w:szCs w:val="20"/>
          <w:lang w:eastAsia="en-GB"/>
        </w:rPr>
      </w:pPr>
      <w:r w:rsidRPr="00AD6DD7">
        <w:rPr>
          <w:rFonts w:ascii="Arial" w:eastAsia="Times New Roman" w:hAnsi="Arial" w:cs="Arial"/>
          <w:b/>
          <w:bCs/>
          <w:color w:val="4472C4"/>
          <w:sz w:val="20"/>
          <w:szCs w:val="20"/>
          <w:lang w:eastAsia="en-GB"/>
        </w:rPr>
        <w:t>Reply: We thank the reviewer for this cautious note. We have toned down the statement. We have also extended the background section and more specifically elaborate on limitations of other methods.</w:t>
      </w:r>
    </w:p>
    <w:p w14:paraId="04F23AF5" w14:textId="77777777" w:rsidR="00AD6DD7" w:rsidRPr="00AD6DD7" w:rsidRDefault="00AD6DD7" w:rsidP="00AD6DD7">
      <w:pPr>
        <w:spacing w:after="0" w:line="240" w:lineRule="auto"/>
        <w:jc w:val="both"/>
        <w:rPr>
          <w:rFonts w:ascii="Arial" w:eastAsia="Times New Roman" w:hAnsi="Arial" w:cs="Arial"/>
          <w:color w:val="1D1D1D"/>
          <w:sz w:val="20"/>
          <w:szCs w:val="20"/>
          <w:lang w:eastAsia="en-GB"/>
        </w:rPr>
      </w:pPr>
      <w:r w:rsidRPr="00AD6DD7">
        <w:rPr>
          <w:rFonts w:ascii="Arial" w:eastAsia="Times New Roman" w:hAnsi="Arial" w:cs="Arial"/>
          <w:color w:val="1D1D1D"/>
          <w:sz w:val="20"/>
          <w:szCs w:val="20"/>
          <w:lang w:eastAsia="en-GB"/>
        </w:rPr>
        <w:br/>
        <w:t>2.      3-candidate variants (138, 181, 1244 for recombinase variants, and 2, 3030, 3301 for Cas12f-ABE) were selected to validate the DEQSeq result. However, the manuscript did not provide a clear explanation on which specific variant was optimal and how the authors determined its importance. Based on the information provided, "optimal" in the sentence "…selection of optimal genome enzymes from directed molecular evolution experiments…" may not accurate.</w:t>
      </w:r>
    </w:p>
    <w:p w14:paraId="5BCC6C38" w14:textId="77777777" w:rsidR="00AD6DD7" w:rsidRPr="00AD6DD7" w:rsidRDefault="00AD6DD7" w:rsidP="00AD6DD7">
      <w:pPr>
        <w:spacing w:after="0" w:line="240" w:lineRule="auto"/>
        <w:jc w:val="both"/>
        <w:rPr>
          <w:rFonts w:ascii="Arial" w:eastAsia="Times New Roman" w:hAnsi="Arial" w:cs="Arial"/>
          <w:color w:val="1D1D1D"/>
          <w:sz w:val="20"/>
          <w:szCs w:val="20"/>
          <w:lang w:eastAsia="en-GB"/>
        </w:rPr>
      </w:pPr>
    </w:p>
    <w:p w14:paraId="4C60886B" w14:textId="77777777" w:rsidR="00AD6DD7" w:rsidRPr="00AD6DD7" w:rsidRDefault="00AD6DD7" w:rsidP="00AD6DD7">
      <w:pPr>
        <w:spacing w:after="0" w:line="240" w:lineRule="auto"/>
        <w:jc w:val="both"/>
        <w:rPr>
          <w:rFonts w:ascii="Arial" w:eastAsia="Times New Roman" w:hAnsi="Arial" w:cs="Arial"/>
          <w:b/>
          <w:bCs/>
          <w:color w:val="4472C4"/>
          <w:sz w:val="20"/>
          <w:szCs w:val="20"/>
          <w:lang w:eastAsia="en-GB"/>
        </w:rPr>
      </w:pPr>
      <w:r w:rsidRPr="00AD6DD7">
        <w:rPr>
          <w:rFonts w:ascii="Arial" w:eastAsia="Times New Roman" w:hAnsi="Arial" w:cs="Arial"/>
          <w:b/>
          <w:bCs/>
          <w:color w:val="4472C4"/>
          <w:sz w:val="20"/>
          <w:szCs w:val="20"/>
          <w:lang w:eastAsia="en-GB"/>
        </w:rPr>
        <w:t>Reply: We agree with the reviewer that “optimal” could be misleading in this context. We have therefore changed the wording to “favorable”. In addition, we have extended the validation to 6-candidate variants for the recombinases and the ABE.</w:t>
      </w:r>
    </w:p>
    <w:p w14:paraId="2E5E562D" w14:textId="77777777" w:rsidR="00AD6DD7" w:rsidRPr="00AD6DD7" w:rsidRDefault="00AD6DD7" w:rsidP="00AD6DD7">
      <w:pPr>
        <w:spacing w:after="0" w:line="240" w:lineRule="auto"/>
        <w:jc w:val="both"/>
        <w:rPr>
          <w:rFonts w:ascii="Arial" w:eastAsia="Times New Roman" w:hAnsi="Arial" w:cs="Arial"/>
          <w:color w:val="1D1D1D"/>
          <w:sz w:val="20"/>
          <w:szCs w:val="20"/>
          <w:lang w:eastAsia="en-GB"/>
        </w:rPr>
      </w:pPr>
      <w:r w:rsidRPr="00AD6DD7">
        <w:rPr>
          <w:rFonts w:ascii="Arial" w:eastAsia="Times New Roman" w:hAnsi="Arial" w:cs="Arial"/>
          <w:color w:val="1D1D1D"/>
          <w:sz w:val="20"/>
          <w:szCs w:val="20"/>
          <w:lang w:eastAsia="en-GB"/>
        </w:rPr>
        <w:br/>
        <w:t>3.      The manuscript does not provide information comparing off-target activity of evolved high editing efficiency Cas12f-ABE variants with Un1Cas12f1-ABE8e across the whole genome. If the off-target results demonstrate comparable levels of activity, it would serve as a strong endorsement for the effectiveness of DEQSeq.</w:t>
      </w:r>
    </w:p>
    <w:p w14:paraId="741CC600" w14:textId="77777777" w:rsidR="00AD6DD7" w:rsidRPr="00AD6DD7" w:rsidRDefault="00AD6DD7" w:rsidP="00AD6DD7">
      <w:pPr>
        <w:spacing w:after="0" w:line="240" w:lineRule="auto"/>
        <w:jc w:val="both"/>
        <w:rPr>
          <w:rFonts w:ascii="Arial" w:eastAsia="Times New Roman" w:hAnsi="Arial" w:cs="Arial"/>
          <w:color w:val="1D1D1D"/>
          <w:sz w:val="20"/>
          <w:szCs w:val="20"/>
          <w:lang w:eastAsia="en-GB"/>
        </w:rPr>
      </w:pPr>
    </w:p>
    <w:p w14:paraId="0EE4DD0C" w14:textId="77777777" w:rsidR="00AD6DD7" w:rsidRPr="00AD6DD7" w:rsidRDefault="00AD6DD7" w:rsidP="00AD6DD7">
      <w:pPr>
        <w:spacing w:after="0" w:line="240" w:lineRule="auto"/>
        <w:jc w:val="both"/>
        <w:rPr>
          <w:rFonts w:ascii="Arial" w:eastAsia="Times New Roman" w:hAnsi="Arial" w:cs="Arial"/>
          <w:b/>
          <w:bCs/>
          <w:color w:val="4472C4"/>
          <w:sz w:val="20"/>
          <w:szCs w:val="20"/>
          <w:lang w:eastAsia="en-GB"/>
        </w:rPr>
      </w:pPr>
      <w:r w:rsidRPr="00AD6DD7">
        <w:rPr>
          <w:rFonts w:ascii="Arial" w:eastAsia="Times New Roman" w:hAnsi="Arial" w:cs="Arial"/>
          <w:b/>
          <w:bCs/>
          <w:color w:val="4472C4"/>
          <w:sz w:val="20"/>
          <w:szCs w:val="20"/>
          <w:lang w:eastAsia="en-GB"/>
        </w:rPr>
        <w:t>Reply: We acknowledge the importance of thoroughly characterizing the selected variants, but it's crucial to note that a comprehensive analysis of the variants goes beyond the scope of this manuscript. The focus of the current work lies in presenting a versatile methodology for the systematic selection of favorable clones from extensive directed evolution libraries, which, in itself, constitutes a significant advancement.</w:t>
      </w:r>
    </w:p>
    <w:p w14:paraId="7D00D053" w14:textId="77777777" w:rsidR="00AD6DD7" w:rsidRPr="00AD6DD7" w:rsidRDefault="00AD6DD7" w:rsidP="00AD6DD7">
      <w:pPr>
        <w:spacing w:after="0" w:line="240" w:lineRule="auto"/>
        <w:jc w:val="both"/>
        <w:rPr>
          <w:rFonts w:ascii="Arial" w:eastAsia="Times New Roman" w:hAnsi="Arial" w:cs="Arial"/>
          <w:b/>
          <w:bCs/>
          <w:color w:val="4472C4"/>
          <w:sz w:val="20"/>
          <w:szCs w:val="20"/>
          <w:lang w:eastAsia="en-GB"/>
        </w:rPr>
      </w:pPr>
    </w:p>
    <w:p w14:paraId="2344FE7C" w14:textId="77777777" w:rsidR="00AD6DD7" w:rsidRPr="00AD6DD7" w:rsidRDefault="00AD6DD7" w:rsidP="00AD6DD7">
      <w:pPr>
        <w:spacing w:after="0" w:line="240" w:lineRule="auto"/>
        <w:jc w:val="both"/>
        <w:rPr>
          <w:rFonts w:ascii="Arial" w:eastAsia="Times New Roman" w:hAnsi="Arial" w:cs="Arial"/>
          <w:b/>
          <w:bCs/>
          <w:color w:val="4472C4"/>
          <w:sz w:val="20"/>
          <w:szCs w:val="20"/>
          <w:lang w:eastAsia="en-GB"/>
        </w:rPr>
      </w:pPr>
      <w:r w:rsidRPr="00AD6DD7">
        <w:rPr>
          <w:rFonts w:ascii="Arial" w:eastAsia="Times New Roman" w:hAnsi="Arial" w:cs="Arial"/>
          <w:b/>
          <w:bCs/>
          <w:color w:val="4472C4"/>
          <w:sz w:val="20"/>
          <w:szCs w:val="20"/>
          <w:lang w:eastAsia="en-GB"/>
        </w:rPr>
        <w:t xml:space="preserve">The exhaustive characterization of Cas12f-ABE variants, as well as a comprehensive analysis of the recombinase clones as described, presents a challenge within the confines of a single manuscript due to inherent space limitations. While we recognize the value of such a detailed characterization, it's worth emphasizing that our primary intention was to introduce and demonstrate the efficacy of </w:t>
      </w:r>
      <w:proofErr w:type="spellStart"/>
      <w:r w:rsidRPr="00AD6DD7">
        <w:rPr>
          <w:rFonts w:ascii="Arial" w:eastAsia="Times New Roman" w:hAnsi="Arial" w:cs="Arial"/>
          <w:b/>
          <w:bCs/>
          <w:color w:val="4472C4"/>
          <w:sz w:val="20"/>
          <w:szCs w:val="20"/>
          <w:lang w:eastAsia="en-GB"/>
        </w:rPr>
        <w:t>DEQSeq</w:t>
      </w:r>
      <w:proofErr w:type="spellEnd"/>
      <w:r w:rsidRPr="00AD6DD7">
        <w:rPr>
          <w:rFonts w:ascii="Arial" w:eastAsia="Times New Roman" w:hAnsi="Arial" w:cs="Arial"/>
          <w:b/>
          <w:bCs/>
          <w:color w:val="4472C4"/>
          <w:sz w:val="20"/>
          <w:szCs w:val="20"/>
          <w:lang w:eastAsia="en-GB"/>
        </w:rPr>
        <w:t>.</w:t>
      </w:r>
    </w:p>
    <w:p w14:paraId="28E3981D" w14:textId="77777777" w:rsidR="00AD6DD7" w:rsidRPr="00AD6DD7" w:rsidRDefault="00AD6DD7" w:rsidP="00AD6DD7">
      <w:pPr>
        <w:spacing w:after="0" w:line="240" w:lineRule="auto"/>
        <w:jc w:val="both"/>
        <w:rPr>
          <w:rFonts w:ascii="Arial" w:eastAsia="Times New Roman" w:hAnsi="Arial" w:cs="Arial"/>
          <w:b/>
          <w:bCs/>
          <w:color w:val="4472C4"/>
          <w:sz w:val="20"/>
          <w:szCs w:val="20"/>
          <w:lang w:eastAsia="en-GB"/>
        </w:rPr>
      </w:pPr>
    </w:p>
    <w:p w14:paraId="3E4F6BCC" w14:textId="77777777" w:rsidR="00AD6DD7" w:rsidRPr="00AD6DD7" w:rsidRDefault="00AD6DD7" w:rsidP="00AD6DD7">
      <w:pPr>
        <w:spacing w:after="0" w:line="240" w:lineRule="auto"/>
        <w:jc w:val="both"/>
        <w:rPr>
          <w:rFonts w:ascii="Arial" w:eastAsia="Times New Roman" w:hAnsi="Arial" w:cs="Arial"/>
          <w:b/>
          <w:bCs/>
          <w:color w:val="4472C4"/>
          <w:sz w:val="20"/>
          <w:szCs w:val="20"/>
          <w:lang w:eastAsia="en-GB"/>
        </w:rPr>
      </w:pPr>
      <w:r w:rsidRPr="00AD6DD7">
        <w:rPr>
          <w:rFonts w:ascii="Arial" w:eastAsia="Times New Roman" w:hAnsi="Arial" w:cs="Arial"/>
          <w:b/>
          <w:bCs/>
          <w:color w:val="4472C4"/>
          <w:sz w:val="20"/>
          <w:szCs w:val="20"/>
          <w:lang w:eastAsia="en-GB"/>
        </w:rPr>
        <w:t xml:space="preserve">Nevertheless, to provide meaningful insights into the capabilities of </w:t>
      </w:r>
      <w:proofErr w:type="spellStart"/>
      <w:r w:rsidRPr="00AD6DD7">
        <w:rPr>
          <w:rFonts w:ascii="Arial" w:eastAsia="Times New Roman" w:hAnsi="Arial" w:cs="Arial"/>
          <w:b/>
          <w:bCs/>
          <w:color w:val="4472C4"/>
          <w:sz w:val="20"/>
          <w:szCs w:val="20"/>
          <w:lang w:eastAsia="en-GB"/>
        </w:rPr>
        <w:t>DEQSeq</w:t>
      </w:r>
      <w:proofErr w:type="spellEnd"/>
      <w:r w:rsidRPr="00AD6DD7">
        <w:rPr>
          <w:rFonts w:ascii="Arial" w:eastAsia="Times New Roman" w:hAnsi="Arial" w:cs="Arial"/>
          <w:b/>
          <w:bCs/>
          <w:color w:val="4472C4"/>
          <w:sz w:val="20"/>
          <w:szCs w:val="20"/>
          <w:lang w:eastAsia="en-GB"/>
        </w:rPr>
        <w:t xml:space="preserve">, we undertook a targeted approach. We specifically benchmarked the </w:t>
      </w:r>
      <w:proofErr w:type="spellStart"/>
      <w:r w:rsidRPr="00AD6DD7">
        <w:rPr>
          <w:rFonts w:ascii="Arial" w:eastAsia="Times New Roman" w:hAnsi="Arial" w:cs="Arial"/>
          <w:b/>
          <w:bCs/>
          <w:color w:val="4472C4"/>
          <w:sz w:val="20"/>
          <w:szCs w:val="20"/>
          <w:lang w:eastAsia="en-GB"/>
        </w:rPr>
        <w:t>TadA</w:t>
      </w:r>
      <w:proofErr w:type="spellEnd"/>
      <w:r w:rsidRPr="00AD6DD7">
        <w:rPr>
          <w:rFonts w:ascii="Arial" w:eastAsia="Times New Roman" w:hAnsi="Arial" w:cs="Arial"/>
          <w:b/>
          <w:bCs/>
          <w:color w:val="4472C4"/>
          <w:sz w:val="20"/>
          <w:szCs w:val="20"/>
          <w:lang w:eastAsia="en-GB"/>
        </w:rPr>
        <w:t xml:space="preserve"> domains of three selected variants against the established ABE8e, and delved into a thorough comparison of the off-target activity exhibited by one variant, ABE3030, as compared to ABE8e. The results of these analyses serve as a robust endorsement of the effectiveness of </w:t>
      </w:r>
      <w:proofErr w:type="spellStart"/>
      <w:r w:rsidRPr="00AD6DD7">
        <w:rPr>
          <w:rFonts w:ascii="Arial" w:eastAsia="Times New Roman" w:hAnsi="Arial" w:cs="Arial"/>
          <w:b/>
          <w:bCs/>
          <w:color w:val="4472C4"/>
          <w:sz w:val="20"/>
          <w:szCs w:val="20"/>
          <w:lang w:eastAsia="en-GB"/>
        </w:rPr>
        <w:t>DEQSeq</w:t>
      </w:r>
      <w:proofErr w:type="spellEnd"/>
      <w:r w:rsidRPr="00AD6DD7">
        <w:rPr>
          <w:rFonts w:ascii="Arial" w:eastAsia="Times New Roman" w:hAnsi="Arial" w:cs="Arial"/>
          <w:b/>
          <w:bCs/>
          <w:color w:val="4472C4"/>
          <w:sz w:val="20"/>
          <w:szCs w:val="20"/>
          <w:lang w:eastAsia="en-GB"/>
        </w:rPr>
        <w:t>, reinforcing its potential as a valuable tool to advance the field.</w:t>
      </w:r>
    </w:p>
    <w:p w14:paraId="07E75418" w14:textId="77777777" w:rsidR="00AD6DD7" w:rsidRPr="00AD6DD7" w:rsidRDefault="00AD6DD7" w:rsidP="00AD6DD7">
      <w:pPr>
        <w:spacing w:after="0" w:line="240" w:lineRule="auto"/>
        <w:jc w:val="both"/>
        <w:rPr>
          <w:rFonts w:ascii="Arial" w:eastAsia="Times New Roman" w:hAnsi="Arial" w:cs="Arial"/>
          <w:b/>
          <w:bCs/>
          <w:color w:val="4472C4"/>
          <w:sz w:val="20"/>
          <w:szCs w:val="20"/>
          <w:lang w:eastAsia="en-GB"/>
        </w:rPr>
      </w:pPr>
    </w:p>
    <w:p w14:paraId="5091CE2C" w14:textId="77777777" w:rsidR="00AD6DD7" w:rsidRPr="00AD6DD7" w:rsidRDefault="00AD6DD7" w:rsidP="00AD6DD7">
      <w:pPr>
        <w:spacing w:after="0" w:line="240" w:lineRule="auto"/>
        <w:jc w:val="both"/>
        <w:rPr>
          <w:rFonts w:ascii="Arial" w:eastAsia="Times New Roman" w:hAnsi="Arial" w:cs="Arial"/>
          <w:b/>
          <w:bCs/>
          <w:color w:val="4472C4"/>
          <w:sz w:val="20"/>
          <w:szCs w:val="20"/>
          <w:lang w:eastAsia="en-GB"/>
        </w:rPr>
      </w:pPr>
      <w:r w:rsidRPr="00AD6DD7">
        <w:rPr>
          <w:rFonts w:ascii="Arial" w:eastAsia="Times New Roman" w:hAnsi="Arial" w:cs="Arial"/>
          <w:b/>
          <w:bCs/>
          <w:color w:val="4472C4"/>
          <w:sz w:val="20"/>
          <w:szCs w:val="20"/>
          <w:lang w:eastAsia="en-GB"/>
        </w:rPr>
        <w:t xml:space="preserve">We also would like to point out, that we also demonstrate the effectiveness of </w:t>
      </w:r>
      <w:proofErr w:type="spellStart"/>
      <w:r w:rsidRPr="00AD6DD7">
        <w:rPr>
          <w:rFonts w:ascii="Arial" w:eastAsia="Times New Roman" w:hAnsi="Arial" w:cs="Arial"/>
          <w:b/>
          <w:bCs/>
          <w:color w:val="4472C4"/>
          <w:sz w:val="20"/>
          <w:szCs w:val="20"/>
          <w:lang w:eastAsia="en-GB"/>
        </w:rPr>
        <w:t>DEQSeq</w:t>
      </w:r>
      <w:proofErr w:type="spellEnd"/>
      <w:r w:rsidRPr="00AD6DD7">
        <w:rPr>
          <w:rFonts w:ascii="Arial" w:eastAsia="Times New Roman" w:hAnsi="Arial" w:cs="Arial"/>
          <w:b/>
          <w:bCs/>
          <w:color w:val="4472C4"/>
          <w:sz w:val="20"/>
          <w:szCs w:val="20"/>
          <w:lang w:eastAsia="en-GB"/>
        </w:rPr>
        <w:t xml:space="preserve"> with the recombinase variants that we characterize, including their off-target activity.</w:t>
      </w:r>
    </w:p>
    <w:p w14:paraId="049F4355" w14:textId="77777777" w:rsidR="00AD6DD7" w:rsidRPr="00AD6DD7" w:rsidRDefault="00AD6DD7" w:rsidP="00AD6DD7">
      <w:pPr>
        <w:spacing w:after="0" w:line="240" w:lineRule="auto"/>
        <w:jc w:val="both"/>
        <w:rPr>
          <w:rFonts w:ascii="Arial" w:eastAsia="Times New Roman" w:hAnsi="Arial" w:cs="Arial"/>
          <w:b/>
          <w:bCs/>
          <w:color w:val="4472C4"/>
          <w:sz w:val="20"/>
          <w:szCs w:val="20"/>
          <w:lang w:eastAsia="en-GB"/>
        </w:rPr>
      </w:pPr>
    </w:p>
    <w:p w14:paraId="6CE6C315" w14:textId="77777777" w:rsidR="00AD6DD7" w:rsidRPr="00AD6DD7" w:rsidRDefault="00AD6DD7" w:rsidP="00AD6DD7">
      <w:pPr>
        <w:spacing w:after="0" w:line="240" w:lineRule="auto"/>
        <w:jc w:val="both"/>
        <w:rPr>
          <w:rFonts w:ascii="Arial" w:eastAsia="Times New Roman" w:hAnsi="Arial" w:cs="Arial"/>
          <w:b/>
          <w:bCs/>
          <w:color w:val="4472C4"/>
          <w:sz w:val="20"/>
          <w:szCs w:val="20"/>
          <w:lang w:eastAsia="en-GB"/>
        </w:rPr>
      </w:pPr>
      <w:r w:rsidRPr="00AD6DD7">
        <w:rPr>
          <w:rFonts w:ascii="Arial" w:eastAsia="Times New Roman" w:hAnsi="Arial" w:cs="Arial"/>
          <w:b/>
          <w:bCs/>
          <w:color w:val="4472C4"/>
          <w:sz w:val="20"/>
          <w:szCs w:val="20"/>
          <w:lang w:eastAsia="en-GB"/>
        </w:rPr>
        <w:t xml:space="preserve">In conclusion, while we recognize the importance of a more extensive characterization, the current manuscript emphasizes the novel approach of </w:t>
      </w:r>
      <w:proofErr w:type="spellStart"/>
      <w:r w:rsidRPr="00AD6DD7">
        <w:rPr>
          <w:rFonts w:ascii="Arial" w:eastAsia="Times New Roman" w:hAnsi="Arial" w:cs="Arial"/>
          <w:b/>
          <w:bCs/>
          <w:color w:val="4472C4"/>
          <w:sz w:val="20"/>
          <w:szCs w:val="20"/>
          <w:lang w:eastAsia="en-GB"/>
        </w:rPr>
        <w:t>DEQSeq</w:t>
      </w:r>
      <w:proofErr w:type="spellEnd"/>
      <w:r w:rsidRPr="00AD6DD7">
        <w:rPr>
          <w:rFonts w:ascii="Arial" w:eastAsia="Times New Roman" w:hAnsi="Arial" w:cs="Arial"/>
          <w:b/>
          <w:bCs/>
          <w:color w:val="4472C4"/>
          <w:sz w:val="20"/>
          <w:szCs w:val="20"/>
          <w:lang w:eastAsia="en-GB"/>
        </w:rPr>
        <w:t xml:space="preserve"> and provides substantial evidence of its utility through focused assessments of specific variants. Further studies will have to explore the broader landscape of variant characterization, but our work contributes significantly to advancing the field by introducing and validating </w:t>
      </w:r>
      <w:proofErr w:type="spellStart"/>
      <w:r w:rsidRPr="00AD6DD7">
        <w:rPr>
          <w:rFonts w:ascii="Arial" w:eastAsia="Times New Roman" w:hAnsi="Arial" w:cs="Arial"/>
          <w:b/>
          <w:bCs/>
          <w:color w:val="4472C4"/>
          <w:sz w:val="20"/>
          <w:szCs w:val="20"/>
          <w:lang w:eastAsia="en-GB"/>
        </w:rPr>
        <w:t>DEQSeq</w:t>
      </w:r>
      <w:proofErr w:type="spellEnd"/>
      <w:r w:rsidRPr="00AD6DD7">
        <w:rPr>
          <w:rFonts w:ascii="Arial" w:eastAsia="Times New Roman" w:hAnsi="Arial" w:cs="Arial"/>
          <w:b/>
          <w:bCs/>
          <w:color w:val="4472C4"/>
          <w:sz w:val="20"/>
          <w:szCs w:val="20"/>
          <w:lang w:eastAsia="en-GB"/>
        </w:rPr>
        <w:t xml:space="preserve"> as a powerful methodology.</w:t>
      </w:r>
    </w:p>
    <w:p w14:paraId="6BD6E71A" w14:textId="77777777" w:rsidR="00AD6DD7" w:rsidRPr="00AD6DD7" w:rsidRDefault="00AD6DD7" w:rsidP="00AD6DD7">
      <w:pPr>
        <w:spacing w:after="0" w:line="240" w:lineRule="auto"/>
        <w:jc w:val="both"/>
        <w:rPr>
          <w:rFonts w:ascii="Arial" w:eastAsia="Times New Roman" w:hAnsi="Arial" w:cs="Arial"/>
          <w:color w:val="1D1D1D"/>
          <w:sz w:val="20"/>
          <w:szCs w:val="20"/>
          <w:lang w:eastAsia="en-GB"/>
        </w:rPr>
      </w:pPr>
      <w:r w:rsidRPr="00AD6DD7">
        <w:rPr>
          <w:rFonts w:ascii="Arial" w:eastAsia="Times New Roman" w:hAnsi="Arial" w:cs="Arial"/>
          <w:color w:val="1D1D1D"/>
          <w:sz w:val="20"/>
          <w:szCs w:val="20"/>
          <w:lang w:eastAsia="en-GB"/>
        </w:rPr>
        <w:br/>
        <w:t>4.      Could the authors consider inserting an enzyme cleavage site between the two loxF8 site and digesting with this enzyme prior to subcloning the 3 other target backbones (HG1, HG2, HG2L)? This could potentially help exclude variants that are not recombinantly active on the loxF8 site.</w:t>
      </w:r>
      <w:r w:rsidRPr="00AD6DD7">
        <w:rPr>
          <w:rFonts w:ascii="Arial" w:eastAsia="Times New Roman" w:hAnsi="Arial" w:cs="Arial"/>
          <w:color w:val="1D1D1D"/>
          <w:sz w:val="20"/>
          <w:szCs w:val="20"/>
          <w:lang w:eastAsia="en-GB"/>
        </w:rPr>
        <w:br/>
        <w:t>Minor points:</w:t>
      </w:r>
    </w:p>
    <w:p w14:paraId="2E6CAEA2" w14:textId="77777777" w:rsidR="00AD6DD7" w:rsidRPr="00AD6DD7" w:rsidRDefault="00AD6DD7" w:rsidP="00AD6DD7">
      <w:pPr>
        <w:spacing w:after="0" w:line="240" w:lineRule="auto"/>
        <w:jc w:val="both"/>
        <w:rPr>
          <w:rFonts w:ascii="Arial" w:eastAsia="Times New Roman" w:hAnsi="Arial" w:cs="Arial"/>
          <w:color w:val="1D1D1D"/>
          <w:sz w:val="20"/>
          <w:szCs w:val="20"/>
          <w:lang w:eastAsia="en-GB"/>
        </w:rPr>
      </w:pPr>
    </w:p>
    <w:p w14:paraId="1A743CC5" w14:textId="77777777" w:rsidR="00AD6DD7" w:rsidRPr="00AD6DD7" w:rsidRDefault="00AD6DD7" w:rsidP="00AD6DD7">
      <w:pPr>
        <w:spacing w:after="0" w:line="240" w:lineRule="auto"/>
        <w:jc w:val="both"/>
        <w:rPr>
          <w:rFonts w:ascii="Arial" w:eastAsia="Times New Roman" w:hAnsi="Arial" w:cs="Arial"/>
          <w:b/>
          <w:bCs/>
          <w:color w:val="4472C4"/>
          <w:sz w:val="20"/>
          <w:szCs w:val="20"/>
          <w:lang w:eastAsia="en-GB"/>
        </w:rPr>
      </w:pPr>
      <w:r w:rsidRPr="00AD6DD7">
        <w:rPr>
          <w:rFonts w:ascii="Arial" w:eastAsia="Times New Roman" w:hAnsi="Arial" w:cs="Arial"/>
          <w:b/>
          <w:bCs/>
          <w:color w:val="4472C4"/>
          <w:sz w:val="20"/>
          <w:szCs w:val="20"/>
          <w:lang w:eastAsia="en-GB"/>
        </w:rPr>
        <w:t>Reply: It is indeed possible to perform this selection before cloning the subsampled library into the off-targets (see Suppl. Fig. 3). However, most of the recombinases in the pool already have good activity on loxF8 so that this enrichment would not substantially change the number of effective variants screened. In addition, the low number of inactive clones on loxF8 can also serve as an additional internal control, because none of these variants should recombine the off-target sites (which they don’t).</w:t>
      </w:r>
    </w:p>
    <w:p w14:paraId="784C02B7" w14:textId="77777777" w:rsidR="00AD6DD7" w:rsidRPr="00AD6DD7" w:rsidRDefault="00AD6DD7" w:rsidP="00AD6DD7">
      <w:pPr>
        <w:spacing w:after="0" w:line="240" w:lineRule="auto"/>
        <w:jc w:val="both"/>
        <w:rPr>
          <w:rFonts w:ascii="Arial" w:eastAsia="Times New Roman" w:hAnsi="Arial" w:cs="Arial"/>
          <w:color w:val="4472C4"/>
          <w:sz w:val="20"/>
          <w:szCs w:val="20"/>
          <w:lang w:eastAsia="en-GB"/>
        </w:rPr>
      </w:pPr>
    </w:p>
    <w:p w14:paraId="17112CAE" w14:textId="77777777" w:rsidR="00AD6DD7" w:rsidRPr="00AD6DD7" w:rsidRDefault="00AD6DD7" w:rsidP="00AD6DD7">
      <w:pPr>
        <w:spacing w:after="0" w:line="240" w:lineRule="auto"/>
        <w:jc w:val="both"/>
        <w:rPr>
          <w:rFonts w:ascii="Arial" w:eastAsia="Times New Roman" w:hAnsi="Arial" w:cs="Arial"/>
          <w:sz w:val="20"/>
          <w:szCs w:val="20"/>
          <w:lang w:eastAsia="en-GB"/>
        </w:rPr>
      </w:pPr>
      <w:r w:rsidRPr="00AD6DD7">
        <w:rPr>
          <w:rFonts w:ascii="Arial" w:eastAsia="Times New Roman" w:hAnsi="Arial" w:cs="Arial"/>
          <w:sz w:val="20"/>
          <w:szCs w:val="20"/>
          <w:lang w:eastAsia="en-GB"/>
        </w:rPr>
        <w:t>Minor points:</w:t>
      </w:r>
    </w:p>
    <w:p w14:paraId="08EBCEFB" w14:textId="77777777" w:rsidR="00AD6DD7" w:rsidRPr="00AD6DD7" w:rsidRDefault="00AD6DD7" w:rsidP="00AD6DD7">
      <w:pPr>
        <w:spacing w:after="0" w:line="240" w:lineRule="auto"/>
        <w:jc w:val="both"/>
        <w:rPr>
          <w:rFonts w:ascii="Arial" w:eastAsia="Times New Roman" w:hAnsi="Arial" w:cs="Arial"/>
          <w:color w:val="1D1D1D"/>
          <w:sz w:val="20"/>
          <w:szCs w:val="20"/>
          <w:lang w:eastAsia="en-GB"/>
        </w:rPr>
      </w:pPr>
      <w:r w:rsidRPr="00AD6DD7">
        <w:rPr>
          <w:rFonts w:ascii="Arial" w:eastAsia="Times New Roman" w:hAnsi="Arial" w:cs="Arial"/>
          <w:sz w:val="20"/>
          <w:szCs w:val="20"/>
          <w:lang w:eastAsia="en-GB"/>
        </w:rPr>
        <w:br/>
      </w:r>
      <w:r w:rsidRPr="00AD6DD7">
        <w:rPr>
          <w:rFonts w:ascii="Arial" w:eastAsia="Times New Roman" w:hAnsi="Arial" w:cs="Arial"/>
          <w:color w:val="1D1D1D"/>
          <w:sz w:val="20"/>
          <w:szCs w:val="20"/>
          <w:lang w:eastAsia="en-GB"/>
        </w:rPr>
        <w:t>1.      Please add statistical methods in Fig. 1e and Fig. 2e.</w:t>
      </w:r>
    </w:p>
    <w:p w14:paraId="59701666" w14:textId="77777777" w:rsidR="00AD6DD7" w:rsidRPr="00AD6DD7" w:rsidRDefault="00AD6DD7" w:rsidP="00AD6DD7">
      <w:pPr>
        <w:spacing w:after="0" w:line="240" w:lineRule="auto"/>
        <w:jc w:val="both"/>
        <w:rPr>
          <w:rFonts w:ascii="Arial" w:eastAsia="Times New Roman" w:hAnsi="Arial" w:cs="Arial"/>
          <w:color w:val="1D1D1D"/>
          <w:sz w:val="20"/>
          <w:szCs w:val="20"/>
          <w:lang w:eastAsia="en-GB"/>
        </w:rPr>
      </w:pPr>
    </w:p>
    <w:p w14:paraId="3C182F21" w14:textId="77777777" w:rsidR="00AD6DD7" w:rsidRPr="00AD6DD7" w:rsidRDefault="00AD6DD7" w:rsidP="00AD6DD7">
      <w:pPr>
        <w:spacing w:after="0" w:line="240" w:lineRule="auto"/>
        <w:jc w:val="both"/>
        <w:rPr>
          <w:rFonts w:ascii="Arial" w:eastAsia="Times New Roman" w:hAnsi="Arial" w:cs="Arial"/>
          <w:b/>
          <w:bCs/>
          <w:color w:val="4472C4"/>
          <w:sz w:val="20"/>
          <w:szCs w:val="20"/>
          <w:lang w:eastAsia="en-GB"/>
        </w:rPr>
      </w:pPr>
      <w:r w:rsidRPr="00AD6DD7">
        <w:rPr>
          <w:rFonts w:ascii="Arial" w:eastAsia="Times New Roman" w:hAnsi="Arial" w:cs="Arial"/>
          <w:b/>
          <w:bCs/>
          <w:color w:val="4472C4"/>
          <w:sz w:val="20"/>
          <w:szCs w:val="20"/>
          <w:lang w:eastAsia="en-GB"/>
        </w:rPr>
        <w:t>Reply: As requested, we have added statistical analyses in Fig. 1e and Fig. 2e (now Fig. 2d and Fig. 4b, respectively).</w:t>
      </w:r>
    </w:p>
    <w:p w14:paraId="06D4EA4C" w14:textId="77777777" w:rsidR="00AD6DD7" w:rsidRPr="00AD6DD7" w:rsidRDefault="00AD6DD7" w:rsidP="00AD6DD7">
      <w:pPr>
        <w:spacing w:after="0" w:line="240" w:lineRule="auto"/>
        <w:jc w:val="both"/>
        <w:rPr>
          <w:rFonts w:ascii="Arial" w:eastAsia="Times New Roman" w:hAnsi="Arial" w:cs="Arial"/>
          <w:color w:val="1D1D1D"/>
          <w:sz w:val="20"/>
          <w:szCs w:val="20"/>
          <w:lang w:eastAsia="en-GB"/>
        </w:rPr>
      </w:pPr>
      <w:r w:rsidRPr="00AD6DD7">
        <w:rPr>
          <w:rFonts w:ascii="Arial" w:eastAsia="Times New Roman" w:hAnsi="Arial" w:cs="Arial"/>
          <w:color w:val="1D1D1D"/>
          <w:sz w:val="20"/>
          <w:szCs w:val="20"/>
          <w:lang w:eastAsia="en-GB"/>
        </w:rPr>
        <w:br/>
        <w:t>2.      In Fig.1 and 2, before transformed to E. coli, the plasmid library diagram missed the loxF8 site and promoter, target site of 3 sgRNA and sgRNA.</w:t>
      </w:r>
    </w:p>
    <w:p w14:paraId="312D08E7" w14:textId="77777777" w:rsidR="00AD6DD7" w:rsidRPr="00AD6DD7" w:rsidRDefault="00AD6DD7" w:rsidP="00AD6DD7">
      <w:pPr>
        <w:spacing w:after="0" w:line="240" w:lineRule="auto"/>
        <w:jc w:val="both"/>
        <w:rPr>
          <w:rFonts w:ascii="Arial" w:eastAsia="Times New Roman" w:hAnsi="Arial" w:cs="Arial"/>
          <w:color w:val="1D1D1D"/>
          <w:sz w:val="20"/>
          <w:szCs w:val="20"/>
          <w:lang w:eastAsia="en-GB"/>
        </w:rPr>
      </w:pPr>
    </w:p>
    <w:p w14:paraId="27BB4E9A" w14:textId="77777777" w:rsidR="00AD6DD7" w:rsidRPr="00AD6DD7" w:rsidRDefault="00AD6DD7" w:rsidP="00AD6DD7">
      <w:pPr>
        <w:spacing w:after="0" w:line="240" w:lineRule="auto"/>
        <w:jc w:val="both"/>
        <w:rPr>
          <w:rFonts w:ascii="Arial" w:eastAsia="Times New Roman" w:hAnsi="Arial" w:cs="Arial"/>
          <w:b/>
          <w:bCs/>
          <w:color w:val="4472C4"/>
          <w:sz w:val="20"/>
          <w:szCs w:val="20"/>
          <w:lang w:eastAsia="en-GB"/>
        </w:rPr>
      </w:pPr>
      <w:r w:rsidRPr="00AD6DD7">
        <w:rPr>
          <w:rFonts w:ascii="Arial" w:eastAsia="Times New Roman" w:hAnsi="Arial" w:cs="Arial"/>
          <w:b/>
          <w:bCs/>
          <w:color w:val="4472C4"/>
          <w:sz w:val="20"/>
          <w:szCs w:val="20"/>
          <w:lang w:eastAsia="en-GB"/>
        </w:rPr>
        <w:t>A: We thank the reviewer for pointing this out. We have added these components to the plasmid diagrams in Fig. 1 and 2 (now Fig. 4).</w:t>
      </w:r>
    </w:p>
    <w:p w14:paraId="57C324C3" w14:textId="77777777" w:rsidR="00AD6DD7" w:rsidRPr="00AD6DD7" w:rsidRDefault="00AD6DD7" w:rsidP="00AD6DD7">
      <w:pPr>
        <w:spacing w:after="0" w:line="240" w:lineRule="auto"/>
        <w:jc w:val="both"/>
        <w:rPr>
          <w:rFonts w:ascii="Arial" w:eastAsia="Times New Roman" w:hAnsi="Arial" w:cs="Arial"/>
          <w:color w:val="1D1D1D"/>
          <w:sz w:val="20"/>
          <w:szCs w:val="20"/>
          <w:lang w:eastAsia="en-GB"/>
        </w:rPr>
      </w:pPr>
      <w:r w:rsidRPr="00AD6DD7">
        <w:rPr>
          <w:rFonts w:ascii="Arial" w:eastAsia="Times New Roman" w:hAnsi="Arial" w:cs="Arial"/>
          <w:color w:val="1D1D1D"/>
          <w:sz w:val="20"/>
          <w:szCs w:val="20"/>
          <w:lang w:eastAsia="en-GB"/>
        </w:rPr>
        <w:br/>
        <w:t>3.      The format of reference 15 should remain consistent with others.</w:t>
      </w:r>
    </w:p>
    <w:p w14:paraId="74663D3B" w14:textId="77777777" w:rsidR="00AD6DD7" w:rsidRPr="00AD6DD7" w:rsidRDefault="00AD6DD7" w:rsidP="00AD6DD7">
      <w:pPr>
        <w:spacing w:after="0" w:line="240" w:lineRule="auto"/>
        <w:jc w:val="both"/>
        <w:rPr>
          <w:rFonts w:ascii="Arial" w:eastAsia="Times New Roman" w:hAnsi="Arial" w:cs="Arial"/>
          <w:color w:val="1D1D1D"/>
          <w:sz w:val="20"/>
          <w:szCs w:val="20"/>
          <w:lang w:eastAsia="en-GB"/>
        </w:rPr>
      </w:pPr>
    </w:p>
    <w:p w14:paraId="1147EBF5" w14:textId="77777777" w:rsidR="00AD6DD7" w:rsidRPr="00AD6DD7" w:rsidRDefault="00AD6DD7" w:rsidP="00AD6DD7">
      <w:pPr>
        <w:spacing w:after="0" w:line="240" w:lineRule="auto"/>
        <w:jc w:val="both"/>
        <w:rPr>
          <w:rFonts w:ascii="Arial" w:eastAsia="Times New Roman" w:hAnsi="Arial" w:cs="Arial"/>
          <w:color w:val="4472C4"/>
          <w:sz w:val="20"/>
          <w:szCs w:val="20"/>
          <w:lang w:eastAsia="en-GB"/>
        </w:rPr>
      </w:pPr>
      <w:r w:rsidRPr="00AD6DD7">
        <w:rPr>
          <w:rFonts w:ascii="Arial" w:eastAsia="Times New Roman" w:hAnsi="Arial" w:cs="Arial"/>
          <w:b/>
          <w:bCs/>
          <w:color w:val="4472C4"/>
          <w:sz w:val="20"/>
          <w:szCs w:val="20"/>
          <w:lang w:eastAsia="en-GB"/>
        </w:rPr>
        <w:t>Reply: Formatting of reference 15 has been adjusted, thank you.</w:t>
      </w:r>
      <w:r w:rsidRPr="00AD6DD7">
        <w:rPr>
          <w:rFonts w:ascii="Arial" w:eastAsia="Times New Roman" w:hAnsi="Arial" w:cs="Arial"/>
          <w:color w:val="4472C4"/>
          <w:sz w:val="20"/>
          <w:szCs w:val="20"/>
          <w:lang w:eastAsia="en-GB"/>
        </w:rPr>
        <w:t xml:space="preserve"> </w:t>
      </w:r>
    </w:p>
    <w:p w14:paraId="0F33E2A9" w14:textId="77777777" w:rsidR="00AD6DD7" w:rsidRPr="00AD6DD7" w:rsidRDefault="00AD6DD7" w:rsidP="00AD6DD7">
      <w:pPr>
        <w:spacing w:after="0" w:line="240" w:lineRule="auto"/>
        <w:jc w:val="both"/>
        <w:rPr>
          <w:rFonts w:ascii="Arial" w:eastAsia="Times New Roman" w:hAnsi="Arial" w:cs="Arial"/>
          <w:color w:val="1D1D1D"/>
          <w:sz w:val="20"/>
          <w:szCs w:val="20"/>
          <w:lang w:eastAsia="en-GB"/>
        </w:rPr>
      </w:pPr>
      <w:r w:rsidRPr="00AD6DD7">
        <w:rPr>
          <w:rFonts w:ascii="Arial" w:eastAsia="Times New Roman" w:hAnsi="Arial" w:cs="Arial"/>
          <w:color w:val="1D1D1D"/>
          <w:sz w:val="20"/>
          <w:szCs w:val="20"/>
          <w:lang w:eastAsia="en-GB"/>
        </w:rPr>
        <w:br/>
        <w:t>Reviewer #2: This is a very interesting study that reports a widely applicable method to evolve and engineer DNA recombination and engineering enzymes. The authors smartly combine the enzyme-coding sequence variance and the target in sequence so that they can be sequenced together with long-read nanopore sequencing. Their platform was demonstrated with engineering designer recombinases and Un1Cas12f1-ABE systems.</w:t>
      </w:r>
    </w:p>
    <w:p w14:paraId="548B19E7" w14:textId="77777777" w:rsidR="00AD6DD7" w:rsidRPr="00AD6DD7" w:rsidRDefault="00AD6DD7" w:rsidP="00AD6DD7">
      <w:pPr>
        <w:spacing w:after="0" w:line="240" w:lineRule="auto"/>
        <w:jc w:val="both"/>
        <w:rPr>
          <w:rFonts w:ascii="Arial" w:eastAsia="Times New Roman" w:hAnsi="Arial" w:cs="Arial"/>
          <w:color w:val="1D1D1D"/>
          <w:sz w:val="20"/>
          <w:szCs w:val="20"/>
          <w:lang w:eastAsia="en-GB"/>
        </w:rPr>
      </w:pPr>
    </w:p>
    <w:p w14:paraId="776D88B5" w14:textId="77777777" w:rsidR="00AD6DD7" w:rsidRPr="00AD6DD7" w:rsidRDefault="00AD6DD7" w:rsidP="00AD6DD7">
      <w:pPr>
        <w:spacing w:after="0" w:line="240" w:lineRule="auto"/>
        <w:jc w:val="both"/>
        <w:rPr>
          <w:rFonts w:ascii="Arial" w:eastAsia="Times New Roman" w:hAnsi="Arial" w:cs="Arial"/>
          <w:color w:val="1D1D1D"/>
          <w:sz w:val="20"/>
          <w:szCs w:val="20"/>
          <w:lang w:eastAsia="en-GB"/>
        </w:rPr>
      </w:pPr>
      <w:r w:rsidRPr="00AD6DD7">
        <w:rPr>
          <w:rFonts w:ascii="Arial" w:eastAsia="Times New Roman" w:hAnsi="Arial" w:cs="Arial"/>
          <w:b/>
          <w:bCs/>
          <w:color w:val="4472C4"/>
          <w:sz w:val="20"/>
          <w:szCs w:val="20"/>
          <w:lang w:eastAsia="en-GB"/>
        </w:rPr>
        <w:t>Reply: We thank reviewer#2 for the concise summary and positive overall evaluation.</w:t>
      </w:r>
      <w:r w:rsidRPr="00AD6DD7">
        <w:rPr>
          <w:rFonts w:ascii="Arial" w:eastAsia="Times New Roman" w:hAnsi="Arial" w:cs="Arial"/>
          <w:b/>
          <w:bCs/>
          <w:color w:val="4472C4"/>
          <w:sz w:val="20"/>
          <w:szCs w:val="20"/>
          <w:lang w:eastAsia="en-GB"/>
        </w:rPr>
        <w:br/>
      </w:r>
      <w:r w:rsidRPr="00AD6DD7">
        <w:rPr>
          <w:rFonts w:ascii="Arial" w:eastAsia="Times New Roman" w:hAnsi="Arial" w:cs="Arial"/>
          <w:color w:val="1D1D1D"/>
          <w:sz w:val="20"/>
          <w:szCs w:val="20"/>
          <w:lang w:eastAsia="en-GB"/>
        </w:rPr>
        <w:br/>
        <w:t>Major points:</w:t>
      </w:r>
    </w:p>
    <w:p w14:paraId="40228722" w14:textId="77777777" w:rsidR="00AD6DD7" w:rsidRPr="00AD6DD7" w:rsidRDefault="00AD6DD7" w:rsidP="00AD6DD7">
      <w:pPr>
        <w:spacing w:after="0" w:line="240" w:lineRule="auto"/>
        <w:jc w:val="both"/>
        <w:rPr>
          <w:rFonts w:ascii="Arial" w:eastAsia="Times New Roman" w:hAnsi="Arial" w:cs="Arial"/>
          <w:color w:val="1D1D1D"/>
          <w:sz w:val="20"/>
          <w:szCs w:val="20"/>
          <w:lang w:eastAsia="en-GB"/>
        </w:rPr>
      </w:pPr>
      <w:r w:rsidRPr="00AD6DD7">
        <w:rPr>
          <w:rFonts w:ascii="Arial" w:eastAsia="Times New Roman" w:hAnsi="Arial" w:cs="Arial"/>
          <w:color w:val="1D1D1D"/>
          <w:sz w:val="20"/>
          <w:szCs w:val="20"/>
          <w:lang w:eastAsia="en-GB"/>
        </w:rPr>
        <w:br/>
        <w:t>1)      The manuscript is too succinct to follow. The rationale and design are hidden in the Figure legends and Methods. This is not the best way to write a paper. Based on the content, it would be nicer to write it as a full-length research article.</w:t>
      </w:r>
    </w:p>
    <w:p w14:paraId="07A6F51A" w14:textId="77777777" w:rsidR="00AD6DD7" w:rsidRPr="00AD6DD7" w:rsidRDefault="00AD6DD7" w:rsidP="00AD6DD7">
      <w:pPr>
        <w:spacing w:after="0" w:line="240" w:lineRule="auto"/>
        <w:jc w:val="both"/>
        <w:rPr>
          <w:rFonts w:ascii="Arial" w:eastAsia="Times New Roman" w:hAnsi="Arial" w:cs="Arial"/>
          <w:color w:val="1D1D1D"/>
          <w:sz w:val="20"/>
          <w:szCs w:val="20"/>
          <w:lang w:eastAsia="en-GB"/>
        </w:rPr>
      </w:pPr>
    </w:p>
    <w:p w14:paraId="2B15A071" w14:textId="77777777" w:rsidR="00AD6DD7" w:rsidRPr="00AD6DD7" w:rsidRDefault="00AD6DD7" w:rsidP="00AD6DD7">
      <w:pPr>
        <w:spacing w:after="0" w:line="240" w:lineRule="auto"/>
        <w:jc w:val="both"/>
        <w:rPr>
          <w:rFonts w:ascii="Arial" w:eastAsia="Times New Roman" w:hAnsi="Arial" w:cs="Arial"/>
          <w:b/>
          <w:bCs/>
          <w:color w:val="4472C4"/>
          <w:sz w:val="20"/>
          <w:szCs w:val="20"/>
          <w:lang w:eastAsia="en-GB"/>
        </w:rPr>
      </w:pPr>
      <w:r w:rsidRPr="00AD6DD7">
        <w:rPr>
          <w:rFonts w:ascii="Arial" w:eastAsia="Times New Roman" w:hAnsi="Arial" w:cs="Arial"/>
          <w:b/>
          <w:bCs/>
          <w:color w:val="4472C4"/>
          <w:sz w:val="20"/>
          <w:szCs w:val="20"/>
          <w:lang w:eastAsia="en-GB"/>
        </w:rPr>
        <w:t xml:space="preserve">Reply: We agree with the assessment of reviewer#2. Based on this recommendation, we have extended the manuscript to fulfill the criteria of a full-length research article. </w:t>
      </w:r>
    </w:p>
    <w:p w14:paraId="77B8D927" w14:textId="77777777" w:rsidR="00AD6DD7" w:rsidRPr="00AD6DD7" w:rsidRDefault="00AD6DD7" w:rsidP="00AD6DD7">
      <w:pPr>
        <w:spacing w:after="0" w:line="240" w:lineRule="auto"/>
        <w:jc w:val="both"/>
        <w:rPr>
          <w:rFonts w:ascii="Arial" w:eastAsia="Times New Roman" w:hAnsi="Arial" w:cs="Arial"/>
          <w:color w:val="1D1D1D"/>
          <w:sz w:val="20"/>
          <w:szCs w:val="20"/>
          <w:lang w:eastAsia="en-GB"/>
        </w:rPr>
      </w:pPr>
      <w:r w:rsidRPr="00AD6DD7">
        <w:rPr>
          <w:rFonts w:ascii="Arial" w:eastAsia="Times New Roman" w:hAnsi="Arial" w:cs="Arial"/>
          <w:color w:val="1D1D1D"/>
          <w:sz w:val="20"/>
          <w:szCs w:val="20"/>
          <w:lang w:eastAsia="en-GB"/>
        </w:rPr>
        <w:br/>
        <w:t>2)      In both cases (designer recombinase and Un1Cas12f1-ABE), what's the rationale for picking the three variants each? Was that truly random? It would be valuable to pick more clones for validation so that we can learn how reliable the system is and what kind of mutations are behind the improved activity.</w:t>
      </w:r>
    </w:p>
    <w:p w14:paraId="096F9FA9" w14:textId="77777777" w:rsidR="00AD6DD7" w:rsidRPr="00AD6DD7" w:rsidRDefault="00AD6DD7" w:rsidP="00AD6DD7">
      <w:pPr>
        <w:spacing w:after="0" w:line="240" w:lineRule="auto"/>
        <w:jc w:val="both"/>
        <w:rPr>
          <w:rFonts w:ascii="Arial" w:eastAsia="Times New Roman" w:hAnsi="Arial" w:cs="Arial"/>
          <w:color w:val="1D1D1D"/>
          <w:sz w:val="20"/>
          <w:szCs w:val="20"/>
          <w:lang w:eastAsia="en-GB"/>
        </w:rPr>
      </w:pPr>
    </w:p>
    <w:p w14:paraId="1A4CDEDA" w14:textId="77777777" w:rsidR="00AD6DD7" w:rsidRPr="00AD6DD7" w:rsidRDefault="00AD6DD7" w:rsidP="00AD6DD7">
      <w:pPr>
        <w:spacing w:after="0" w:line="240" w:lineRule="auto"/>
        <w:jc w:val="both"/>
        <w:rPr>
          <w:rFonts w:ascii="Arial" w:eastAsia="Times New Roman" w:hAnsi="Arial" w:cs="Arial"/>
          <w:b/>
          <w:bCs/>
          <w:color w:val="4472C4"/>
          <w:sz w:val="20"/>
          <w:szCs w:val="20"/>
          <w:lang w:eastAsia="en-GB"/>
        </w:rPr>
      </w:pPr>
      <w:r w:rsidRPr="00AD6DD7">
        <w:rPr>
          <w:rFonts w:ascii="Arial" w:eastAsia="Times New Roman" w:hAnsi="Arial" w:cs="Arial"/>
          <w:b/>
          <w:bCs/>
          <w:color w:val="4472C4"/>
          <w:sz w:val="20"/>
          <w:szCs w:val="20"/>
          <w:lang w:eastAsia="en-GB"/>
        </w:rPr>
        <w:t>Reply: We appreciate this request and have expanded the analysis to six variants, each. Furthermore, the rationale for choosing these variants is now provided in the text. We also present the mutations for these additional variants in Suppl. Figs. 2 and 6, revealing what kind of mutations are behind the measured activities.</w:t>
      </w:r>
    </w:p>
    <w:p w14:paraId="120E1D7A" w14:textId="77777777" w:rsidR="00AD6DD7" w:rsidRPr="00AD6DD7" w:rsidRDefault="00AD6DD7" w:rsidP="00AD6DD7">
      <w:pPr>
        <w:spacing w:after="0" w:line="240" w:lineRule="auto"/>
        <w:jc w:val="both"/>
        <w:rPr>
          <w:rFonts w:ascii="Arial" w:eastAsia="Times New Roman" w:hAnsi="Arial" w:cs="Arial"/>
          <w:color w:val="1D1D1D"/>
          <w:sz w:val="20"/>
          <w:szCs w:val="20"/>
          <w:lang w:eastAsia="en-GB"/>
        </w:rPr>
      </w:pPr>
      <w:r w:rsidRPr="00AD6DD7">
        <w:rPr>
          <w:rFonts w:ascii="Arial" w:eastAsia="Times New Roman" w:hAnsi="Arial" w:cs="Arial"/>
          <w:color w:val="1D1D1D"/>
          <w:sz w:val="20"/>
          <w:szCs w:val="20"/>
          <w:lang w:eastAsia="en-GB"/>
        </w:rPr>
        <w:br/>
        <w:t>3)      The authors listed protein alignments of the three highly efficient Un1Cas12f-ABE systems. Please provide full protein sequences and annotated vector sequences for readers to extract such information. Also, I suggest depositing these vectors to Addgene because many would be interested in testing and applying these improved ABEs in their organisms of interest.</w:t>
      </w:r>
    </w:p>
    <w:p w14:paraId="428D8159" w14:textId="77777777" w:rsidR="00AD6DD7" w:rsidRPr="00AD6DD7" w:rsidRDefault="00AD6DD7" w:rsidP="00AD6DD7">
      <w:pPr>
        <w:spacing w:after="0" w:line="240" w:lineRule="auto"/>
        <w:jc w:val="both"/>
        <w:rPr>
          <w:rFonts w:ascii="Arial" w:eastAsia="Times New Roman" w:hAnsi="Arial" w:cs="Arial"/>
          <w:color w:val="1D1D1D"/>
          <w:sz w:val="20"/>
          <w:szCs w:val="20"/>
          <w:lang w:eastAsia="en-GB"/>
        </w:rPr>
      </w:pPr>
    </w:p>
    <w:p w14:paraId="49A81DBB" w14:textId="77777777" w:rsidR="00AD6DD7" w:rsidRPr="00AD6DD7" w:rsidRDefault="00AD6DD7" w:rsidP="00AD6DD7">
      <w:pPr>
        <w:spacing w:after="0" w:line="240" w:lineRule="auto"/>
        <w:jc w:val="both"/>
        <w:rPr>
          <w:rFonts w:ascii="Arial" w:eastAsia="Times New Roman" w:hAnsi="Arial" w:cs="Arial"/>
          <w:b/>
          <w:bCs/>
          <w:color w:val="4472C4"/>
          <w:sz w:val="20"/>
          <w:szCs w:val="20"/>
          <w:lang w:eastAsia="en-GB"/>
        </w:rPr>
      </w:pPr>
      <w:r w:rsidRPr="00AD6DD7">
        <w:rPr>
          <w:rFonts w:ascii="Arial" w:eastAsia="Times New Roman" w:hAnsi="Arial" w:cs="Arial"/>
          <w:b/>
          <w:bCs/>
          <w:color w:val="4472C4"/>
          <w:sz w:val="20"/>
          <w:szCs w:val="20"/>
          <w:lang w:eastAsia="en-GB"/>
        </w:rPr>
        <w:lastRenderedPageBreak/>
        <w:t>Reply: We thank reviewer#2 for this suggestion. We are now providing full</w:t>
      </w:r>
      <w:r w:rsidRPr="00AD6DD7">
        <w:rPr>
          <w:rFonts w:ascii="Calibri" w:eastAsia="Calibri" w:hAnsi="Calibri" w:cs="Times New Roman"/>
          <w:b/>
          <w:bCs/>
          <w:kern w:val="2"/>
          <w:sz w:val="24"/>
          <w:szCs w:val="24"/>
          <w:lang/>
          <w14:ligatures w14:val="standardContextual"/>
        </w:rPr>
        <w:t xml:space="preserve"> </w:t>
      </w:r>
      <w:r w:rsidRPr="00AD6DD7">
        <w:rPr>
          <w:rFonts w:ascii="Arial" w:eastAsia="Times New Roman" w:hAnsi="Arial" w:cs="Arial"/>
          <w:b/>
          <w:bCs/>
          <w:color w:val="4472C4"/>
          <w:sz w:val="20"/>
          <w:szCs w:val="20"/>
          <w:lang w:eastAsia="en-GB"/>
        </w:rPr>
        <w:t xml:space="preserve">protein sequences as Suppl. Table 3 and a detailed vector map of </w:t>
      </w:r>
      <w:proofErr w:type="spellStart"/>
      <w:r w:rsidRPr="00AD6DD7">
        <w:rPr>
          <w:rFonts w:ascii="Arial" w:eastAsia="Times New Roman" w:hAnsi="Arial" w:cs="Arial"/>
          <w:b/>
          <w:bCs/>
          <w:color w:val="4472C4"/>
          <w:sz w:val="20"/>
          <w:szCs w:val="20"/>
          <w:lang w:eastAsia="en-GB"/>
        </w:rPr>
        <w:t>pCaSLIDE</w:t>
      </w:r>
      <w:proofErr w:type="spellEnd"/>
      <w:r w:rsidRPr="00AD6DD7">
        <w:rPr>
          <w:rFonts w:ascii="Arial" w:eastAsia="Times New Roman" w:hAnsi="Arial" w:cs="Arial"/>
          <w:b/>
          <w:bCs/>
          <w:color w:val="4472C4"/>
          <w:sz w:val="20"/>
          <w:szCs w:val="20"/>
          <w:lang w:eastAsia="en-GB"/>
        </w:rPr>
        <w:t xml:space="preserve">-ABE as Suppl. Fig. 8. As suggested, we will deposit the vectors to </w:t>
      </w:r>
      <w:proofErr w:type="spellStart"/>
      <w:r w:rsidRPr="00AD6DD7">
        <w:rPr>
          <w:rFonts w:ascii="Arial" w:eastAsia="Times New Roman" w:hAnsi="Arial" w:cs="Arial"/>
          <w:b/>
          <w:bCs/>
          <w:color w:val="4472C4"/>
          <w:sz w:val="20"/>
          <w:szCs w:val="20"/>
          <w:lang w:eastAsia="en-GB"/>
        </w:rPr>
        <w:t>Addgene</w:t>
      </w:r>
      <w:proofErr w:type="spellEnd"/>
      <w:r w:rsidRPr="00AD6DD7">
        <w:rPr>
          <w:rFonts w:ascii="Arial" w:eastAsia="Times New Roman" w:hAnsi="Arial" w:cs="Arial"/>
          <w:b/>
          <w:bCs/>
          <w:color w:val="4472C4"/>
          <w:sz w:val="20"/>
          <w:szCs w:val="20"/>
          <w:lang w:eastAsia="en-GB"/>
        </w:rPr>
        <w:t>.</w:t>
      </w:r>
    </w:p>
    <w:p w14:paraId="51896613" w14:textId="77777777" w:rsidR="00AD6DD7" w:rsidRPr="00AD6DD7" w:rsidRDefault="00AD6DD7" w:rsidP="00AD6DD7">
      <w:pPr>
        <w:spacing w:after="0" w:line="240" w:lineRule="auto"/>
        <w:jc w:val="both"/>
        <w:rPr>
          <w:rFonts w:ascii="Arial" w:eastAsia="Times New Roman" w:hAnsi="Arial" w:cs="Arial"/>
          <w:color w:val="1D1D1D"/>
          <w:sz w:val="20"/>
          <w:szCs w:val="20"/>
          <w:lang w:eastAsia="en-GB"/>
        </w:rPr>
      </w:pPr>
      <w:r w:rsidRPr="00AD6DD7">
        <w:rPr>
          <w:rFonts w:ascii="Arial" w:eastAsia="Times New Roman" w:hAnsi="Arial" w:cs="Arial"/>
          <w:color w:val="1D1D1D"/>
          <w:sz w:val="20"/>
          <w:szCs w:val="20"/>
          <w:lang w:eastAsia="en-GB"/>
        </w:rPr>
        <w:br/>
        <w:t>4)      Will the system work well with larger enzymes and hence longer coding sequences? What will be the challenges in this case? Some interesting discussion on this point and others would make this paper more interesting. </w:t>
      </w:r>
    </w:p>
    <w:p w14:paraId="1F1DCA42" w14:textId="77777777" w:rsidR="00AD6DD7" w:rsidRPr="00AD6DD7" w:rsidRDefault="00AD6DD7" w:rsidP="00AD6DD7">
      <w:pPr>
        <w:spacing w:after="0" w:line="240" w:lineRule="auto"/>
        <w:jc w:val="both"/>
        <w:rPr>
          <w:rFonts w:ascii="Arial" w:eastAsia="Times New Roman" w:hAnsi="Arial" w:cs="Arial"/>
          <w:color w:val="1D1D1D"/>
          <w:sz w:val="20"/>
          <w:szCs w:val="20"/>
          <w:lang w:eastAsia="en-GB"/>
        </w:rPr>
      </w:pPr>
    </w:p>
    <w:p w14:paraId="54E51A45" w14:textId="77777777" w:rsidR="00AD6DD7" w:rsidRPr="00AD6DD7" w:rsidRDefault="00AD6DD7" w:rsidP="00AD6DD7">
      <w:pPr>
        <w:spacing w:after="0" w:line="240" w:lineRule="auto"/>
        <w:jc w:val="both"/>
        <w:rPr>
          <w:rFonts w:ascii="Arial" w:eastAsia="Times New Roman" w:hAnsi="Arial" w:cs="Arial"/>
          <w:b/>
          <w:bCs/>
          <w:color w:val="4472C4"/>
          <w:sz w:val="20"/>
          <w:szCs w:val="20"/>
          <w:lang w:eastAsia="en-GB"/>
        </w:rPr>
      </w:pPr>
      <w:r w:rsidRPr="00AD6DD7">
        <w:rPr>
          <w:rFonts w:ascii="Arial" w:eastAsia="Times New Roman" w:hAnsi="Arial" w:cs="Arial"/>
          <w:b/>
          <w:bCs/>
          <w:color w:val="4472C4"/>
          <w:sz w:val="20"/>
          <w:szCs w:val="20"/>
          <w:lang w:eastAsia="en-GB"/>
        </w:rPr>
        <w:t>Reply: We appreciate this question from reviewer#2. We are very confident that the approach will also work with larger enzymes. In fact, we have already used the system for plasmids of sizes bigger then 10kb, where the evolved genome editing enzyme is encoded in more than 6kb. The method of nanopore sequencing provides almost unlimited sequence length. The only limitation is the size of the plasmid. We have extended our discussion to cover this point.</w:t>
      </w:r>
    </w:p>
    <w:p w14:paraId="742DB02A" w14:textId="77777777" w:rsidR="00AD6DD7" w:rsidRPr="00AD6DD7" w:rsidRDefault="00AD6DD7" w:rsidP="00AD6DD7">
      <w:pPr>
        <w:spacing w:after="0" w:line="240" w:lineRule="auto"/>
        <w:jc w:val="both"/>
        <w:rPr>
          <w:rFonts w:ascii="Arial" w:eastAsia="Times New Roman" w:hAnsi="Arial" w:cs="Arial"/>
          <w:color w:val="1D1D1D"/>
          <w:sz w:val="20"/>
          <w:szCs w:val="20"/>
          <w:lang w:eastAsia="en-GB"/>
        </w:rPr>
      </w:pPr>
      <w:r w:rsidRPr="00AD6DD7">
        <w:rPr>
          <w:rFonts w:ascii="Arial" w:eastAsia="Times New Roman" w:hAnsi="Arial" w:cs="Arial"/>
          <w:color w:val="1D1D1D"/>
          <w:sz w:val="20"/>
          <w:szCs w:val="20"/>
          <w:lang w:eastAsia="en-GB"/>
        </w:rPr>
        <w:br/>
        <w:t>5) Will the evolved work well in eukaryotic cells? Validation on this will add much to this story.</w:t>
      </w:r>
    </w:p>
    <w:p w14:paraId="17CC3911" w14:textId="77777777" w:rsidR="00AD6DD7" w:rsidRPr="00AD6DD7" w:rsidRDefault="00AD6DD7" w:rsidP="00AD6DD7">
      <w:pPr>
        <w:spacing w:after="0" w:line="240" w:lineRule="auto"/>
        <w:jc w:val="both"/>
        <w:rPr>
          <w:rFonts w:ascii="Arial" w:eastAsia="Times New Roman" w:hAnsi="Arial" w:cs="Arial"/>
          <w:color w:val="1D1D1D"/>
          <w:sz w:val="20"/>
          <w:szCs w:val="20"/>
          <w:lang w:eastAsia="en-GB"/>
        </w:rPr>
      </w:pPr>
    </w:p>
    <w:p w14:paraId="10B5F3C1" w14:textId="77777777" w:rsidR="00AD6DD7" w:rsidRPr="00AD6DD7" w:rsidRDefault="00AD6DD7" w:rsidP="00AD6DD7">
      <w:pPr>
        <w:spacing w:after="0" w:line="240" w:lineRule="auto"/>
        <w:jc w:val="both"/>
        <w:rPr>
          <w:rFonts w:ascii="Arial" w:eastAsia="Times New Roman" w:hAnsi="Arial" w:cs="Arial"/>
          <w:b/>
          <w:bCs/>
          <w:color w:val="4472C4"/>
          <w:sz w:val="20"/>
          <w:szCs w:val="20"/>
          <w:lang w:eastAsia="en-GB"/>
        </w:rPr>
      </w:pPr>
      <w:r w:rsidRPr="00AD6DD7">
        <w:rPr>
          <w:rFonts w:ascii="Arial" w:eastAsia="Times New Roman" w:hAnsi="Arial" w:cs="Arial"/>
          <w:b/>
          <w:bCs/>
          <w:color w:val="4472C4"/>
          <w:sz w:val="20"/>
          <w:szCs w:val="20"/>
          <w:lang w:eastAsia="en-GB"/>
        </w:rPr>
        <w:t xml:space="preserve">Reply: Although the focus of the current manuscript is on the presentation of </w:t>
      </w:r>
      <w:proofErr w:type="spellStart"/>
      <w:r w:rsidRPr="00AD6DD7">
        <w:rPr>
          <w:rFonts w:ascii="Arial" w:eastAsia="Times New Roman" w:hAnsi="Arial" w:cs="Arial"/>
          <w:b/>
          <w:bCs/>
          <w:color w:val="4472C4"/>
          <w:sz w:val="20"/>
          <w:szCs w:val="20"/>
          <w:lang w:eastAsia="en-GB"/>
        </w:rPr>
        <w:t>DEQSeq</w:t>
      </w:r>
      <w:proofErr w:type="spellEnd"/>
      <w:r w:rsidRPr="00AD6DD7">
        <w:rPr>
          <w:rFonts w:ascii="Arial" w:eastAsia="Times New Roman" w:hAnsi="Arial" w:cs="Arial"/>
          <w:b/>
          <w:bCs/>
          <w:color w:val="4472C4"/>
          <w:sz w:val="20"/>
          <w:szCs w:val="20"/>
          <w:lang w:eastAsia="en-GB"/>
        </w:rPr>
        <w:t xml:space="preserve"> as a versatile methodology for the systematic selection of favorable clones from extensive directed evolution libraries, we acknowledge that a validation of variants in mammalian cells would add to the story. To address this point, we have tested three of the recombinase variants (now shown in Fig. 2e-g) and three of the </w:t>
      </w:r>
      <w:proofErr w:type="spellStart"/>
      <w:r w:rsidRPr="00AD6DD7">
        <w:rPr>
          <w:rFonts w:ascii="Arial" w:eastAsia="Times New Roman" w:hAnsi="Arial" w:cs="Arial"/>
          <w:b/>
          <w:bCs/>
          <w:color w:val="4472C4"/>
          <w:sz w:val="20"/>
          <w:szCs w:val="20"/>
          <w:lang w:eastAsia="en-GB"/>
        </w:rPr>
        <w:t>TadA</w:t>
      </w:r>
      <w:proofErr w:type="spellEnd"/>
      <w:r w:rsidRPr="00AD6DD7">
        <w:rPr>
          <w:rFonts w:ascii="Arial" w:eastAsia="Times New Roman" w:hAnsi="Arial" w:cs="Arial"/>
          <w:b/>
          <w:bCs/>
          <w:color w:val="4472C4"/>
          <w:sz w:val="20"/>
          <w:szCs w:val="20"/>
          <w:lang w:eastAsia="en-GB"/>
        </w:rPr>
        <w:t xml:space="preserve"> variants (now shown in Fig. 5 </w:t>
      </w:r>
      <w:proofErr w:type="spellStart"/>
      <w:r w:rsidRPr="00AD6DD7">
        <w:rPr>
          <w:rFonts w:ascii="Arial" w:eastAsia="Times New Roman" w:hAnsi="Arial" w:cs="Arial"/>
          <w:b/>
          <w:bCs/>
          <w:color w:val="4472C4"/>
          <w:sz w:val="20"/>
          <w:szCs w:val="20"/>
          <w:lang w:eastAsia="en-GB"/>
        </w:rPr>
        <w:t>f,g</w:t>
      </w:r>
      <w:proofErr w:type="spellEnd"/>
      <w:r w:rsidRPr="00AD6DD7">
        <w:rPr>
          <w:rFonts w:ascii="Arial" w:eastAsia="Times New Roman" w:hAnsi="Arial" w:cs="Arial"/>
          <w:b/>
          <w:bCs/>
          <w:color w:val="4472C4"/>
          <w:sz w:val="20"/>
          <w:szCs w:val="20"/>
          <w:lang w:eastAsia="en-GB"/>
        </w:rPr>
        <w:t xml:space="preserve"> and Suppl. Fig. 7c) in human tissue culture cells. The obtained results support the utility of </w:t>
      </w:r>
      <w:proofErr w:type="spellStart"/>
      <w:r w:rsidRPr="00AD6DD7">
        <w:rPr>
          <w:rFonts w:ascii="Arial" w:eastAsia="Times New Roman" w:hAnsi="Arial" w:cs="Arial"/>
          <w:b/>
          <w:bCs/>
          <w:color w:val="4472C4"/>
          <w:sz w:val="20"/>
          <w:szCs w:val="20"/>
          <w:lang w:eastAsia="en-GB"/>
        </w:rPr>
        <w:t>DEQSeq</w:t>
      </w:r>
      <w:proofErr w:type="spellEnd"/>
      <w:r w:rsidRPr="00AD6DD7">
        <w:rPr>
          <w:rFonts w:ascii="Arial" w:eastAsia="Times New Roman" w:hAnsi="Arial" w:cs="Arial"/>
          <w:b/>
          <w:bCs/>
          <w:color w:val="4472C4"/>
          <w:sz w:val="20"/>
          <w:szCs w:val="20"/>
          <w:lang w:eastAsia="en-GB"/>
        </w:rPr>
        <w:t xml:space="preserve"> to nominate favorable genome editing variants from large directed evolution libraries.</w:t>
      </w:r>
    </w:p>
    <w:p w14:paraId="2F54FDE5" w14:textId="77777777" w:rsidR="00AD6DD7" w:rsidRPr="00AD6DD7" w:rsidRDefault="00AD6DD7" w:rsidP="00AD6DD7">
      <w:pPr>
        <w:spacing w:after="0" w:line="240" w:lineRule="auto"/>
        <w:jc w:val="both"/>
        <w:rPr>
          <w:rFonts w:ascii="Arial" w:eastAsia="Times New Roman" w:hAnsi="Arial" w:cs="Arial"/>
          <w:color w:val="1D1D1D"/>
          <w:sz w:val="20"/>
          <w:szCs w:val="20"/>
          <w:lang w:eastAsia="en-GB"/>
        </w:rPr>
      </w:pPr>
      <w:r w:rsidRPr="00AD6DD7">
        <w:rPr>
          <w:rFonts w:ascii="Arial" w:eastAsia="Times New Roman" w:hAnsi="Arial" w:cs="Arial"/>
          <w:color w:val="1D1D1D"/>
          <w:sz w:val="20"/>
          <w:szCs w:val="20"/>
          <w:lang w:eastAsia="en-GB"/>
        </w:rPr>
        <w:br/>
        <w:t>Minor point:</w:t>
      </w:r>
    </w:p>
    <w:p w14:paraId="6A9CF84E" w14:textId="77777777" w:rsidR="00AD6DD7" w:rsidRPr="00AD6DD7" w:rsidRDefault="00AD6DD7" w:rsidP="00AD6DD7">
      <w:pPr>
        <w:spacing w:after="0" w:line="240" w:lineRule="auto"/>
        <w:jc w:val="both"/>
        <w:rPr>
          <w:rFonts w:ascii="Arial" w:eastAsia="Times New Roman" w:hAnsi="Arial" w:cs="Arial"/>
          <w:color w:val="1D1D1D"/>
          <w:sz w:val="20"/>
          <w:szCs w:val="20"/>
          <w:lang w:eastAsia="en-GB"/>
        </w:rPr>
      </w:pPr>
      <w:r w:rsidRPr="00AD6DD7">
        <w:rPr>
          <w:rFonts w:ascii="Arial" w:eastAsia="Times New Roman" w:hAnsi="Arial" w:cs="Arial"/>
          <w:color w:val="1D1D1D"/>
          <w:sz w:val="20"/>
          <w:szCs w:val="20"/>
          <w:lang w:eastAsia="en-GB"/>
        </w:rPr>
        <w:br/>
        <w:t>1)      Page 5 line 64-69: Please mention the 1244 clone as this one showed reduced off-target effects without compromising the on-target recombination activity.</w:t>
      </w:r>
    </w:p>
    <w:p w14:paraId="22EEB86E" w14:textId="77777777" w:rsidR="00AD6DD7" w:rsidRPr="00AD6DD7" w:rsidRDefault="00AD6DD7" w:rsidP="00AD6DD7">
      <w:pPr>
        <w:spacing w:after="0" w:line="240" w:lineRule="auto"/>
        <w:jc w:val="both"/>
        <w:rPr>
          <w:rFonts w:ascii="Arial" w:eastAsia="Times New Roman" w:hAnsi="Arial" w:cs="Arial"/>
          <w:b/>
          <w:bCs/>
          <w:color w:val="4472C4"/>
          <w:sz w:val="20"/>
          <w:szCs w:val="20"/>
          <w:lang w:eastAsia="en-GB"/>
        </w:rPr>
      </w:pPr>
    </w:p>
    <w:p w14:paraId="3B26239C" w14:textId="77777777" w:rsidR="00AD6DD7" w:rsidRPr="00AD6DD7" w:rsidRDefault="00AD6DD7" w:rsidP="00AD6DD7">
      <w:pPr>
        <w:spacing w:after="0" w:line="240" w:lineRule="auto"/>
        <w:jc w:val="both"/>
        <w:rPr>
          <w:rFonts w:ascii="Arial" w:eastAsia="Times New Roman" w:hAnsi="Arial" w:cs="Arial"/>
          <w:b/>
          <w:bCs/>
          <w:color w:val="4472C4"/>
          <w:sz w:val="20"/>
          <w:szCs w:val="20"/>
          <w:lang w:eastAsia="en-GB"/>
        </w:rPr>
      </w:pPr>
      <w:r w:rsidRPr="00AD6DD7">
        <w:rPr>
          <w:rFonts w:ascii="Arial" w:eastAsia="Times New Roman" w:hAnsi="Arial" w:cs="Arial"/>
          <w:b/>
          <w:bCs/>
          <w:color w:val="4472C4"/>
          <w:sz w:val="20"/>
          <w:szCs w:val="20"/>
          <w:lang w:eastAsia="en-GB"/>
        </w:rPr>
        <w:t>Reply: We thank reviewer #2 for this suggestion. We now highlight variant #1244 in the text on page 5 as a promising candidate.</w:t>
      </w:r>
    </w:p>
    <w:p w14:paraId="4130F4BC" w14:textId="77777777" w:rsidR="00AD6DD7" w:rsidRPr="00AD6DD7" w:rsidRDefault="00AD6DD7" w:rsidP="00AD6DD7">
      <w:pPr>
        <w:spacing w:after="0" w:line="240" w:lineRule="auto"/>
        <w:jc w:val="both"/>
        <w:rPr>
          <w:rFonts w:ascii="Calibri" w:eastAsia="Calibri" w:hAnsi="Calibri" w:cs="Times New Roman"/>
          <w:b/>
          <w:bCs/>
          <w:kern w:val="2"/>
          <w:sz w:val="24"/>
          <w:szCs w:val="24"/>
          <w:lang/>
          <w14:ligatures w14:val="standardContextual"/>
        </w:rPr>
      </w:pPr>
    </w:p>
    <w:p w14:paraId="30F21058" w14:textId="77777777" w:rsidR="00AD6DD7" w:rsidRPr="00B8175F" w:rsidRDefault="00AD6DD7" w:rsidP="00AD6DD7">
      <w:pPr>
        <w:spacing w:after="240" w:line="240" w:lineRule="auto"/>
        <w:rPr>
          <w:rFonts w:ascii="Times New Roman" w:eastAsia="Times New Roman" w:hAnsi="Times New Roman" w:cs="Times New Roman"/>
          <w:sz w:val="24"/>
          <w:szCs w:val="24"/>
        </w:rPr>
      </w:pPr>
    </w:p>
    <w:p w14:paraId="5169D66F" w14:textId="77777777" w:rsidR="00AD6DD7" w:rsidRPr="00B8175F" w:rsidRDefault="00AD6DD7" w:rsidP="00AD6DD7">
      <w:pPr>
        <w:spacing w:after="200" w:line="240" w:lineRule="auto"/>
        <w:rPr>
          <w:rFonts w:ascii="Times New Roman" w:eastAsia="Times New Roman" w:hAnsi="Times New Roman" w:cs="Times New Roman"/>
          <w:sz w:val="24"/>
          <w:szCs w:val="24"/>
        </w:rPr>
      </w:pPr>
      <w:r w:rsidRPr="00B8175F">
        <w:rPr>
          <w:rFonts w:ascii="Times New Roman" w:eastAsia="Times New Roman" w:hAnsi="Times New Roman" w:cs="Times New Roman"/>
          <w:b/>
          <w:bCs/>
          <w:color w:val="000000"/>
        </w:rPr>
        <w:t>Second round of review</w:t>
      </w:r>
    </w:p>
    <w:p w14:paraId="645451B0" w14:textId="3CAA9721" w:rsidR="00AD6DD7" w:rsidRDefault="00AD6DD7" w:rsidP="00AD6DD7">
      <w:pPr>
        <w:spacing w:after="200" w:line="240" w:lineRule="auto"/>
        <w:rPr>
          <w:rFonts w:ascii="Times New Roman" w:eastAsia="Times New Roman" w:hAnsi="Times New Roman" w:cs="Times New Roman"/>
          <w:b/>
          <w:bCs/>
          <w:color w:val="000000"/>
        </w:rPr>
      </w:pPr>
      <w:r w:rsidRPr="00B8175F">
        <w:rPr>
          <w:rFonts w:ascii="Times New Roman" w:eastAsia="Times New Roman" w:hAnsi="Times New Roman" w:cs="Times New Roman"/>
          <w:b/>
          <w:bCs/>
          <w:color w:val="000000"/>
        </w:rPr>
        <w:t>Reviewer 1</w:t>
      </w:r>
    </w:p>
    <w:p w14:paraId="77749E48" w14:textId="75D707F7" w:rsidR="00AD6DD7" w:rsidRPr="00B8175F" w:rsidRDefault="00AD6DD7" w:rsidP="00AD6DD7">
      <w:pPr>
        <w:spacing w:after="200" w:line="240" w:lineRule="auto"/>
        <w:rPr>
          <w:rFonts w:ascii="Times New Roman" w:eastAsia="Times New Roman" w:hAnsi="Times New Roman" w:cs="Times New Roman"/>
          <w:sz w:val="24"/>
          <w:szCs w:val="24"/>
        </w:rPr>
      </w:pPr>
      <w:r w:rsidRPr="00AD6DD7">
        <w:rPr>
          <w:rFonts w:ascii="Times New Roman" w:eastAsia="Times New Roman" w:hAnsi="Times New Roman" w:cs="Times New Roman"/>
          <w:sz w:val="24"/>
          <w:szCs w:val="24"/>
        </w:rPr>
        <w:t xml:space="preserve">The authors have addressed all of my previous concerns. Overall, the data is more detailed and portrays a very complete study now. I have one additional question more for the author, which perhaps could motivate the author to include an additional statement on the future potential of their method. Can </w:t>
      </w:r>
      <w:proofErr w:type="spellStart"/>
      <w:r w:rsidRPr="00AD6DD7">
        <w:rPr>
          <w:rFonts w:ascii="Times New Roman" w:eastAsia="Times New Roman" w:hAnsi="Times New Roman" w:cs="Times New Roman"/>
          <w:sz w:val="24"/>
          <w:szCs w:val="24"/>
        </w:rPr>
        <w:t>DEQSeq</w:t>
      </w:r>
      <w:proofErr w:type="spellEnd"/>
      <w:r w:rsidRPr="00AD6DD7">
        <w:rPr>
          <w:rFonts w:ascii="Times New Roman" w:eastAsia="Times New Roman" w:hAnsi="Times New Roman" w:cs="Times New Roman"/>
          <w:sz w:val="24"/>
          <w:szCs w:val="24"/>
        </w:rPr>
        <w:t xml:space="preserve"> only work on the basis of the </w:t>
      </w:r>
      <w:proofErr w:type="spellStart"/>
      <w:r w:rsidRPr="00AD6DD7">
        <w:rPr>
          <w:rFonts w:ascii="Times New Roman" w:eastAsia="Times New Roman" w:hAnsi="Times New Roman" w:cs="Times New Roman"/>
          <w:sz w:val="24"/>
          <w:szCs w:val="24"/>
        </w:rPr>
        <w:t>SliDE</w:t>
      </w:r>
      <w:proofErr w:type="spellEnd"/>
      <w:r w:rsidRPr="00AD6DD7">
        <w:rPr>
          <w:rFonts w:ascii="Times New Roman" w:eastAsia="Times New Roman" w:hAnsi="Times New Roman" w:cs="Times New Roman"/>
          <w:sz w:val="24"/>
          <w:szCs w:val="24"/>
        </w:rPr>
        <w:t xml:space="preserve"> plasmid? Along this line, could the authors propose major challenges that need to be addressed when using their approach with other selection methods.</w:t>
      </w:r>
    </w:p>
    <w:p w14:paraId="11CEC653" w14:textId="77777777" w:rsidR="00AD6DD7" w:rsidRPr="00B8175F" w:rsidRDefault="00AD6DD7" w:rsidP="00AD6DD7">
      <w:pPr>
        <w:spacing w:after="0" w:line="240" w:lineRule="auto"/>
        <w:rPr>
          <w:rFonts w:ascii="Times New Roman" w:eastAsia="Times New Roman" w:hAnsi="Times New Roman" w:cs="Times New Roman"/>
          <w:sz w:val="24"/>
          <w:szCs w:val="24"/>
        </w:rPr>
      </w:pPr>
    </w:p>
    <w:p w14:paraId="449B1B85" w14:textId="77777777" w:rsidR="00AD6DD7" w:rsidRPr="00B8175F" w:rsidRDefault="00AD6DD7" w:rsidP="00AD6DD7">
      <w:pPr>
        <w:spacing w:after="200" w:line="240" w:lineRule="auto"/>
        <w:rPr>
          <w:rFonts w:ascii="Times New Roman" w:eastAsia="Times New Roman" w:hAnsi="Times New Roman" w:cs="Times New Roman"/>
          <w:sz w:val="24"/>
          <w:szCs w:val="24"/>
        </w:rPr>
      </w:pPr>
      <w:r w:rsidRPr="00B8175F">
        <w:rPr>
          <w:rFonts w:ascii="Times New Roman" w:eastAsia="Times New Roman" w:hAnsi="Times New Roman" w:cs="Times New Roman"/>
          <w:b/>
          <w:bCs/>
          <w:color w:val="000000"/>
        </w:rPr>
        <w:t>Reviewer 2</w:t>
      </w:r>
    </w:p>
    <w:p w14:paraId="5CD91401" w14:textId="77777777" w:rsidR="00AD6DD7" w:rsidRPr="00AD6DD7" w:rsidRDefault="00AD6DD7" w:rsidP="00AD6DD7">
      <w:pPr>
        <w:spacing w:after="0" w:line="240" w:lineRule="auto"/>
        <w:rPr>
          <w:rFonts w:ascii="Times New Roman" w:eastAsia="Times New Roman" w:hAnsi="Times New Roman" w:cs="Times New Roman"/>
          <w:sz w:val="24"/>
          <w:szCs w:val="24"/>
        </w:rPr>
      </w:pPr>
      <w:r w:rsidRPr="00AD6DD7">
        <w:rPr>
          <w:rFonts w:ascii="Times New Roman" w:eastAsia="Times New Roman" w:hAnsi="Times New Roman" w:cs="Times New Roman"/>
          <w:sz w:val="24"/>
          <w:szCs w:val="24"/>
        </w:rPr>
        <w:t xml:space="preserve">The authors have diligently addressed the concerns raised. Their effort in enhancing the manuscript is evident through the inclusion of more background, expanded discussions, and more details for the experiment design section. These improvements elevate the manuscript, aligning it more closely with the standards of a research article and making it more accessible for </w:t>
      </w:r>
      <w:r w:rsidRPr="00AD6DD7">
        <w:rPr>
          <w:rFonts w:ascii="Times New Roman" w:eastAsia="Times New Roman" w:hAnsi="Times New Roman" w:cs="Times New Roman"/>
          <w:sz w:val="24"/>
          <w:szCs w:val="24"/>
        </w:rPr>
        <w:lastRenderedPageBreak/>
        <w:t>readers. Furthermore, the restructured figures and the incorporation of additional data strengthen its suitability for publication in Genome Biology.</w:t>
      </w:r>
    </w:p>
    <w:p w14:paraId="0EE14375" w14:textId="77777777" w:rsidR="00AD6DD7" w:rsidRPr="00AD6DD7" w:rsidRDefault="00AD6DD7" w:rsidP="00AD6DD7">
      <w:pPr>
        <w:spacing w:after="0" w:line="240" w:lineRule="auto"/>
        <w:rPr>
          <w:rFonts w:ascii="Times New Roman" w:eastAsia="Times New Roman" w:hAnsi="Times New Roman" w:cs="Times New Roman"/>
          <w:sz w:val="24"/>
          <w:szCs w:val="24"/>
        </w:rPr>
      </w:pPr>
    </w:p>
    <w:p w14:paraId="72E591DA" w14:textId="77777777" w:rsidR="00AD6DD7" w:rsidRPr="00AD6DD7" w:rsidRDefault="00AD6DD7" w:rsidP="00AD6DD7">
      <w:pPr>
        <w:spacing w:after="0" w:line="240" w:lineRule="auto"/>
        <w:rPr>
          <w:rFonts w:ascii="Times New Roman" w:eastAsia="Times New Roman" w:hAnsi="Times New Roman" w:cs="Times New Roman"/>
          <w:sz w:val="24"/>
          <w:szCs w:val="24"/>
        </w:rPr>
      </w:pPr>
      <w:r w:rsidRPr="00AD6DD7">
        <w:rPr>
          <w:rFonts w:ascii="Times New Roman" w:eastAsia="Times New Roman" w:hAnsi="Times New Roman" w:cs="Times New Roman"/>
          <w:sz w:val="24"/>
          <w:szCs w:val="24"/>
        </w:rPr>
        <w:t>However, a few aspects still require attention:</w:t>
      </w:r>
    </w:p>
    <w:p w14:paraId="6C195ACB" w14:textId="77777777" w:rsidR="00AD6DD7" w:rsidRPr="00AD6DD7" w:rsidRDefault="00AD6DD7" w:rsidP="00AD6DD7">
      <w:pPr>
        <w:spacing w:after="0" w:line="240" w:lineRule="auto"/>
        <w:rPr>
          <w:rFonts w:ascii="Times New Roman" w:eastAsia="Times New Roman" w:hAnsi="Times New Roman" w:cs="Times New Roman"/>
          <w:sz w:val="24"/>
          <w:szCs w:val="24"/>
        </w:rPr>
      </w:pPr>
      <w:r w:rsidRPr="00AD6DD7">
        <w:rPr>
          <w:rFonts w:ascii="Times New Roman" w:eastAsia="Times New Roman" w:hAnsi="Times New Roman" w:cs="Times New Roman"/>
          <w:sz w:val="24"/>
          <w:szCs w:val="24"/>
        </w:rPr>
        <w:t>1. There are some differences in the procedure of Nanopore sequencing and processing of loxF8 and Cas12f-ABE screen libraries. For instance, the use of the ligation sequencing kit and sequencing reads filter vary. Could this be attributed to the specific objectives of each library screen?</w:t>
      </w:r>
    </w:p>
    <w:p w14:paraId="23BD0EAA" w14:textId="77777777" w:rsidR="00AD6DD7" w:rsidRPr="00AD6DD7" w:rsidRDefault="00AD6DD7" w:rsidP="00AD6DD7">
      <w:pPr>
        <w:spacing w:after="0" w:line="240" w:lineRule="auto"/>
        <w:rPr>
          <w:rFonts w:ascii="Times New Roman" w:eastAsia="Times New Roman" w:hAnsi="Times New Roman" w:cs="Times New Roman"/>
          <w:sz w:val="24"/>
          <w:szCs w:val="24"/>
        </w:rPr>
      </w:pPr>
      <w:r w:rsidRPr="00AD6DD7">
        <w:rPr>
          <w:rFonts w:ascii="Times New Roman" w:eastAsia="Times New Roman" w:hAnsi="Times New Roman" w:cs="Times New Roman"/>
          <w:sz w:val="24"/>
          <w:szCs w:val="24"/>
        </w:rPr>
        <w:t>2. Line 405 and 406, please list all the specific reverse primers of UMI of the cluster of interest.</w:t>
      </w:r>
    </w:p>
    <w:p w14:paraId="26E85F69" w14:textId="77777777" w:rsidR="00AD6DD7" w:rsidRPr="00AD6DD7" w:rsidRDefault="00AD6DD7" w:rsidP="00AD6DD7">
      <w:pPr>
        <w:spacing w:after="0" w:line="240" w:lineRule="auto"/>
        <w:rPr>
          <w:rFonts w:ascii="Times New Roman" w:eastAsia="Times New Roman" w:hAnsi="Times New Roman" w:cs="Times New Roman"/>
          <w:sz w:val="24"/>
          <w:szCs w:val="24"/>
        </w:rPr>
      </w:pPr>
      <w:r w:rsidRPr="00AD6DD7">
        <w:rPr>
          <w:rFonts w:ascii="Times New Roman" w:eastAsia="Times New Roman" w:hAnsi="Times New Roman" w:cs="Times New Roman"/>
          <w:sz w:val="24"/>
          <w:szCs w:val="24"/>
        </w:rPr>
        <w:t>3. Line 410, “</w:t>
      </w:r>
      <w:proofErr w:type="spellStart"/>
      <w:r w:rsidRPr="00AD6DD7">
        <w:rPr>
          <w:rFonts w:ascii="Times New Roman" w:eastAsia="Times New Roman" w:hAnsi="Times New Roman" w:cs="Times New Roman"/>
          <w:sz w:val="24"/>
          <w:szCs w:val="24"/>
        </w:rPr>
        <w:t>BsrgI</w:t>
      </w:r>
      <w:proofErr w:type="spellEnd"/>
      <w:r w:rsidRPr="00AD6DD7">
        <w:rPr>
          <w:rFonts w:ascii="Times New Roman" w:eastAsia="Times New Roman" w:hAnsi="Times New Roman" w:cs="Times New Roman"/>
          <w:sz w:val="24"/>
          <w:szCs w:val="24"/>
        </w:rPr>
        <w:t>” should be replaced by “</w:t>
      </w:r>
      <w:proofErr w:type="spellStart"/>
      <w:r w:rsidRPr="00AD6DD7">
        <w:rPr>
          <w:rFonts w:ascii="Times New Roman" w:eastAsia="Times New Roman" w:hAnsi="Times New Roman" w:cs="Times New Roman"/>
          <w:sz w:val="24"/>
          <w:szCs w:val="24"/>
        </w:rPr>
        <w:t>BsrGI</w:t>
      </w:r>
      <w:proofErr w:type="spellEnd"/>
      <w:r w:rsidRPr="00AD6DD7">
        <w:rPr>
          <w:rFonts w:ascii="Times New Roman" w:eastAsia="Times New Roman" w:hAnsi="Times New Roman" w:cs="Times New Roman"/>
          <w:sz w:val="24"/>
          <w:szCs w:val="24"/>
        </w:rPr>
        <w:t>”.</w:t>
      </w:r>
    </w:p>
    <w:p w14:paraId="3BA0F5D8" w14:textId="77777777" w:rsidR="00AD6DD7" w:rsidRPr="00AD6DD7" w:rsidRDefault="00AD6DD7" w:rsidP="00AD6DD7">
      <w:pPr>
        <w:spacing w:after="0" w:line="240" w:lineRule="auto"/>
        <w:rPr>
          <w:rFonts w:ascii="Times New Roman" w:eastAsia="Times New Roman" w:hAnsi="Times New Roman" w:cs="Times New Roman"/>
          <w:sz w:val="24"/>
          <w:szCs w:val="24"/>
        </w:rPr>
      </w:pPr>
      <w:r w:rsidRPr="00AD6DD7">
        <w:rPr>
          <w:rFonts w:ascii="Times New Roman" w:eastAsia="Times New Roman" w:hAnsi="Times New Roman" w:cs="Times New Roman"/>
          <w:sz w:val="24"/>
          <w:szCs w:val="24"/>
        </w:rPr>
        <w:t>4. In Supplementary Figure 7, the “Note the only synonymous bystander edit at position 12 “A” with sgRNA1 is indicated by a blue arrow” should be replaced by “Note the only synonymous bystander edit at position 12 “A” with sgRNA2 is indicated by a blue arrow”. Moreover, there's an inconsistency between the sgRNA name in this figure and what's presented in Supplementary Table 2.</w:t>
      </w:r>
    </w:p>
    <w:p w14:paraId="0D7B8E18" w14:textId="1FC73804" w:rsidR="00AD6DD7" w:rsidRDefault="00AD6DD7" w:rsidP="00AD6DD7">
      <w:pPr>
        <w:spacing w:after="0" w:line="240" w:lineRule="auto"/>
        <w:rPr>
          <w:rFonts w:ascii="Times New Roman" w:eastAsia="Times New Roman" w:hAnsi="Times New Roman" w:cs="Times New Roman"/>
          <w:sz w:val="24"/>
          <w:szCs w:val="24"/>
        </w:rPr>
      </w:pPr>
      <w:r w:rsidRPr="00AD6DD7">
        <w:rPr>
          <w:rFonts w:ascii="Times New Roman" w:eastAsia="Times New Roman" w:hAnsi="Times New Roman" w:cs="Times New Roman"/>
          <w:sz w:val="24"/>
          <w:szCs w:val="24"/>
        </w:rPr>
        <w:t>5. The Methods section would benefit from the inclusion of vector cloning details for spABE8e and spABE3030.</w:t>
      </w:r>
    </w:p>
    <w:p w14:paraId="38BCA96D" w14:textId="38BC8860" w:rsidR="00AD6DD7" w:rsidRDefault="00AD6DD7" w:rsidP="00AD6DD7">
      <w:pPr>
        <w:spacing w:after="0" w:line="240" w:lineRule="auto"/>
        <w:rPr>
          <w:rFonts w:ascii="Times New Roman" w:eastAsia="Times New Roman" w:hAnsi="Times New Roman" w:cs="Times New Roman"/>
          <w:sz w:val="24"/>
          <w:szCs w:val="24"/>
        </w:rPr>
      </w:pPr>
    </w:p>
    <w:p w14:paraId="33C8932F" w14:textId="77777777" w:rsidR="00AD6DD7" w:rsidRPr="00B8175F" w:rsidRDefault="00AD6DD7" w:rsidP="00AD6DD7">
      <w:pPr>
        <w:spacing w:after="0" w:line="240" w:lineRule="auto"/>
        <w:rPr>
          <w:rFonts w:ascii="Times New Roman" w:eastAsia="Times New Roman" w:hAnsi="Times New Roman" w:cs="Times New Roman"/>
          <w:sz w:val="24"/>
          <w:szCs w:val="24"/>
        </w:rPr>
      </w:pPr>
    </w:p>
    <w:p w14:paraId="5806DADA" w14:textId="77777777" w:rsidR="00AD6DD7" w:rsidRPr="00B8175F" w:rsidRDefault="00AD6DD7" w:rsidP="00AD6DD7">
      <w:pPr>
        <w:spacing w:after="0" w:line="240" w:lineRule="auto"/>
        <w:rPr>
          <w:rFonts w:ascii="Times New Roman" w:eastAsia="Times New Roman" w:hAnsi="Times New Roman" w:cs="Times New Roman"/>
          <w:sz w:val="24"/>
          <w:szCs w:val="24"/>
        </w:rPr>
      </w:pPr>
      <w:r w:rsidRPr="00B8175F">
        <w:rPr>
          <w:rFonts w:ascii="Times New Roman" w:eastAsia="Times New Roman" w:hAnsi="Times New Roman" w:cs="Times New Roman"/>
          <w:b/>
          <w:bCs/>
          <w:color w:val="000000"/>
        </w:rPr>
        <w:t>Authors Response</w:t>
      </w:r>
    </w:p>
    <w:p w14:paraId="1A06B683" w14:textId="77777777" w:rsidR="00AD6DD7" w:rsidRPr="00B8175F" w:rsidRDefault="00AD6DD7" w:rsidP="00AD6DD7">
      <w:pPr>
        <w:spacing w:after="0" w:line="240" w:lineRule="auto"/>
        <w:rPr>
          <w:rFonts w:ascii="Times New Roman" w:eastAsia="Times New Roman" w:hAnsi="Times New Roman" w:cs="Times New Roman"/>
          <w:sz w:val="24"/>
          <w:szCs w:val="24"/>
        </w:rPr>
      </w:pPr>
      <w:r w:rsidRPr="00B8175F">
        <w:rPr>
          <w:rFonts w:ascii="Times New Roman" w:eastAsia="Times New Roman" w:hAnsi="Times New Roman" w:cs="Times New Roman"/>
          <w:b/>
          <w:bCs/>
          <w:color w:val="000000"/>
        </w:rPr>
        <w:t>Point-by-point responses to the reviewers’ comments:</w:t>
      </w:r>
      <w:r w:rsidRPr="00B8175F">
        <w:rPr>
          <w:rFonts w:ascii="Times New Roman" w:eastAsia="Times New Roman" w:hAnsi="Times New Roman" w:cs="Times New Roman"/>
          <w:color w:val="000000"/>
        </w:rPr>
        <w:t> </w:t>
      </w:r>
    </w:p>
    <w:p w14:paraId="0E9486DA" w14:textId="77777777" w:rsidR="00AD6DD7" w:rsidRPr="00B8175F" w:rsidRDefault="00AD6DD7" w:rsidP="00AD6DD7">
      <w:pPr>
        <w:spacing w:after="0" w:line="240" w:lineRule="auto"/>
        <w:rPr>
          <w:rFonts w:ascii="Times New Roman" w:eastAsia="Times New Roman" w:hAnsi="Times New Roman" w:cs="Times New Roman"/>
          <w:sz w:val="24"/>
          <w:szCs w:val="24"/>
        </w:rPr>
      </w:pPr>
    </w:p>
    <w:p w14:paraId="19B737C5" w14:textId="24EA24DC" w:rsidR="00AD6DD7" w:rsidRPr="00AD6DD7" w:rsidRDefault="00AD6DD7" w:rsidP="00AD6DD7">
      <w:pPr>
        <w:rPr>
          <w:rFonts w:ascii="Times New Roman" w:eastAsia="Times New Roman" w:hAnsi="Times New Roman" w:cs="Times New Roman"/>
          <w:color w:val="000000"/>
        </w:rPr>
      </w:pPr>
      <w:r w:rsidRPr="00AD6DD7">
        <w:rPr>
          <w:rFonts w:ascii="Times New Roman" w:eastAsia="Times New Roman" w:hAnsi="Times New Roman" w:cs="Times New Roman"/>
          <w:color w:val="000000"/>
        </w:rPr>
        <w:t xml:space="preserve">Reviewer #1: The authors have addressed all of my previous concerns. Overall, the data is more detailed and portrays a very complete study now. I have one additional question more for the author, which perhaps could motivate the author to include an additional statement on the future potential of their method. Can </w:t>
      </w:r>
      <w:proofErr w:type="spellStart"/>
      <w:r w:rsidRPr="00AD6DD7">
        <w:rPr>
          <w:rFonts w:ascii="Times New Roman" w:eastAsia="Times New Roman" w:hAnsi="Times New Roman" w:cs="Times New Roman"/>
          <w:color w:val="000000"/>
        </w:rPr>
        <w:t>DEQSeq</w:t>
      </w:r>
      <w:proofErr w:type="spellEnd"/>
      <w:r w:rsidRPr="00AD6DD7">
        <w:rPr>
          <w:rFonts w:ascii="Times New Roman" w:eastAsia="Times New Roman" w:hAnsi="Times New Roman" w:cs="Times New Roman"/>
          <w:color w:val="000000"/>
        </w:rPr>
        <w:t xml:space="preserve"> only work on the basis of the </w:t>
      </w:r>
      <w:proofErr w:type="spellStart"/>
      <w:r w:rsidRPr="00AD6DD7">
        <w:rPr>
          <w:rFonts w:ascii="Times New Roman" w:eastAsia="Times New Roman" w:hAnsi="Times New Roman" w:cs="Times New Roman"/>
          <w:color w:val="000000"/>
        </w:rPr>
        <w:t>SliDE</w:t>
      </w:r>
      <w:proofErr w:type="spellEnd"/>
      <w:r w:rsidRPr="00AD6DD7">
        <w:rPr>
          <w:rFonts w:ascii="Times New Roman" w:eastAsia="Times New Roman" w:hAnsi="Times New Roman" w:cs="Times New Roman"/>
          <w:color w:val="000000"/>
        </w:rPr>
        <w:t xml:space="preserve"> plasmid? Along this line, could the authors propose major challenges that need to be addressed when using their approach with other selection methods.</w:t>
      </w:r>
    </w:p>
    <w:p w14:paraId="24E3395D" w14:textId="77777777" w:rsidR="00AD6DD7" w:rsidRPr="00AD6DD7" w:rsidRDefault="00AD6DD7" w:rsidP="00AD6DD7">
      <w:pPr>
        <w:rPr>
          <w:rFonts w:ascii="Times New Roman" w:eastAsia="Times New Roman" w:hAnsi="Times New Roman" w:cs="Times New Roman"/>
          <w:color w:val="4472C4" w:themeColor="accent1"/>
        </w:rPr>
      </w:pPr>
      <w:r w:rsidRPr="00AD6DD7">
        <w:rPr>
          <w:rFonts w:ascii="Times New Roman" w:eastAsia="Times New Roman" w:hAnsi="Times New Roman" w:cs="Times New Roman"/>
          <w:color w:val="4472C4" w:themeColor="accent1"/>
        </w:rPr>
        <w:t xml:space="preserve">Reply: We thank reviewer #1 for this positive feedback and the additional question. </w:t>
      </w:r>
      <w:proofErr w:type="spellStart"/>
      <w:r w:rsidRPr="00AD6DD7">
        <w:rPr>
          <w:rFonts w:ascii="Times New Roman" w:eastAsia="Times New Roman" w:hAnsi="Times New Roman" w:cs="Times New Roman"/>
          <w:color w:val="4472C4" w:themeColor="accent1"/>
        </w:rPr>
        <w:t>DEQSeq</w:t>
      </w:r>
      <w:proofErr w:type="spellEnd"/>
      <w:r w:rsidRPr="00AD6DD7">
        <w:rPr>
          <w:rFonts w:ascii="Times New Roman" w:eastAsia="Times New Roman" w:hAnsi="Times New Roman" w:cs="Times New Roman"/>
          <w:color w:val="4472C4" w:themeColor="accent1"/>
        </w:rPr>
        <w:t xml:space="preserve"> is not restricted to the </w:t>
      </w:r>
      <w:proofErr w:type="spellStart"/>
      <w:r w:rsidRPr="00AD6DD7">
        <w:rPr>
          <w:rFonts w:ascii="Times New Roman" w:eastAsia="Times New Roman" w:hAnsi="Times New Roman" w:cs="Times New Roman"/>
          <w:color w:val="4472C4" w:themeColor="accent1"/>
        </w:rPr>
        <w:t>SLiDE</w:t>
      </w:r>
      <w:proofErr w:type="spellEnd"/>
      <w:r w:rsidRPr="00AD6DD7">
        <w:rPr>
          <w:rFonts w:ascii="Times New Roman" w:eastAsia="Times New Roman" w:hAnsi="Times New Roman" w:cs="Times New Roman"/>
          <w:color w:val="4472C4" w:themeColor="accent1"/>
        </w:rPr>
        <w:t xml:space="preserve"> plasmid and can in principle be used with any plasmid containing the enzyme gene, UMI and target sequence. Other selection methods, such as PACE (PMID: 21478873) should also be suitable for use with </w:t>
      </w:r>
      <w:proofErr w:type="spellStart"/>
      <w:r w:rsidRPr="00AD6DD7">
        <w:rPr>
          <w:rFonts w:ascii="Times New Roman" w:eastAsia="Times New Roman" w:hAnsi="Times New Roman" w:cs="Times New Roman"/>
          <w:color w:val="4472C4" w:themeColor="accent1"/>
        </w:rPr>
        <w:t>DEQSeq</w:t>
      </w:r>
      <w:proofErr w:type="spellEnd"/>
      <w:r w:rsidRPr="00AD6DD7">
        <w:rPr>
          <w:rFonts w:ascii="Times New Roman" w:eastAsia="Times New Roman" w:hAnsi="Times New Roman" w:cs="Times New Roman"/>
          <w:color w:val="4472C4" w:themeColor="accent1"/>
        </w:rPr>
        <w:t xml:space="preserve">. We have added the following sentence to the discussion to address this point: “Importantly, </w:t>
      </w:r>
      <w:proofErr w:type="spellStart"/>
      <w:r w:rsidRPr="00AD6DD7">
        <w:rPr>
          <w:rFonts w:ascii="Times New Roman" w:eastAsia="Times New Roman" w:hAnsi="Times New Roman" w:cs="Times New Roman"/>
          <w:color w:val="4472C4" w:themeColor="accent1"/>
        </w:rPr>
        <w:t>DEQSeq</w:t>
      </w:r>
      <w:proofErr w:type="spellEnd"/>
      <w:r w:rsidRPr="00AD6DD7">
        <w:rPr>
          <w:rFonts w:ascii="Times New Roman" w:eastAsia="Times New Roman" w:hAnsi="Times New Roman" w:cs="Times New Roman"/>
          <w:color w:val="4472C4" w:themeColor="accent1"/>
        </w:rPr>
        <w:t xml:space="preserve"> can be used with other plasmid designs and directed evolution strategies, making it very versatile.”</w:t>
      </w:r>
    </w:p>
    <w:p w14:paraId="3C1C727D" w14:textId="77777777" w:rsidR="00AD6DD7" w:rsidRPr="00AD6DD7" w:rsidRDefault="00AD6DD7" w:rsidP="00AD6DD7">
      <w:pPr>
        <w:rPr>
          <w:rFonts w:ascii="Times New Roman" w:eastAsia="Times New Roman" w:hAnsi="Times New Roman" w:cs="Times New Roman"/>
          <w:color w:val="000000"/>
        </w:rPr>
      </w:pPr>
    </w:p>
    <w:p w14:paraId="62811636" w14:textId="4594C47E" w:rsidR="00AD6DD7" w:rsidRPr="00AD6DD7" w:rsidRDefault="00AD6DD7" w:rsidP="00AD6DD7">
      <w:pPr>
        <w:rPr>
          <w:rFonts w:ascii="Times New Roman" w:eastAsia="Times New Roman" w:hAnsi="Times New Roman" w:cs="Times New Roman"/>
          <w:color w:val="000000"/>
        </w:rPr>
      </w:pPr>
      <w:r w:rsidRPr="00AD6DD7">
        <w:rPr>
          <w:rFonts w:ascii="Times New Roman" w:eastAsia="Times New Roman" w:hAnsi="Times New Roman" w:cs="Times New Roman"/>
          <w:color w:val="000000"/>
        </w:rPr>
        <w:t>Reviewer #2: The authors have diligently addressed the concerns raised. Their effort in enhancing the manuscript is evident through the inclusion of more background, expanded discussions, and more details for the experiment design section. These improvements elevate the manuscript, aligning it more closely with the standards of a research article and making it more accessible for readers. Furthermore, the restructured figures and the incorporation of additional data strengthen its suitability for publication in Genome Biology.</w:t>
      </w:r>
    </w:p>
    <w:p w14:paraId="0D3DF3E1" w14:textId="77777777" w:rsidR="00AD6DD7" w:rsidRPr="00AD6DD7" w:rsidRDefault="00AD6DD7" w:rsidP="00AD6DD7">
      <w:pPr>
        <w:rPr>
          <w:rFonts w:ascii="Times New Roman" w:eastAsia="Times New Roman" w:hAnsi="Times New Roman" w:cs="Times New Roman"/>
          <w:color w:val="4472C4" w:themeColor="accent1"/>
        </w:rPr>
      </w:pPr>
      <w:r w:rsidRPr="00AD6DD7">
        <w:rPr>
          <w:rFonts w:ascii="Times New Roman" w:eastAsia="Times New Roman" w:hAnsi="Times New Roman" w:cs="Times New Roman"/>
          <w:color w:val="4472C4" w:themeColor="accent1"/>
        </w:rPr>
        <w:t>Reply: We agree with the reviewer that the manuscript has been improved considerably and we thank the reviewer for the additional input, which we have addressed as outlined below.</w:t>
      </w:r>
    </w:p>
    <w:p w14:paraId="1CC1C58C" w14:textId="77777777" w:rsidR="00AD6DD7" w:rsidRPr="00AD6DD7" w:rsidRDefault="00AD6DD7" w:rsidP="00AD6DD7">
      <w:pPr>
        <w:rPr>
          <w:rFonts w:ascii="Times New Roman" w:eastAsia="Times New Roman" w:hAnsi="Times New Roman" w:cs="Times New Roman"/>
          <w:color w:val="000000"/>
        </w:rPr>
      </w:pPr>
    </w:p>
    <w:p w14:paraId="50C45849" w14:textId="77777777" w:rsidR="00AD6DD7" w:rsidRPr="00AD6DD7" w:rsidRDefault="00AD6DD7" w:rsidP="00AD6DD7">
      <w:pPr>
        <w:rPr>
          <w:rFonts w:ascii="Times New Roman" w:eastAsia="Times New Roman" w:hAnsi="Times New Roman" w:cs="Times New Roman"/>
          <w:color w:val="000000"/>
        </w:rPr>
      </w:pPr>
      <w:r w:rsidRPr="00AD6DD7">
        <w:rPr>
          <w:rFonts w:ascii="Times New Roman" w:eastAsia="Times New Roman" w:hAnsi="Times New Roman" w:cs="Times New Roman"/>
          <w:color w:val="000000"/>
        </w:rPr>
        <w:lastRenderedPageBreak/>
        <w:t>However, a few aspects still require attention:</w:t>
      </w:r>
    </w:p>
    <w:p w14:paraId="036E82FE" w14:textId="7742F4EE" w:rsidR="00AD6DD7" w:rsidRPr="00AD6DD7" w:rsidRDefault="00AD6DD7" w:rsidP="00AD6DD7">
      <w:pPr>
        <w:rPr>
          <w:rFonts w:ascii="Times New Roman" w:eastAsia="Times New Roman" w:hAnsi="Times New Roman" w:cs="Times New Roman"/>
          <w:color w:val="000000"/>
        </w:rPr>
      </w:pPr>
      <w:r w:rsidRPr="00AD6DD7">
        <w:rPr>
          <w:rFonts w:ascii="Times New Roman" w:eastAsia="Times New Roman" w:hAnsi="Times New Roman" w:cs="Times New Roman"/>
          <w:color w:val="000000"/>
        </w:rPr>
        <w:t>1. There are some differences in the procedure of Nanopore sequencing and processing of loxF8 and Cas12f-ABE screen libraries. For instance, the use of the ligation sequencing kit and sequencing reads filter vary. Could this be attributed to the specific objectives of each library screen?</w:t>
      </w:r>
    </w:p>
    <w:p w14:paraId="41A3FBCD" w14:textId="77777777" w:rsidR="00AD6DD7" w:rsidRPr="00AD6DD7" w:rsidRDefault="00AD6DD7" w:rsidP="00AD6DD7">
      <w:pPr>
        <w:rPr>
          <w:rFonts w:ascii="Times New Roman" w:eastAsia="Times New Roman" w:hAnsi="Times New Roman" w:cs="Times New Roman"/>
          <w:color w:val="4472C4" w:themeColor="accent1"/>
        </w:rPr>
      </w:pPr>
      <w:r w:rsidRPr="00AD6DD7">
        <w:rPr>
          <w:rFonts w:ascii="Times New Roman" w:eastAsia="Times New Roman" w:hAnsi="Times New Roman" w:cs="Times New Roman"/>
          <w:color w:val="4472C4" w:themeColor="accent1"/>
        </w:rPr>
        <w:t xml:space="preserve">Reply: The reason for using a different ligation sequencing kit was the Oxford Nanopore Technologies update during the course of the experiments. The older generation of the nanopore sequencing kit LSK110 delivers a raw read accuracy of ~92%, which was sufficient to obtain reliable results as presented. The accuracy of the newer kit LSK112 delivers a raw read accuracy of ~98-99%, which further improved the quality of the data. Because Oxford Nanopore Technologies keeps updating their sequencing technology, future users of </w:t>
      </w:r>
      <w:proofErr w:type="spellStart"/>
      <w:r w:rsidRPr="00AD6DD7">
        <w:rPr>
          <w:rFonts w:ascii="Times New Roman" w:eastAsia="Times New Roman" w:hAnsi="Times New Roman" w:cs="Times New Roman"/>
          <w:color w:val="4472C4" w:themeColor="accent1"/>
        </w:rPr>
        <w:t>DEQSeq</w:t>
      </w:r>
      <w:proofErr w:type="spellEnd"/>
      <w:r w:rsidRPr="00AD6DD7">
        <w:rPr>
          <w:rFonts w:ascii="Times New Roman" w:eastAsia="Times New Roman" w:hAnsi="Times New Roman" w:cs="Times New Roman"/>
          <w:color w:val="4472C4" w:themeColor="accent1"/>
        </w:rPr>
        <w:t xml:space="preserve"> will benefit from these improvements.</w:t>
      </w:r>
    </w:p>
    <w:p w14:paraId="4AFFC3C9" w14:textId="77777777" w:rsidR="00AD6DD7" w:rsidRPr="00AD6DD7" w:rsidRDefault="00AD6DD7" w:rsidP="00AD6DD7">
      <w:pPr>
        <w:rPr>
          <w:rFonts w:ascii="Times New Roman" w:eastAsia="Times New Roman" w:hAnsi="Times New Roman" w:cs="Times New Roman"/>
          <w:color w:val="4472C4" w:themeColor="accent1"/>
        </w:rPr>
      </w:pPr>
      <w:r w:rsidRPr="00AD6DD7">
        <w:rPr>
          <w:rFonts w:ascii="Times New Roman" w:eastAsia="Times New Roman" w:hAnsi="Times New Roman" w:cs="Times New Roman"/>
          <w:color w:val="4472C4" w:themeColor="accent1"/>
        </w:rPr>
        <w:t>To adjust for the size of the sequenced fragments and the required quality, the filtering criteria were adjusted to deliver the best output for each screen.</w:t>
      </w:r>
    </w:p>
    <w:p w14:paraId="5106C777" w14:textId="77777777" w:rsidR="00AD6DD7" w:rsidRPr="00AD6DD7" w:rsidRDefault="00AD6DD7" w:rsidP="00AD6DD7">
      <w:pPr>
        <w:rPr>
          <w:rFonts w:ascii="Times New Roman" w:eastAsia="Times New Roman" w:hAnsi="Times New Roman" w:cs="Times New Roman"/>
          <w:color w:val="000000"/>
        </w:rPr>
      </w:pPr>
    </w:p>
    <w:p w14:paraId="1DF8D8DB" w14:textId="5EBB4286" w:rsidR="00AD6DD7" w:rsidRPr="00AD6DD7" w:rsidRDefault="00AD6DD7" w:rsidP="00AD6DD7">
      <w:pPr>
        <w:rPr>
          <w:rFonts w:ascii="Times New Roman" w:eastAsia="Times New Roman" w:hAnsi="Times New Roman" w:cs="Times New Roman"/>
          <w:color w:val="000000"/>
        </w:rPr>
      </w:pPr>
      <w:r w:rsidRPr="00AD6DD7">
        <w:rPr>
          <w:rFonts w:ascii="Times New Roman" w:eastAsia="Times New Roman" w:hAnsi="Times New Roman" w:cs="Times New Roman"/>
          <w:color w:val="000000"/>
        </w:rPr>
        <w:t>2. Line 405 and 406, please list all the specific reverse primers of UMI of the cluster of interest.</w:t>
      </w:r>
    </w:p>
    <w:p w14:paraId="6EA4142F" w14:textId="77777777" w:rsidR="00AD6DD7" w:rsidRPr="00AD6DD7" w:rsidRDefault="00AD6DD7" w:rsidP="00AD6DD7">
      <w:pPr>
        <w:rPr>
          <w:rFonts w:ascii="Times New Roman" w:eastAsia="Times New Roman" w:hAnsi="Times New Roman" w:cs="Times New Roman"/>
          <w:color w:val="4472C4" w:themeColor="accent1"/>
        </w:rPr>
      </w:pPr>
      <w:r w:rsidRPr="00AD6DD7">
        <w:rPr>
          <w:rFonts w:ascii="Times New Roman" w:eastAsia="Times New Roman" w:hAnsi="Times New Roman" w:cs="Times New Roman"/>
          <w:color w:val="4472C4" w:themeColor="accent1"/>
        </w:rPr>
        <w:t>Reply: We thank the reviewer for mentioning the missing primers, we added the names of the primers to the text.</w:t>
      </w:r>
    </w:p>
    <w:p w14:paraId="27A74BFB" w14:textId="77777777" w:rsidR="00AD6DD7" w:rsidRPr="00AD6DD7" w:rsidRDefault="00AD6DD7" w:rsidP="00AD6DD7">
      <w:pPr>
        <w:rPr>
          <w:rFonts w:ascii="Times New Roman" w:eastAsia="Times New Roman" w:hAnsi="Times New Roman" w:cs="Times New Roman"/>
          <w:color w:val="000000"/>
        </w:rPr>
      </w:pPr>
    </w:p>
    <w:p w14:paraId="129AE34E" w14:textId="50F3F674" w:rsidR="00AD6DD7" w:rsidRPr="00AD6DD7" w:rsidRDefault="00AD6DD7" w:rsidP="00AD6DD7">
      <w:pPr>
        <w:rPr>
          <w:rFonts w:ascii="Times New Roman" w:eastAsia="Times New Roman" w:hAnsi="Times New Roman" w:cs="Times New Roman"/>
          <w:color w:val="000000"/>
        </w:rPr>
      </w:pPr>
      <w:r w:rsidRPr="00AD6DD7">
        <w:rPr>
          <w:rFonts w:ascii="Times New Roman" w:eastAsia="Times New Roman" w:hAnsi="Times New Roman" w:cs="Times New Roman"/>
          <w:color w:val="000000"/>
        </w:rPr>
        <w:t>3. Line 410, “</w:t>
      </w:r>
      <w:proofErr w:type="spellStart"/>
      <w:r w:rsidRPr="00AD6DD7">
        <w:rPr>
          <w:rFonts w:ascii="Times New Roman" w:eastAsia="Times New Roman" w:hAnsi="Times New Roman" w:cs="Times New Roman"/>
          <w:color w:val="000000"/>
        </w:rPr>
        <w:t>BsrgI</w:t>
      </w:r>
      <w:proofErr w:type="spellEnd"/>
      <w:r w:rsidRPr="00AD6DD7">
        <w:rPr>
          <w:rFonts w:ascii="Times New Roman" w:eastAsia="Times New Roman" w:hAnsi="Times New Roman" w:cs="Times New Roman"/>
          <w:color w:val="000000"/>
        </w:rPr>
        <w:t>” should be replaced by “</w:t>
      </w:r>
      <w:proofErr w:type="spellStart"/>
      <w:r w:rsidRPr="00AD6DD7">
        <w:rPr>
          <w:rFonts w:ascii="Times New Roman" w:eastAsia="Times New Roman" w:hAnsi="Times New Roman" w:cs="Times New Roman"/>
          <w:color w:val="000000"/>
        </w:rPr>
        <w:t>BsrGI</w:t>
      </w:r>
      <w:proofErr w:type="spellEnd"/>
      <w:r w:rsidRPr="00AD6DD7">
        <w:rPr>
          <w:rFonts w:ascii="Times New Roman" w:eastAsia="Times New Roman" w:hAnsi="Times New Roman" w:cs="Times New Roman"/>
          <w:color w:val="000000"/>
        </w:rPr>
        <w:t>”.</w:t>
      </w:r>
    </w:p>
    <w:p w14:paraId="5B0EE0F4" w14:textId="77777777" w:rsidR="00AD6DD7" w:rsidRPr="00AD6DD7" w:rsidRDefault="00AD6DD7" w:rsidP="00AD6DD7">
      <w:pPr>
        <w:rPr>
          <w:rFonts w:ascii="Times New Roman" w:eastAsia="Times New Roman" w:hAnsi="Times New Roman" w:cs="Times New Roman"/>
          <w:color w:val="4472C4" w:themeColor="accent1"/>
        </w:rPr>
      </w:pPr>
      <w:r w:rsidRPr="00AD6DD7">
        <w:rPr>
          <w:rFonts w:ascii="Times New Roman" w:eastAsia="Times New Roman" w:hAnsi="Times New Roman" w:cs="Times New Roman"/>
          <w:color w:val="4472C4" w:themeColor="accent1"/>
        </w:rPr>
        <w:t xml:space="preserve">Reply: We corrected the restriction site name to </w:t>
      </w:r>
      <w:proofErr w:type="spellStart"/>
      <w:r w:rsidRPr="00AD6DD7">
        <w:rPr>
          <w:rFonts w:ascii="Times New Roman" w:eastAsia="Times New Roman" w:hAnsi="Times New Roman" w:cs="Times New Roman"/>
          <w:color w:val="4472C4" w:themeColor="accent1"/>
        </w:rPr>
        <w:t>BsrGI</w:t>
      </w:r>
      <w:proofErr w:type="spellEnd"/>
      <w:r w:rsidRPr="00AD6DD7">
        <w:rPr>
          <w:rFonts w:ascii="Times New Roman" w:eastAsia="Times New Roman" w:hAnsi="Times New Roman" w:cs="Times New Roman"/>
          <w:color w:val="4472C4" w:themeColor="accent1"/>
        </w:rPr>
        <w:t xml:space="preserve"> in all occurrences in the text – thank you.</w:t>
      </w:r>
    </w:p>
    <w:p w14:paraId="64D8E4A1" w14:textId="77777777" w:rsidR="00AD6DD7" w:rsidRPr="00AD6DD7" w:rsidRDefault="00AD6DD7" w:rsidP="00AD6DD7">
      <w:pPr>
        <w:rPr>
          <w:rFonts w:ascii="Times New Roman" w:eastAsia="Times New Roman" w:hAnsi="Times New Roman" w:cs="Times New Roman"/>
          <w:color w:val="000000"/>
        </w:rPr>
      </w:pPr>
    </w:p>
    <w:p w14:paraId="604BB24A" w14:textId="3A42AFEF" w:rsidR="00AD6DD7" w:rsidRPr="00AD6DD7" w:rsidRDefault="00AD6DD7" w:rsidP="00AD6DD7">
      <w:pPr>
        <w:rPr>
          <w:rFonts w:ascii="Times New Roman" w:eastAsia="Times New Roman" w:hAnsi="Times New Roman" w:cs="Times New Roman"/>
          <w:color w:val="000000"/>
        </w:rPr>
      </w:pPr>
      <w:r w:rsidRPr="00AD6DD7">
        <w:rPr>
          <w:rFonts w:ascii="Times New Roman" w:eastAsia="Times New Roman" w:hAnsi="Times New Roman" w:cs="Times New Roman"/>
          <w:color w:val="000000"/>
        </w:rPr>
        <w:t>4. In Supplementary Figure 7, the “Note the only synonymous bystander edit at position 12 “A” with sgRNA1 is indicated by a blue arrow” should be replaced by “Note the only synonymous bystander edit at position 12 “A” with sgRNA2 is indicated by a blue arrow”. Moreover, there's an inconsistency between the sgRNA name in this figure and what's presented in Supplementary Table 2.</w:t>
      </w:r>
    </w:p>
    <w:p w14:paraId="53039EEB" w14:textId="77777777" w:rsidR="00AD6DD7" w:rsidRPr="00AD6DD7" w:rsidRDefault="00AD6DD7" w:rsidP="00AD6DD7">
      <w:pPr>
        <w:rPr>
          <w:rFonts w:ascii="Times New Roman" w:eastAsia="Times New Roman" w:hAnsi="Times New Roman" w:cs="Times New Roman"/>
          <w:color w:val="4472C4" w:themeColor="accent1"/>
        </w:rPr>
      </w:pPr>
      <w:r w:rsidRPr="00AD6DD7">
        <w:rPr>
          <w:rFonts w:ascii="Times New Roman" w:eastAsia="Times New Roman" w:hAnsi="Times New Roman" w:cs="Times New Roman"/>
          <w:color w:val="4472C4" w:themeColor="accent1"/>
        </w:rPr>
        <w:t>Reply: We apologize for the inconsistency; we corrected all references of sgRNA1 and sgRNA2 to be consistent.</w:t>
      </w:r>
    </w:p>
    <w:p w14:paraId="4CF475A3" w14:textId="77777777" w:rsidR="00AD6DD7" w:rsidRPr="00AD6DD7" w:rsidRDefault="00AD6DD7" w:rsidP="00AD6DD7">
      <w:pPr>
        <w:rPr>
          <w:rFonts w:ascii="Times New Roman" w:eastAsia="Times New Roman" w:hAnsi="Times New Roman" w:cs="Times New Roman"/>
          <w:color w:val="000000"/>
        </w:rPr>
      </w:pPr>
    </w:p>
    <w:p w14:paraId="314C5492" w14:textId="2B643DF7" w:rsidR="00AD6DD7" w:rsidRPr="00AD6DD7" w:rsidRDefault="00AD6DD7" w:rsidP="00AD6DD7">
      <w:pPr>
        <w:rPr>
          <w:rFonts w:ascii="Times New Roman" w:eastAsia="Times New Roman" w:hAnsi="Times New Roman" w:cs="Times New Roman"/>
          <w:color w:val="000000"/>
        </w:rPr>
      </w:pPr>
      <w:r w:rsidRPr="00AD6DD7">
        <w:rPr>
          <w:rFonts w:ascii="Times New Roman" w:eastAsia="Times New Roman" w:hAnsi="Times New Roman" w:cs="Times New Roman"/>
          <w:color w:val="000000"/>
        </w:rPr>
        <w:t>5. The Methods section would benefit from the inclusion of vector cloning details for spABE8e and spABE3030.</w:t>
      </w:r>
    </w:p>
    <w:p w14:paraId="1A530FDD" w14:textId="58552B65" w:rsidR="00AD6DD7" w:rsidRPr="00AD6DD7" w:rsidRDefault="00AD6DD7" w:rsidP="00AD6DD7">
      <w:pPr>
        <w:rPr>
          <w:color w:val="4472C4" w:themeColor="accent1"/>
        </w:rPr>
      </w:pPr>
      <w:r w:rsidRPr="00AD6DD7">
        <w:rPr>
          <w:rFonts w:ascii="Times New Roman" w:eastAsia="Times New Roman" w:hAnsi="Times New Roman" w:cs="Times New Roman"/>
          <w:color w:val="4472C4" w:themeColor="accent1"/>
        </w:rPr>
        <w:t>Reply: We agree with this assessment and the vector cloning details have now been added.</w:t>
      </w:r>
    </w:p>
    <w:p w14:paraId="1F81E452" w14:textId="77777777" w:rsidR="00906928" w:rsidRDefault="00AD6DD7"/>
    <w:sectPr w:rsidR="009069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BE5BD6"/>
    <w:multiLevelType w:val="hybridMultilevel"/>
    <w:tmpl w:val="D4C061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DD7"/>
    <w:rsid w:val="00116A74"/>
    <w:rsid w:val="006E1F11"/>
    <w:rsid w:val="00AD6DD7"/>
    <w:rsid w:val="00B251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05A2A"/>
  <w15:chartTrackingRefBased/>
  <w15:docId w15:val="{2282939C-D48A-4C10-A81D-D7BE6511A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D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D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2791</Words>
  <Characters>17221</Characters>
  <Application>Microsoft Office Word</Application>
  <DocSecurity>0</DocSecurity>
  <Lines>296</Lines>
  <Paragraphs>107</Paragraphs>
  <ScaleCrop>false</ScaleCrop>
  <Company>Springer Nature</Company>
  <LinksUpToDate>false</LinksUpToDate>
  <CharactersWithSpaces>19905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Pang</dc:creator>
  <cp:keywords/>
  <dc:description/>
  <cp:lastModifiedBy>Kevin Pang</cp:lastModifiedBy>
  <cp:revision>1</cp:revision>
  <dcterms:created xsi:type="dcterms:W3CDTF">2023-10-25T18:54:00Z</dcterms:created>
  <dcterms:modified xsi:type="dcterms:W3CDTF">2023-10-25T19:04:00Z</dcterms:modified>
</cp:coreProperties>
</file>