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941DD" w:rsidRPr="00FF19FE" w:rsidRDefault="00FF19FE">
      <w:pPr>
        <w:rPr>
          <w:rFonts w:ascii="Times New Roman" w:hAnsi="Times New Roman" w:cs="Times New Roman"/>
          <w:b/>
          <w:bCs/>
          <w:lang w:val="en-US"/>
        </w:rPr>
      </w:pPr>
      <w:r w:rsidRPr="00FF19FE">
        <w:rPr>
          <w:rFonts w:ascii="Times New Roman" w:hAnsi="Times New Roman" w:cs="Times New Roman"/>
          <w:b/>
          <w:bCs/>
          <w:lang w:val="en-US"/>
        </w:rPr>
        <w:t>Additional file 1: Supplementary figures</w:t>
      </w:r>
    </w:p>
    <w:p w:rsidR="00FF19FE" w:rsidRDefault="00FF19FE">
      <w:pPr>
        <w:rPr>
          <w:lang w:val="en-US"/>
        </w:rPr>
      </w:pPr>
    </w:p>
    <w:p w:rsidR="00FF19FE" w:rsidRDefault="00FF19FE">
      <w:pPr>
        <w:rPr>
          <w:lang w:val="en-US"/>
        </w:rPr>
      </w:pPr>
    </w:p>
    <w:p w:rsidR="00FF19FE" w:rsidRDefault="00FF19FE">
      <w:pPr>
        <w:rPr>
          <w:lang w:val="en-US"/>
        </w:rPr>
      </w:pPr>
    </w:p>
    <w:p w:rsidR="00FF19FE" w:rsidRDefault="00FF19FE">
      <w:pPr>
        <w:rPr>
          <w:lang w:val="en-US"/>
        </w:rPr>
      </w:pPr>
    </w:p>
    <w:p w:rsidR="00FF19FE" w:rsidRDefault="00FF19FE">
      <w:pPr>
        <w:rPr>
          <w:lang w:val="en-US"/>
        </w:rPr>
      </w:pPr>
    </w:p>
    <w:p w:rsidR="00FF19FE" w:rsidRDefault="00FF19FE">
      <w:pPr>
        <w:rPr>
          <w:lang w:val="en-US"/>
        </w:rPr>
      </w:pPr>
    </w:p>
    <w:p w:rsidR="00FF19FE" w:rsidRDefault="00FF19FE">
      <w:pPr>
        <w:rPr>
          <w:lang w:val="en-US"/>
        </w:rPr>
      </w:pPr>
    </w:p>
    <w:p w:rsidR="00FF19FE" w:rsidRDefault="00FF19FE">
      <w:pPr>
        <w:rPr>
          <w:lang w:val="en-US"/>
        </w:rPr>
      </w:pPr>
    </w:p>
    <w:p w:rsidR="00E65854" w:rsidRPr="008D2258" w:rsidRDefault="00E65854" w:rsidP="00E65854">
      <w:pPr>
        <w:suppressLineNumbers/>
        <w:spacing w:line="360" w:lineRule="auto"/>
        <w:rPr>
          <w:rFonts w:ascii="Arial" w:hAnsi="Arial" w:cs="Arial"/>
          <w:b/>
          <w:bCs/>
          <w:color w:val="000000" w:themeColor="text1"/>
          <w:sz w:val="28"/>
          <w:szCs w:val="28"/>
          <w:lang w:val="en-US"/>
        </w:rPr>
      </w:pPr>
      <w:r w:rsidRPr="008D2258">
        <w:rPr>
          <w:rFonts w:ascii="Arial" w:hAnsi="Arial" w:cs="Arial"/>
          <w:b/>
          <w:bCs/>
          <w:color w:val="000000" w:themeColor="text1"/>
          <w:sz w:val="28"/>
          <w:szCs w:val="28"/>
          <w:lang w:val="en-US"/>
        </w:rPr>
        <w:t>Quartet DNA reference materials and datasets for comprehensively evaluating germline variants calling performance</w:t>
      </w:r>
    </w:p>
    <w:p w:rsidR="00FF19FE" w:rsidRDefault="00FF19FE">
      <w:pPr>
        <w:rPr>
          <w:lang w:val="en-US"/>
        </w:rPr>
      </w:pPr>
    </w:p>
    <w:p w:rsidR="00FF19FE" w:rsidRDefault="00FF19FE">
      <w:pPr>
        <w:rPr>
          <w:lang w:val="en-US"/>
        </w:rPr>
      </w:pPr>
    </w:p>
    <w:p w:rsidR="00FF19FE" w:rsidRDefault="00FF19FE">
      <w:pPr>
        <w:rPr>
          <w:lang w:val="en-US"/>
        </w:rPr>
      </w:pPr>
    </w:p>
    <w:p w:rsidR="00FF19FE" w:rsidRDefault="00FF19FE">
      <w:pPr>
        <w:rPr>
          <w:lang w:val="en-US"/>
        </w:rPr>
      </w:pPr>
    </w:p>
    <w:p w:rsidR="00E65854" w:rsidRDefault="00E65854">
      <w:pPr>
        <w:rPr>
          <w:lang w:val="en-US"/>
        </w:rPr>
      </w:pPr>
    </w:p>
    <w:p w:rsidR="00E65854" w:rsidRDefault="00E65854">
      <w:pPr>
        <w:rPr>
          <w:lang w:val="en-US"/>
        </w:rPr>
      </w:pPr>
    </w:p>
    <w:p w:rsidR="00E65854" w:rsidRDefault="00E65854">
      <w:pPr>
        <w:rPr>
          <w:rFonts w:ascii="Times New Roman" w:hAnsi="Times New Roman" w:cs="Times New Roman"/>
          <w:lang w:val="en-US"/>
        </w:rPr>
      </w:pPr>
      <w:r w:rsidRPr="00E65854">
        <w:rPr>
          <w:rFonts w:ascii="Times New Roman" w:hAnsi="Times New Roman" w:cs="Times New Roman"/>
          <w:lang w:val="en-US"/>
        </w:rPr>
        <w:t>Ren L et al.</w:t>
      </w:r>
    </w:p>
    <w:p w:rsidR="00220D96" w:rsidRDefault="00220D96">
      <w:pPr>
        <w:rPr>
          <w:rFonts w:ascii="Times New Roman" w:hAnsi="Times New Roman" w:cs="Times New Roman"/>
          <w:lang w:val="en-US"/>
        </w:rPr>
      </w:pPr>
    </w:p>
    <w:p w:rsidR="00220D96" w:rsidRPr="00220D96" w:rsidRDefault="00220D96">
      <w:pPr>
        <w:rPr>
          <w:rFonts w:ascii="Times New Roman" w:hAnsi="Times New Roman" w:cs="Times New Roman"/>
          <w:i/>
          <w:iCs/>
          <w:lang w:val="en-US"/>
        </w:rPr>
      </w:pPr>
      <w:r w:rsidRPr="00220D96">
        <w:rPr>
          <w:rFonts w:ascii="Times New Roman" w:hAnsi="Times New Roman" w:cs="Times New Roman"/>
          <w:i/>
          <w:iCs/>
          <w:lang w:val="en-US"/>
        </w:rPr>
        <w:t>Genome Biology</w:t>
      </w:r>
    </w:p>
    <w:p w:rsidR="004D3B98" w:rsidRDefault="004D3B98">
      <w:pPr>
        <w:rPr>
          <w:lang w:val="en-US"/>
        </w:rPr>
      </w:pPr>
    </w:p>
    <w:p w:rsidR="004D3B98" w:rsidRDefault="004D3B98">
      <w:pPr>
        <w:rPr>
          <w:lang w:val="en-US"/>
        </w:rPr>
      </w:pPr>
    </w:p>
    <w:p w:rsidR="004D3B98" w:rsidRDefault="004D3B98">
      <w:pPr>
        <w:rPr>
          <w:lang w:val="en-US"/>
        </w:rPr>
      </w:pPr>
    </w:p>
    <w:p w:rsidR="004D3B98" w:rsidRDefault="004D3B98">
      <w:pPr>
        <w:rPr>
          <w:lang w:val="en-US"/>
        </w:rPr>
      </w:pPr>
      <w:r>
        <w:rPr>
          <w:lang w:val="en-US"/>
        </w:rPr>
        <w:br w:type="page"/>
      </w:r>
    </w:p>
    <w:p w:rsidR="004D3B98" w:rsidRPr="008D2258" w:rsidRDefault="004D3B98" w:rsidP="004D3B98">
      <w:pPr>
        <w:rPr>
          <w:color w:val="000000" w:themeColor="text1"/>
          <w:lang w:val="en-US"/>
        </w:rPr>
      </w:pPr>
    </w:p>
    <w:p w:rsidR="004D3B98" w:rsidRPr="008D2258" w:rsidRDefault="004D3B98" w:rsidP="004D3B98">
      <w:pPr>
        <w:rPr>
          <w:color w:val="000000" w:themeColor="text1"/>
          <w:lang w:val="en-US"/>
        </w:rPr>
      </w:pPr>
      <w:r w:rsidRPr="008D2258">
        <w:rPr>
          <w:noProof/>
          <w:color w:val="000000" w:themeColor="text1"/>
          <w:lang w:val="en-US"/>
        </w:rPr>
        <w:drawing>
          <wp:inline distT="0" distB="0" distL="0" distR="0" wp14:anchorId="616772D8" wp14:editId="58ADAA40">
            <wp:extent cx="5943600" cy="5598795"/>
            <wp:effectExtent l="0" t="0" r="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943600" cy="5598795"/>
                    </a:xfrm>
                    <a:prstGeom prst="rect">
                      <a:avLst/>
                    </a:prstGeom>
                  </pic:spPr>
                </pic:pic>
              </a:graphicData>
            </a:graphic>
          </wp:inline>
        </w:drawing>
      </w:r>
    </w:p>
    <w:p w:rsidR="004D3B98" w:rsidRPr="008D2258" w:rsidRDefault="004D3B98" w:rsidP="004D3B98">
      <w:pPr>
        <w:spacing w:line="360" w:lineRule="auto"/>
        <w:rPr>
          <w:rFonts w:ascii="Times New Roman" w:eastAsia="Times New Roman" w:hAnsi="Times New Roman" w:cs="Times New Roman"/>
          <w:color w:val="000000" w:themeColor="text1"/>
          <w:lang w:val="en-US"/>
        </w:rPr>
      </w:pPr>
      <w:r>
        <w:rPr>
          <w:rFonts w:ascii="Times New Roman" w:eastAsia="Times New Roman" w:hAnsi="Times New Roman" w:cs="Times New Roman"/>
          <w:b/>
          <w:bCs/>
          <w:color w:val="000000" w:themeColor="text1"/>
          <w:lang w:val="en-US"/>
        </w:rPr>
        <w:t>Fig. S1</w:t>
      </w:r>
      <w:r w:rsidRPr="008D2258">
        <w:rPr>
          <w:rFonts w:ascii="Times New Roman" w:eastAsia="Times New Roman" w:hAnsi="Times New Roman" w:cs="Times New Roman"/>
          <w:b/>
          <w:bCs/>
          <w:color w:val="000000" w:themeColor="text1"/>
          <w:lang w:val="en-US"/>
        </w:rPr>
        <w:t>.</w:t>
      </w:r>
      <w:r w:rsidRPr="008D2258">
        <w:rPr>
          <w:rFonts w:ascii="Times New Roman" w:eastAsia="Times New Roman" w:hAnsi="Times New Roman" w:cs="Times New Roman"/>
          <w:color w:val="000000" w:themeColor="text1"/>
          <w:lang w:val="en-US"/>
        </w:rPr>
        <w:t xml:space="preserve"> Pairwise comparison of (</w:t>
      </w:r>
      <w:r w:rsidRPr="008D2258">
        <w:rPr>
          <w:rFonts w:ascii="Times New Roman" w:eastAsia="Times New Roman" w:hAnsi="Times New Roman" w:cs="Times New Roman"/>
          <w:b/>
          <w:bCs/>
          <w:color w:val="000000" w:themeColor="text1"/>
          <w:lang w:val="en-US"/>
        </w:rPr>
        <w:t>a</w:t>
      </w:r>
      <w:r w:rsidRPr="008D2258">
        <w:rPr>
          <w:rFonts w:ascii="Times New Roman" w:eastAsia="Times New Roman" w:hAnsi="Times New Roman" w:cs="Times New Roman"/>
          <w:color w:val="000000" w:themeColor="text1"/>
          <w:lang w:val="en-US"/>
        </w:rPr>
        <w:t>) SNVs, (</w:t>
      </w:r>
      <w:r w:rsidRPr="008D2258">
        <w:rPr>
          <w:rFonts w:ascii="Times New Roman" w:eastAsia="Times New Roman" w:hAnsi="Times New Roman" w:cs="Times New Roman"/>
          <w:b/>
          <w:bCs/>
          <w:color w:val="000000" w:themeColor="text1"/>
          <w:lang w:val="en-US"/>
        </w:rPr>
        <w:t>b</w:t>
      </w:r>
      <w:r w:rsidRPr="008D2258">
        <w:rPr>
          <w:rFonts w:ascii="Times New Roman" w:eastAsia="Times New Roman" w:hAnsi="Times New Roman" w:cs="Times New Roman"/>
          <w:color w:val="000000" w:themeColor="text1"/>
          <w:lang w:val="en-US"/>
        </w:rPr>
        <w:t>) small indels (</w:t>
      </w:r>
      <w:r w:rsidRPr="008D2258">
        <w:rPr>
          <w:rFonts w:ascii="Times New Roman" w:eastAsia="Times New Roman" w:hAnsi="Times New Roman" w:cs="Times New Roman"/>
          <w:b/>
          <w:bCs/>
          <w:color w:val="000000" w:themeColor="text1"/>
          <w:lang w:val="en-US"/>
        </w:rPr>
        <w:t>c</w:t>
      </w:r>
      <w:r w:rsidRPr="008D2258">
        <w:rPr>
          <w:rFonts w:ascii="Times New Roman" w:eastAsia="Times New Roman" w:hAnsi="Times New Roman" w:cs="Times New Roman"/>
          <w:color w:val="000000" w:themeColor="text1"/>
          <w:lang w:val="en-US"/>
        </w:rPr>
        <w:t>) insertions, (</w:t>
      </w:r>
      <w:r w:rsidRPr="008D2258">
        <w:rPr>
          <w:rFonts w:ascii="Times New Roman" w:eastAsia="Times New Roman" w:hAnsi="Times New Roman" w:cs="Times New Roman"/>
          <w:b/>
          <w:bCs/>
          <w:color w:val="000000" w:themeColor="text1"/>
          <w:lang w:val="en-US"/>
        </w:rPr>
        <w:t>d</w:t>
      </w:r>
      <w:r w:rsidRPr="008D2258">
        <w:rPr>
          <w:rFonts w:ascii="Times New Roman" w:eastAsia="Times New Roman" w:hAnsi="Times New Roman" w:cs="Times New Roman"/>
          <w:color w:val="000000" w:themeColor="text1"/>
          <w:lang w:val="en-US"/>
        </w:rPr>
        <w:t>) deletions, (</w:t>
      </w:r>
      <w:r w:rsidRPr="008D2258">
        <w:rPr>
          <w:rFonts w:ascii="Times New Roman" w:eastAsia="Times New Roman" w:hAnsi="Times New Roman" w:cs="Times New Roman"/>
          <w:b/>
          <w:bCs/>
          <w:color w:val="000000" w:themeColor="text1"/>
          <w:lang w:val="en-US"/>
        </w:rPr>
        <w:t>e</w:t>
      </w:r>
      <w:r w:rsidRPr="008D2258">
        <w:rPr>
          <w:rFonts w:ascii="Times New Roman" w:eastAsia="Times New Roman" w:hAnsi="Times New Roman" w:cs="Times New Roman"/>
          <w:color w:val="000000" w:themeColor="text1"/>
          <w:lang w:val="en-US"/>
        </w:rPr>
        <w:t>) duplications, (</w:t>
      </w:r>
      <w:r w:rsidRPr="008D2258">
        <w:rPr>
          <w:rFonts w:ascii="Times New Roman" w:eastAsia="Times New Roman" w:hAnsi="Times New Roman" w:cs="Times New Roman"/>
          <w:b/>
          <w:bCs/>
          <w:color w:val="000000" w:themeColor="text1"/>
          <w:lang w:val="en-US"/>
        </w:rPr>
        <w:t>f</w:t>
      </w:r>
      <w:r w:rsidRPr="008D2258">
        <w:rPr>
          <w:rFonts w:ascii="Times New Roman" w:eastAsia="Times New Roman" w:hAnsi="Times New Roman" w:cs="Times New Roman"/>
          <w:color w:val="000000" w:themeColor="text1"/>
          <w:lang w:val="en-US"/>
        </w:rPr>
        <w:t>) inversions, and (</w:t>
      </w:r>
      <w:r w:rsidRPr="008D2258">
        <w:rPr>
          <w:rFonts w:ascii="Times New Roman" w:eastAsia="Times New Roman" w:hAnsi="Times New Roman" w:cs="Times New Roman"/>
          <w:b/>
          <w:bCs/>
          <w:color w:val="000000" w:themeColor="text1"/>
          <w:lang w:val="en-US"/>
        </w:rPr>
        <w:t>g</w:t>
      </w:r>
      <w:r w:rsidRPr="008D2258">
        <w:rPr>
          <w:rFonts w:ascii="Times New Roman" w:eastAsia="Times New Roman" w:hAnsi="Times New Roman" w:cs="Times New Roman"/>
          <w:color w:val="000000" w:themeColor="text1"/>
          <w:lang w:val="en-US"/>
        </w:rPr>
        <w:t>) translocations called from short-read and long-read WGS call sets used to establish benchmark calls. Color of each cell corresponds to Jaccard index (the number of shared variants divided by the union of two call sets), with high similarity in red and low similarity in blue.</w:t>
      </w:r>
      <w:r w:rsidRPr="008D2258">
        <w:rPr>
          <w:rFonts w:ascii="Times New Roman" w:eastAsia="Times New Roman" w:hAnsi="Times New Roman" w:cs="Times New Roman"/>
          <w:color w:val="000000" w:themeColor="text1"/>
          <w:lang w:val="en-US"/>
        </w:rPr>
        <w:br/>
      </w:r>
    </w:p>
    <w:p w:rsidR="004D3B98" w:rsidRPr="008D2258" w:rsidRDefault="004D3B98" w:rsidP="004D3B98">
      <w:pPr>
        <w:rPr>
          <w:color w:val="000000" w:themeColor="text1"/>
          <w:lang w:val="en-US"/>
        </w:rPr>
      </w:pPr>
      <w:r w:rsidRPr="008D2258">
        <w:rPr>
          <w:noProof/>
          <w:color w:val="000000" w:themeColor="text1"/>
          <w:lang w:val="en-US"/>
        </w:rPr>
        <w:lastRenderedPageBreak/>
        <w:t xml:space="preserve"> </w:t>
      </w:r>
      <w:r w:rsidR="004C5D29" w:rsidRPr="004C5D29">
        <w:rPr>
          <w:noProof/>
          <w:color w:val="000000" w:themeColor="text1"/>
          <w:lang w:val="en-US"/>
        </w:rPr>
        <w:drawing>
          <wp:inline distT="0" distB="0" distL="0" distR="0" wp14:anchorId="373B4CD1" wp14:editId="7879A0F6">
            <wp:extent cx="5943600" cy="4183380"/>
            <wp:effectExtent l="0" t="0" r="0" b="0"/>
            <wp:docPr id="17170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0976" name=""/>
                    <pic:cNvPicPr/>
                  </pic:nvPicPr>
                  <pic:blipFill>
                    <a:blip r:embed="rId5"/>
                    <a:stretch>
                      <a:fillRect/>
                    </a:stretch>
                  </pic:blipFill>
                  <pic:spPr>
                    <a:xfrm>
                      <a:off x="0" y="0"/>
                      <a:ext cx="5943600" cy="4183380"/>
                    </a:xfrm>
                    <a:prstGeom prst="rect">
                      <a:avLst/>
                    </a:prstGeom>
                  </pic:spPr>
                </pic:pic>
              </a:graphicData>
            </a:graphic>
          </wp:inline>
        </w:drawing>
      </w:r>
    </w:p>
    <w:p w:rsidR="004D3B98" w:rsidRPr="008D2258" w:rsidRDefault="008B331A" w:rsidP="004D3B98">
      <w:pPr>
        <w:spacing w:line="360" w:lineRule="auto"/>
        <w:jc w:val="both"/>
        <w:rPr>
          <w:rFonts w:ascii="Times New Roman" w:eastAsia="Times New Roman" w:hAnsi="Times New Roman" w:cs="Times New Roman"/>
          <w:color w:val="000000" w:themeColor="text1"/>
          <w:lang w:val="en-US"/>
        </w:rPr>
      </w:pPr>
      <w:r>
        <w:rPr>
          <w:rFonts w:ascii="Times New Roman" w:eastAsia="Times New Roman" w:hAnsi="Times New Roman" w:cs="Times New Roman"/>
          <w:b/>
          <w:bCs/>
          <w:color w:val="000000" w:themeColor="text1"/>
          <w:lang w:val="en-US"/>
        </w:rPr>
        <w:t>Fig. S2</w:t>
      </w:r>
      <w:r w:rsidR="004D3B98" w:rsidRPr="008D2258">
        <w:rPr>
          <w:rFonts w:ascii="Times New Roman" w:eastAsia="Times New Roman" w:hAnsi="Times New Roman" w:cs="Times New Roman"/>
          <w:b/>
          <w:bCs/>
          <w:color w:val="000000" w:themeColor="text1"/>
          <w:lang w:val="en-US"/>
        </w:rPr>
        <w:t xml:space="preserve">. </w:t>
      </w:r>
      <w:r w:rsidR="004D3B98" w:rsidRPr="008D2258">
        <w:rPr>
          <w:rFonts w:ascii="Times New Roman" w:eastAsia="Times New Roman" w:hAnsi="Times New Roman" w:cs="Times New Roman"/>
          <w:color w:val="000000" w:themeColor="text1"/>
          <w:lang w:val="en-US"/>
        </w:rPr>
        <w:t xml:space="preserve">Density plots show differences in </w:t>
      </w:r>
      <w:r w:rsidR="004D3B98" w:rsidRPr="004C5D29">
        <w:rPr>
          <w:rFonts w:ascii="Times New Roman" w:eastAsia="Times New Roman" w:hAnsi="Times New Roman" w:cs="Times New Roman"/>
          <w:color w:val="000000" w:themeColor="text1"/>
          <w:lang w:val="en-US"/>
        </w:rPr>
        <w:t>(</w:t>
      </w:r>
      <w:r w:rsidR="004D3B98" w:rsidRPr="004C5D29">
        <w:rPr>
          <w:rFonts w:ascii="Times New Roman" w:eastAsia="Times New Roman" w:hAnsi="Times New Roman" w:cs="Times New Roman"/>
          <w:b/>
          <w:bCs/>
          <w:color w:val="000000" w:themeColor="text1"/>
          <w:lang w:val="en-US"/>
        </w:rPr>
        <w:t>a</w:t>
      </w:r>
      <w:r w:rsidR="004D3B98" w:rsidRPr="004C5D29">
        <w:rPr>
          <w:rFonts w:ascii="Times New Roman" w:eastAsia="Times New Roman" w:hAnsi="Times New Roman" w:cs="Times New Roman"/>
          <w:color w:val="000000" w:themeColor="text1"/>
          <w:lang w:val="en-US"/>
        </w:rPr>
        <w:t>) sequencing depth, (</w:t>
      </w:r>
      <w:r w:rsidR="004D3B98" w:rsidRPr="004C5D29">
        <w:rPr>
          <w:rFonts w:ascii="Times New Roman" w:eastAsia="Times New Roman" w:hAnsi="Times New Roman" w:cs="Times New Roman"/>
          <w:b/>
          <w:bCs/>
          <w:color w:val="000000" w:themeColor="text1"/>
          <w:lang w:val="en-US"/>
        </w:rPr>
        <w:t>b</w:t>
      </w:r>
      <w:r w:rsidR="004D3B98" w:rsidRPr="004C5D29">
        <w:rPr>
          <w:rFonts w:ascii="Times New Roman" w:eastAsia="Times New Roman" w:hAnsi="Times New Roman" w:cs="Times New Roman"/>
          <w:color w:val="000000" w:themeColor="text1"/>
          <w:lang w:val="en-US"/>
        </w:rPr>
        <w:t>) allele frequency, (</w:t>
      </w:r>
      <w:r w:rsidR="004D3B98" w:rsidRPr="004C5D29">
        <w:rPr>
          <w:rFonts w:ascii="Times New Roman" w:eastAsia="Times New Roman" w:hAnsi="Times New Roman" w:cs="Times New Roman"/>
          <w:b/>
          <w:bCs/>
          <w:color w:val="000000" w:themeColor="text1"/>
          <w:lang w:val="en-US"/>
        </w:rPr>
        <w:t xml:space="preserve">c </w:t>
      </w:r>
      <w:r w:rsidR="004D3B98" w:rsidRPr="004C5D29">
        <w:rPr>
          <w:rFonts w:ascii="Times New Roman" w:eastAsia="Times New Roman" w:hAnsi="Times New Roman" w:cs="Times New Roman"/>
          <w:color w:val="000000" w:themeColor="text1"/>
          <w:lang w:val="en-US"/>
        </w:rPr>
        <w:t>and</w:t>
      </w:r>
      <w:r w:rsidR="004D3B98" w:rsidRPr="004C5D29">
        <w:rPr>
          <w:rFonts w:ascii="Times New Roman" w:eastAsia="Times New Roman" w:hAnsi="Times New Roman" w:cs="Times New Roman"/>
          <w:b/>
          <w:bCs/>
          <w:color w:val="000000" w:themeColor="text1"/>
          <w:lang w:val="en-US"/>
        </w:rPr>
        <w:t xml:space="preserve"> d</w:t>
      </w:r>
      <w:r w:rsidR="004D3B98" w:rsidRPr="004C5D29">
        <w:rPr>
          <w:rFonts w:ascii="Times New Roman" w:eastAsia="Times New Roman" w:hAnsi="Times New Roman" w:cs="Times New Roman"/>
          <w:color w:val="000000" w:themeColor="text1"/>
          <w:lang w:val="en-US"/>
        </w:rPr>
        <w:t>)</w:t>
      </w:r>
      <w:r w:rsidR="004D3B98" w:rsidRPr="008D2258">
        <w:rPr>
          <w:rFonts w:ascii="Times New Roman" w:eastAsia="Times New Roman" w:hAnsi="Times New Roman" w:cs="Times New Roman"/>
          <w:color w:val="000000" w:themeColor="text1"/>
          <w:lang w:val="en-US"/>
        </w:rPr>
        <w:t xml:space="preserve"> genotype quality and mapping quality among irreproducible variants among technical replicates, variants reproducible in some Quartet samples but conflicting in others and variants reproducible and following Mendelian laws. </w:t>
      </w:r>
    </w:p>
    <w:p w:rsidR="004D3B98" w:rsidRPr="008D2258" w:rsidRDefault="004D3B98" w:rsidP="004D3B98">
      <w:pPr>
        <w:jc w:val="both"/>
        <w:rPr>
          <w:color w:val="000000" w:themeColor="text1"/>
          <w:lang w:val="en-US"/>
        </w:rPr>
      </w:pPr>
    </w:p>
    <w:p w:rsidR="004D3B98" w:rsidRPr="008D2258" w:rsidRDefault="004D3B98" w:rsidP="004D3B98">
      <w:pPr>
        <w:jc w:val="both"/>
        <w:rPr>
          <w:color w:val="000000" w:themeColor="text1"/>
          <w:lang w:val="en-US"/>
        </w:rPr>
      </w:pPr>
    </w:p>
    <w:p w:rsidR="004D3B98" w:rsidRPr="008D2258" w:rsidRDefault="00914E46" w:rsidP="004D3B98">
      <w:pPr>
        <w:jc w:val="center"/>
        <w:rPr>
          <w:color w:val="000000" w:themeColor="text1"/>
          <w:lang w:val="en-US"/>
        </w:rPr>
      </w:pPr>
      <w:r w:rsidRPr="00914E46">
        <w:rPr>
          <w:noProof/>
          <w:color w:val="000000" w:themeColor="text1"/>
          <w:lang w:val="en-US"/>
        </w:rPr>
        <w:lastRenderedPageBreak/>
        <w:drawing>
          <wp:inline distT="0" distB="0" distL="0" distR="0" wp14:anchorId="00583002" wp14:editId="3CEA88E0">
            <wp:extent cx="5943600" cy="3046095"/>
            <wp:effectExtent l="0" t="0" r="0" b="1905"/>
            <wp:docPr id="986160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160284" name=""/>
                    <pic:cNvPicPr/>
                  </pic:nvPicPr>
                  <pic:blipFill>
                    <a:blip r:embed="rId6"/>
                    <a:stretch>
                      <a:fillRect/>
                    </a:stretch>
                  </pic:blipFill>
                  <pic:spPr>
                    <a:xfrm>
                      <a:off x="0" y="0"/>
                      <a:ext cx="5943600" cy="3046095"/>
                    </a:xfrm>
                    <a:prstGeom prst="rect">
                      <a:avLst/>
                    </a:prstGeom>
                  </pic:spPr>
                </pic:pic>
              </a:graphicData>
            </a:graphic>
          </wp:inline>
        </w:drawing>
      </w:r>
    </w:p>
    <w:p w:rsidR="004D3B98" w:rsidRPr="008D2258" w:rsidRDefault="00DB4532" w:rsidP="004D3B98">
      <w:pPr>
        <w:rPr>
          <w:rFonts w:ascii="Times New Roman" w:eastAsia="Times New Roman" w:hAnsi="Times New Roman" w:cs="Times New Roman"/>
          <w:b/>
          <w:bCs/>
          <w:color w:val="000000" w:themeColor="text1"/>
          <w:lang w:val="en-US"/>
        </w:rPr>
      </w:pPr>
      <w:r w:rsidRPr="00914E46">
        <w:rPr>
          <w:rFonts w:ascii="Times New Roman" w:eastAsia="Times New Roman" w:hAnsi="Times New Roman" w:cs="Times New Roman"/>
          <w:b/>
          <w:bCs/>
          <w:color w:val="000000" w:themeColor="text1"/>
          <w:lang w:val="en-US"/>
        </w:rPr>
        <w:t>Fig. S3</w:t>
      </w:r>
      <w:r w:rsidR="004D3B98" w:rsidRPr="00914E46">
        <w:rPr>
          <w:rFonts w:ascii="Times New Roman" w:eastAsia="Times New Roman" w:hAnsi="Times New Roman" w:cs="Times New Roman"/>
          <w:b/>
          <w:bCs/>
          <w:color w:val="000000" w:themeColor="text1"/>
          <w:lang w:val="en-US"/>
        </w:rPr>
        <w:t xml:space="preserve">. </w:t>
      </w:r>
      <w:r w:rsidR="004D3B98" w:rsidRPr="00914E46">
        <w:rPr>
          <w:rFonts w:ascii="Times New Roman" w:eastAsia="Times New Roman" w:hAnsi="Times New Roman" w:cs="Times New Roman"/>
          <w:color w:val="000000" w:themeColor="text1"/>
          <w:lang w:val="en-US"/>
        </w:rPr>
        <w:t>Workflow of defining benchmark regions for small variants.</w:t>
      </w:r>
      <w:r w:rsidR="004D3B98" w:rsidRPr="008D2258">
        <w:rPr>
          <w:rFonts w:ascii="Times New Roman" w:eastAsia="Times New Roman" w:hAnsi="Times New Roman" w:cs="Times New Roman"/>
          <w:b/>
          <w:bCs/>
          <w:color w:val="000000" w:themeColor="text1"/>
          <w:lang w:val="en-US"/>
        </w:rPr>
        <w:t xml:space="preserve">  </w:t>
      </w:r>
    </w:p>
    <w:p w:rsidR="004D3B98" w:rsidRPr="008D2258" w:rsidRDefault="004D3B98" w:rsidP="004D3B98">
      <w:pPr>
        <w:jc w:val="center"/>
        <w:rPr>
          <w:rFonts w:ascii="Times New Roman" w:eastAsia="Times New Roman" w:hAnsi="Times New Roman" w:cs="Times New Roman"/>
          <w:b/>
          <w:bCs/>
          <w:color w:val="000000" w:themeColor="text1"/>
          <w:lang w:val="en-US"/>
        </w:rPr>
      </w:pPr>
      <w:r w:rsidRPr="008D2258">
        <w:rPr>
          <w:rFonts w:ascii="Times New Roman" w:eastAsia="Times New Roman" w:hAnsi="Times New Roman" w:cs="Times New Roman"/>
          <w:b/>
          <w:bCs/>
          <w:noProof/>
          <w:color w:val="000000" w:themeColor="text1"/>
          <w:lang w:val="en-US"/>
        </w:rPr>
        <w:lastRenderedPageBreak/>
        <w:drawing>
          <wp:inline distT="0" distB="0" distL="0" distR="0" wp14:anchorId="545CAFF7" wp14:editId="02D77645">
            <wp:extent cx="5219700" cy="7289800"/>
            <wp:effectExtent l="0" t="0" r="1905" b="0"/>
            <wp:docPr id="1891588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588996" name=""/>
                    <pic:cNvPicPr/>
                  </pic:nvPicPr>
                  <pic:blipFill>
                    <a:blip r:embed="rId7"/>
                    <a:stretch>
                      <a:fillRect/>
                    </a:stretch>
                  </pic:blipFill>
                  <pic:spPr>
                    <a:xfrm>
                      <a:off x="0" y="0"/>
                      <a:ext cx="5219700" cy="7289800"/>
                    </a:xfrm>
                    <a:prstGeom prst="rect">
                      <a:avLst/>
                    </a:prstGeom>
                  </pic:spPr>
                </pic:pic>
              </a:graphicData>
            </a:graphic>
          </wp:inline>
        </w:drawing>
      </w:r>
    </w:p>
    <w:p w:rsidR="004D3B98" w:rsidRPr="008D2258" w:rsidRDefault="004D3B98" w:rsidP="004D3B98">
      <w:pPr>
        <w:jc w:val="center"/>
        <w:rPr>
          <w:rFonts w:ascii="Times New Roman" w:eastAsia="Times New Roman" w:hAnsi="Times New Roman" w:cs="Times New Roman"/>
          <w:b/>
          <w:bCs/>
          <w:color w:val="000000" w:themeColor="text1"/>
          <w:lang w:val="en-US"/>
        </w:rPr>
      </w:pPr>
    </w:p>
    <w:p w:rsidR="00E546F1" w:rsidRDefault="00E546F1" w:rsidP="004D3B98">
      <w:pPr>
        <w:spacing w:line="360" w:lineRule="auto"/>
        <w:jc w:val="both"/>
        <w:rPr>
          <w:rFonts w:ascii="Times New Roman" w:eastAsia="Times New Roman" w:hAnsi="Times New Roman" w:cs="Times New Roman"/>
          <w:color w:val="000000" w:themeColor="text1"/>
          <w:lang w:val="en-US"/>
        </w:rPr>
      </w:pPr>
      <w:r>
        <w:rPr>
          <w:rFonts w:ascii="Times New Roman" w:eastAsia="Times New Roman" w:hAnsi="Times New Roman" w:cs="Times New Roman"/>
          <w:b/>
          <w:bCs/>
          <w:color w:val="000000" w:themeColor="text1"/>
          <w:lang w:val="en-US"/>
        </w:rPr>
        <w:t>Fig. S4</w:t>
      </w:r>
      <w:r w:rsidR="004D3B98" w:rsidRPr="008D2258">
        <w:rPr>
          <w:rFonts w:ascii="Times New Roman" w:eastAsia="Times New Roman" w:hAnsi="Times New Roman" w:cs="Times New Roman"/>
          <w:b/>
          <w:bCs/>
          <w:color w:val="000000" w:themeColor="text1"/>
          <w:lang w:val="en-US"/>
        </w:rPr>
        <w:t xml:space="preserve">. </w:t>
      </w:r>
      <w:r w:rsidR="004D3B98" w:rsidRPr="008D2258">
        <w:rPr>
          <w:rFonts w:ascii="Times New Roman" w:eastAsia="Times New Roman" w:hAnsi="Times New Roman" w:cs="Times New Roman"/>
          <w:color w:val="000000" w:themeColor="text1"/>
          <w:lang w:val="en-US"/>
        </w:rPr>
        <w:t xml:space="preserve">Comparison of three benchmark sets from FDU (our study using short reads mapping for small variant benchmark calls and long reads mapping for structural variant benchmark calls across multiple technical replicates and incorporating Mendelian checking), NCTR (Pan et al. using short </w:t>
      </w:r>
      <w:r w:rsidR="004D3B98" w:rsidRPr="008D2258">
        <w:rPr>
          <w:rFonts w:ascii="Times New Roman" w:eastAsia="Times New Roman" w:hAnsi="Times New Roman" w:cs="Times New Roman"/>
          <w:color w:val="000000" w:themeColor="text1"/>
          <w:lang w:val="en-US"/>
        </w:rPr>
        <w:lastRenderedPageBreak/>
        <w:t>reads mapping across multiple bioinformatical tools</w:t>
      </w:r>
      <w:r w:rsidR="004D3B98" w:rsidRPr="008D2258">
        <w:rPr>
          <w:rFonts w:ascii="Times New Roman" w:hAnsi="Times New Roman" w:cs="Times New Roman"/>
          <w:color w:val="000000" w:themeColor="text1"/>
          <w:vertAlign w:val="superscript"/>
          <w:lang w:val="en-US"/>
        </w:rPr>
        <w:t>33</w:t>
      </w:r>
      <w:r w:rsidR="004D3B98" w:rsidRPr="008D2258">
        <w:rPr>
          <w:rFonts w:ascii="Times New Roman" w:eastAsia="Times New Roman" w:hAnsi="Times New Roman" w:cs="Times New Roman"/>
          <w:color w:val="000000" w:themeColor="text1"/>
          <w:lang w:val="en-US"/>
        </w:rPr>
        <w:t>), and XTJU (Jia et al. using short reads mapping, long reads mapping and assemblies</w:t>
      </w:r>
      <w:r w:rsidR="004D3B98" w:rsidRPr="008D2258">
        <w:rPr>
          <w:rFonts w:ascii="Times New Roman" w:hAnsi="Times New Roman" w:cs="Times New Roman"/>
          <w:color w:val="000000" w:themeColor="text1"/>
          <w:vertAlign w:val="superscript"/>
          <w:lang w:val="en-US"/>
        </w:rPr>
        <w:t>34</w:t>
      </w:r>
      <w:r w:rsidR="004D3B98" w:rsidRPr="008D2258">
        <w:rPr>
          <w:rFonts w:ascii="Times New Roman" w:eastAsia="Times New Roman" w:hAnsi="Times New Roman" w:cs="Times New Roman"/>
          <w:color w:val="000000" w:themeColor="text1"/>
          <w:lang w:val="en-US"/>
        </w:rPr>
        <w:t>). (</w:t>
      </w:r>
      <w:r w:rsidR="004D3B98" w:rsidRPr="008D2258">
        <w:rPr>
          <w:rFonts w:ascii="Times New Roman" w:eastAsia="Times New Roman" w:hAnsi="Times New Roman" w:cs="Times New Roman"/>
          <w:b/>
          <w:bCs/>
          <w:color w:val="000000" w:themeColor="text1"/>
          <w:lang w:val="en-US"/>
        </w:rPr>
        <w:t>a</w:t>
      </w:r>
      <w:r w:rsidR="004D3B98" w:rsidRPr="008D2258">
        <w:rPr>
          <w:rFonts w:ascii="Times New Roman" w:eastAsia="Times New Roman" w:hAnsi="Times New Roman" w:cs="Times New Roman"/>
          <w:color w:val="000000" w:themeColor="text1"/>
          <w:lang w:val="en-US"/>
        </w:rPr>
        <w:t>) Statistics of small variant benchmark sets, (</w:t>
      </w:r>
      <w:r w:rsidR="004D3B98" w:rsidRPr="008D2258">
        <w:rPr>
          <w:rFonts w:ascii="Times New Roman" w:eastAsia="Times New Roman" w:hAnsi="Times New Roman" w:cs="Times New Roman"/>
          <w:b/>
          <w:bCs/>
          <w:color w:val="000000" w:themeColor="text1"/>
          <w:lang w:val="en-US"/>
        </w:rPr>
        <w:t>b</w:t>
      </w:r>
      <w:r w:rsidR="004D3B98" w:rsidRPr="008D2258">
        <w:rPr>
          <w:rFonts w:ascii="Times New Roman" w:eastAsia="Times New Roman" w:hAnsi="Times New Roman" w:cs="Times New Roman"/>
          <w:color w:val="000000" w:themeColor="text1"/>
          <w:lang w:val="en-US"/>
        </w:rPr>
        <w:t>) Venn diagram of SNV benchmark sets, (</w:t>
      </w:r>
      <w:r w:rsidR="004D3B98" w:rsidRPr="008D2258">
        <w:rPr>
          <w:rFonts w:ascii="Times New Roman" w:eastAsia="Times New Roman" w:hAnsi="Times New Roman" w:cs="Times New Roman"/>
          <w:b/>
          <w:bCs/>
          <w:color w:val="000000" w:themeColor="text1"/>
          <w:lang w:val="en-US"/>
        </w:rPr>
        <w:t>c</w:t>
      </w:r>
      <w:r w:rsidR="004D3B98" w:rsidRPr="008D2258">
        <w:rPr>
          <w:rFonts w:ascii="Times New Roman" w:eastAsia="Times New Roman" w:hAnsi="Times New Roman" w:cs="Times New Roman"/>
          <w:color w:val="000000" w:themeColor="text1"/>
          <w:lang w:val="en-US"/>
        </w:rPr>
        <w:t>) Venn diagram of indel benchmark sets, (</w:t>
      </w:r>
      <w:r w:rsidR="004D3B98" w:rsidRPr="008D2258">
        <w:rPr>
          <w:rFonts w:ascii="Times New Roman" w:eastAsia="Times New Roman" w:hAnsi="Times New Roman" w:cs="Times New Roman"/>
          <w:b/>
          <w:bCs/>
          <w:color w:val="000000" w:themeColor="text1"/>
          <w:lang w:val="en-US"/>
        </w:rPr>
        <w:t>d</w:t>
      </w:r>
      <w:r w:rsidR="004D3B98" w:rsidRPr="008D2258">
        <w:rPr>
          <w:rFonts w:ascii="Times New Roman" w:eastAsia="Times New Roman" w:hAnsi="Times New Roman" w:cs="Times New Roman"/>
          <w:color w:val="000000" w:themeColor="text1"/>
          <w:lang w:val="en-US"/>
        </w:rPr>
        <w:t>) Venn diagram of DEL benchmark sets, and (</w:t>
      </w:r>
      <w:r w:rsidR="004D3B98" w:rsidRPr="008D2258">
        <w:rPr>
          <w:rFonts w:ascii="Times New Roman" w:eastAsia="Times New Roman" w:hAnsi="Times New Roman" w:cs="Times New Roman"/>
          <w:b/>
          <w:bCs/>
          <w:color w:val="000000" w:themeColor="text1"/>
          <w:lang w:val="en-US"/>
        </w:rPr>
        <w:t>e</w:t>
      </w:r>
      <w:r w:rsidR="004D3B98" w:rsidRPr="008D2258">
        <w:rPr>
          <w:rFonts w:ascii="Times New Roman" w:eastAsia="Times New Roman" w:hAnsi="Times New Roman" w:cs="Times New Roman"/>
          <w:color w:val="000000" w:themeColor="text1"/>
          <w:lang w:val="en-US"/>
        </w:rPr>
        <w:t>) Venn diagram of INS benchmark sets.</w:t>
      </w:r>
    </w:p>
    <w:p w:rsidR="00E546F1" w:rsidRDefault="00E546F1">
      <w:pPr>
        <w:rPr>
          <w:rFonts w:ascii="Times New Roman" w:eastAsia="Times New Roman" w:hAnsi="Times New Roman" w:cs="Times New Roman"/>
          <w:color w:val="000000" w:themeColor="text1"/>
          <w:lang w:val="en-US"/>
        </w:rPr>
      </w:pPr>
      <w:r>
        <w:rPr>
          <w:rFonts w:ascii="Times New Roman" w:eastAsia="Times New Roman" w:hAnsi="Times New Roman" w:cs="Times New Roman"/>
          <w:color w:val="000000" w:themeColor="text1"/>
          <w:lang w:val="en-US"/>
        </w:rPr>
        <w:br w:type="page"/>
      </w:r>
    </w:p>
    <w:p w:rsidR="004D3B98" w:rsidRPr="008D2258" w:rsidRDefault="004D3B98" w:rsidP="004D3B98">
      <w:pPr>
        <w:rPr>
          <w:rFonts w:ascii="Times New Roman" w:eastAsia="Times New Roman" w:hAnsi="Times New Roman" w:cs="Times New Roman"/>
          <w:b/>
          <w:bCs/>
          <w:color w:val="000000" w:themeColor="text1"/>
          <w:lang w:val="en-US"/>
        </w:rPr>
      </w:pPr>
    </w:p>
    <w:p w:rsidR="004D3B98" w:rsidRPr="008D2258" w:rsidRDefault="004D3B98" w:rsidP="004D3B98">
      <w:pPr>
        <w:rPr>
          <w:rFonts w:ascii="Times New Roman" w:eastAsia="Times New Roman" w:hAnsi="Times New Roman" w:cs="Times New Roman"/>
          <w:b/>
          <w:bCs/>
          <w:color w:val="000000" w:themeColor="text1"/>
          <w:lang w:val="en-US"/>
        </w:rPr>
      </w:pPr>
    </w:p>
    <w:p w:rsidR="004D3B98" w:rsidRPr="008D2258" w:rsidRDefault="004D3B98" w:rsidP="004D3B98">
      <w:pPr>
        <w:jc w:val="center"/>
        <w:rPr>
          <w:color w:val="000000" w:themeColor="text1"/>
          <w:lang w:val="en-US"/>
        </w:rPr>
      </w:pPr>
      <w:r w:rsidRPr="008D2258">
        <w:rPr>
          <w:noProof/>
          <w:color w:val="000000" w:themeColor="text1"/>
          <w:lang w:val="en-US"/>
        </w:rPr>
        <w:drawing>
          <wp:inline distT="0" distB="0" distL="0" distR="0" wp14:anchorId="1EE0D8E2" wp14:editId="32ED2933">
            <wp:extent cx="5927047" cy="2320724"/>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53539" cy="2331097"/>
                    </a:xfrm>
                    <a:prstGeom prst="rect">
                      <a:avLst/>
                    </a:prstGeom>
                  </pic:spPr>
                </pic:pic>
              </a:graphicData>
            </a:graphic>
          </wp:inline>
        </w:drawing>
      </w:r>
    </w:p>
    <w:p w:rsidR="004D3B98" w:rsidRPr="008D2258" w:rsidRDefault="00E546F1" w:rsidP="004D3B98">
      <w:pPr>
        <w:spacing w:line="360" w:lineRule="auto"/>
        <w:rPr>
          <w:rFonts w:ascii="Times New Roman" w:eastAsia="Times New Roman" w:hAnsi="Times New Roman" w:cs="Times New Roman"/>
          <w:color w:val="000000" w:themeColor="text1"/>
          <w:lang w:val="en-US"/>
        </w:rPr>
      </w:pPr>
      <w:r>
        <w:rPr>
          <w:rFonts w:ascii="Times New Roman" w:eastAsia="Times New Roman" w:hAnsi="Times New Roman" w:cs="Times New Roman"/>
          <w:b/>
          <w:bCs/>
          <w:color w:val="000000" w:themeColor="text1"/>
          <w:lang w:val="en-US"/>
        </w:rPr>
        <w:t>Fig. S5</w:t>
      </w:r>
      <w:r w:rsidR="004D3B98" w:rsidRPr="008D2258">
        <w:rPr>
          <w:rFonts w:ascii="Times New Roman" w:eastAsia="Times New Roman" w:hAnsi="Times New Roman" w:cs="Times New Roman"/>
          <w:b/>
          <w:bCs/>
          <w:color w:val="000000" w:themeColor="text1"/>
          <w:lang w:val="en-US"/>
        </w:rPr>
        <w:t>.</w:t>
      </w:r>
      <w:r w:rsidR="004D3B98" w:rsidRPr="008D2258">
        <w:rPr>
          <w:rFonts w:ascii="Times New Roman" w:eastAsia="Times New Roman" w:hAnsi="Times New Roman" w:cs="Times New Roman"/>
          <w:color w:val="000000" w:themeColor="text1"/>
          <w:lang w:val="en-US"/>
        </w:rPr>
        <w:t xml:space="preserve"> Density plots show differences in (</w:t>
      </w:r>
      <w:r w:rsidR="004D3B98" w:rsidRPr="008D2258">
        <w:rPr>
          <w:rFonts w:ascii="Times New Roman" w:eastAsia="Times New Roman" w:hAnsi="Times New Roman" w:cs="Times New Roman"/>
          <w:b/>
          <w:bCs/>
          <w:color w:val="000000" w:themeColor="text1"/>
          <w:lang w:val="en-US"/>
        </w:rPr>
        <w:t>a</w:t>
      </w:r>
      <w:r w:rsidR="004D3B98" w:rsidRPr="008D2258">
        <w:rPr>
          <w:rFonts w:ascii="Times New Roman" w:eastAsia="Times New Roman" w:hAnsi="Times New Roman" w:cs="Times New Roman"/>
          <w:color w:val="000000" w:themeColor="text1"/>
          <w:lang w:val="en-US"/>
        </w:rPr>
        <w:t>) allele frequency and (</w:t>
      </w:r>
      <w:r w:rsidR="004D3B98" w:rsidRPr="008D2258">
        <w:rPr>
          <w:rFonts w:ascii="Times New Roman" w:eastAsia="Times New Roman" w:hAnsi="Times New Roman" w:cs="Times New Roman"/>
          <w:b/>
          <w:bCs/>
          <w:color w:val="000000" w:themeColor="text1"/>
          <w:lang w:val="en-US"/>
        </w:rPr>
        <w:t>b</w:t>
      </w:r>
      <w:r w:rsidR="004D3B98" w:rsidRPr="008D2258">
        <w:rPr>
          <w:rFonts w:ascii="Times New Roman" w:eastAsia="Times New Roman" w:hAnsi="Times New Roman" w:cs="Times New Roman"/>
          <w:color w:val="000000" w:themeColor="text1"/>
          <w:lang w:val="en-US"/>
        </w:rPr>
        <w:t>) reads supporting SV</w:t>
      </w:r>
      <w:r w:rsidR="00AE64D2">
        <w:rPr>
          <w:rFonts w:ascii="Times New Roman" w:eastAsia="Times New Roman" w:hAnsi="Times New Roman" w:cs="Times New Roman"/>
          <w:color w:val="000000" w:themeColor="text1"/>
          <w:lang w:val="en-US"/>
        </w:rPr>
        <w:t xml:space="preserve"> </w:t>
      </w:r>
      <w:r w:rsidR="004D3B98" w:rsidRPr="008D2258">
        <w:rPr>
          <w:rFonts w:ascii="Times New Roman" w:eastAsia="Times New Roman" w:hAnsi="Times New Roman" w:cs="Times New Roman"/>
          <w:color w:val="000000" w:themeColor="text1"/>
          <w:lang w:val="en-US"/>
        </w:rPr>
        <w:t>between irreproducible SVs, reproducible but Mendelian discordant SVs and reproducible and Mendelian concordant SVs.</w:t>
      </w:r>
    </w:p>
    <w:p w:rsidR="004D3B98" w:rsidRPr="008D2258" w:rsidRDefault="004D3B98" w:rsidP="004D3B98">
      <w:pPr>
        <w:rPr>
          <w:rFonts w:ascii="Times New Roman" w:hAnsi="Times New Roman" w:cs="Times New Roman"/>
          <w:color w:val="000000" w:themeColor="text1"/>
          <w:lang w:val="en-US"/>
        </w:rPr>
      </w:pPr>
    </w:p>
    <w:p w:rsidR="004D3B98" w:rsidRPr="008D2258" w:rsidRDefault="004D3B98" w:rsidP="004D3B98">
      <w:pPr>
        <w:rPr>
          <w:rFonts w:ascii="Times New Roman" w:hAnsi="Times New Roman" w:cs="Times New Roman"/>
          <w:color w:val="000000" w:themeColor="text1"/>
          <w:lang w:val="en-US"/>
        </w:rPr>
      </w:pPr>
    </w:p>
    <w:p w:rsidR="004D3B98" w:rsidRPr="008D2258" w:rsidRDefault="004D3B98" w:rsidP="004D3B98">
      <w:pPr>
        <w:rPr>
          <w:rFonts w:ascii="Times New Roman" w:hAnsi="Times New Roman" w:cs="Times New Roman"/>
          <w:color w:val="000000" w:themeColor="text1"/>
          <w:lang w:val="en-US"/>
        </w:rPr>
      </w:pPr>
    </w:p>
    <w:p w:rsidR="004D3B98" w:rsidRPr="008D2258" w:rsidRDefault="004D3B98" w:rsidP="004D3B98">
      <w:pPr>
        <w:rPr>
          <w:rFonts w:ascii="Times New Roman" w:hAnsi="Times New Roman" w:cs="Times New Roman"/>
          <w:color w:val="000000" w:themeColor="text1"/>
          <w:lang w:val="en-US"/>
        </w:rPr>
      </w:pPr>
    </w:p>
    <w:p w:rsidR="004D3B98" w:rsidRPr="008D2258" w:rsidRDefault="004D3B98" w:rsidP="004D3B98">
      <w:pPr>
        <w:rPr>
          <w:rFonts w:ascii="Times New Roman" w:hAnsi="Times New Roman" w:cs="Times New Roman"/>
          <w:color w:val="000000" w:themeColor="text1"/>
          <w:lang w:val="en-US"/>
        </w:rPr>
      </w:pPr>
    </w:p>
    <w:p w:rsidR="004D3B98" w:rsidRPr="008D2258" w:rsidRDefault="004D3B98" w:rsidP="004D3B98">
      <w:pPr>
        <w:rPr>
          <w:color w:val="000000" w:themeColor="text1"/>
          <w:lang w:val="en-US"/>
        </w:rPr>
      </w:pPr>
    </w:p>
    <w:p w:rsidR="004D3B98" w:rsidRPr="008D2258" w:rsidRDefault="004D3B98" w:rsidP="004D3B98">
      <w:pPr>
        <w:jc w:val="center"/>
        <w:rPr>
          <w:color w:val="000000" w:themeColor="text1"/>
          <w:lang w:val="en-US"/>
        </w:rPr>
      </w:pPr>
      <w:r w:rsidRPr="008D2258">
        <w:rPr>
          <w:noProof/>
          <w:color w:val="000000" w:themeColor="text1"/>
          <w:lang w:val="en-US"/>
        </w:rPr>
        <w:drawing>
          <wp:inline distT="0" distB="0" distL="0" distR="0" wp14:anchorId="4F5264DD" wp14:editId="26F45C3C">
            <wp:extent cx="4937661" cy="27078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984272" cy="2733361"/>
                    </a:xfrm>
                    <a:prstGeom prst="rect">
                      <a:avLst/>
                    </a:prstGeom>
                  </pic:spPr>
                </pic:pic>
              </a:graphicData>
            </a:graphic>
          </wp:inline>
        </w:drawing>
      </w:r>
    </w:p>
    <w:p w:rsidR="004D3B98" w:rsidRPr="008D2258" w:rsidRDefault="00600562" w:rsidP="004D3B98">
      <w:pPr>
        <w:spacing w:line="360" w:lineRule="auto"/>
        <w:jc w:val="both"/>
        <w:rPr>
          <w:rFonts w:ascii="Times New Roman" w:eastAsia="Times New Roman" w:hAnsi="Times New Roman" w:cs="Times New Roman"/>
          <w:color w:val="000000" w:themeColor="text1"/>
          <w:lang w:val="en-US"/>
        </w:rPr>
      </w:pPr>
      <w:r>
        <w:rPr>
          <w:rFonts w:ascii="Times New Roman" w:eastAsia="Times New Roman" w:hAnsi="Times New Roman" w:cs="Times New Roman"/>
          <w:b/>
          <w:bCs/>
          <w:color w:val="000000" w:themeColor="text1"/>
          <w:lang w:val="en-US"/>
        </w:rPr>
        <w:t>Fig. S6</w:t>
      </w:r>
      <w:r w:rsidR="004D3B98" w:rsidRPr="008D2258">
        <w:rPr>
          <w:rFonts w:ascii="Times New Roman" w:eastAsia="Times New Roman" w:hAnsi="Times New Roman" w:cs="Times New Roman"/>
          <w:b/>
          <w:bCs/>
          <w:color w:val="000000" w:themeColor="text1"/>
          <w:lang w:val="en-US"/>
        </w:rPr>
        <w:t xml:space="preserve">. </w:t>
      </w:r>
      <w:r w:rsidR="004D3B98" w:rsidRPr="008D2258">
        <w:rPr>
          <w:rFonts w:ascii="Times New Roman" w:eastAsia="Times New Roman" w:hAnsi="Times New Roman" w:cs="Times New Roman"/>
          <w:color w:val="000000" w:themeColor="text1"/>
          <w:lang w:val="en-US"/>
        </w:rPr>
        <w:t xml:space="preserve">Length distribution of SV benchmark calls for the Quartet DNA reference samples. </w:t>
      </w:r>
    </w:p>
    <w:p w:rsidR="004D3B98" w:rsidRPr="008D2258" w:rsidRDefault="004D3B98" w:rsidP="004D3B98">
      <w:pPr>
        <w:rPr>
          <w:color w:val="000000" w:themeColor="text1"/>
          <w:lang w:val="en-US"/>
        </w:rPr>
      </w:pPr>
    </w:p>
    <w:p w:rsidR="004D3B98" w:rsidRPr="008D2258" w:rsidRDefault="00611E17" w:rsidP="004D3B98">
      <w:pPr>
        <w:jc w:val="center"/>
        <w:rPr>
          <w:rFonts w:ascii="Times New Roman" w:eastAsia="Times New Roman" w:hAnsi="Times New Roman" w:cs="Times New Roman"/>
          <w:color w:val="000000" w:themeColor="text1"/>
        </w:rPr>
      </w:pPr>
      <w:r w:rsidRPr="00611E17">
        <w:rPr>
          <w:rFonts w:ascii="Times New Roman" w:eastAsia="Times New Roman" w:hAnsi="Times New Roman" w:cs="Times New Roman"/>
          <w:noProof/>
          <w:color w:val="000000" w:themeColor="text1"/>
        </w:rPr>
        <w:lastRenderedPageBreak/>
        <w:drawing>
          <wp:inline distT="0" distB="0" distL="0" distR="0" wp14:anchorId="5FAE0B24" wp14:editId="2D6553CF">
            <wp:extent cx="5943600" cy="3667760"/>
            <wp:effectExtent l="0" t="0" r="0" b="2540"/>
            <wp:docPr id="15002734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273442" name=""/>
                    <pic:cNvPicPr/>
                  </pic:nvPicPr>
                  <pic:blipFill>
                    <a:blip r:embed="rId10"/>
                    <a:stretch>
                      <a:fillRect/>
                    </a:stretch>
                  </pic:blipFill>
                  <pic:spPr>
                    <a:xfrm>
                      <a:off x="0" y="0"/>
                      <a:ext cx="5943600" cy="3667760"/>
                    </a:xfrm>
                    <a:prstGeom prst="rect">
                      <a:avLst/>
                    </a:prstGeom>
                  </pic:spPr>
                </pic:pic>
              </a:graphicData>
            </a:graphic>
          </wp:inline>
        </w:drawing>
      </w:r>
    </w:p>
    <w:p w:rsidR="004D3B98" w:rsidRPr="008D2258" w:rsidRDefault="004D3B98" w:rsidP="004D3B98">
      <w:pPr>
        <w:rPr>
          <w:color w:val="000000" w:themeColor="text1"/>
          <w:lang w:val="en-US"/>
        </w:rPr>
      </w:pPr>
    </w:p>
    <w:p w:rsidR="004D3B98" w:rsidRPr="008D2258" w:rsidRDefault="00735E9E" w:rsidP="004D3B98">
      <w:pPr>
        <w:rPr>
          <w:rFonts w:ascii="Times New Roman" w:eastAsia="Times New Roman" w:hAnsi="Times New Roman" w:cs="Times New Roman"/>
          <w:b/>
          <w:bCs/>
          <w:color w:val="000000" w:themeColor="text1"/>
          <w:lang w:val="en-US"/>
        </w:rPr>
      </w:pPr>
      <w:r w:rsidRPr="00611E17">
        <w:rPr>
          <w:rFonts w:ascii="Times New Roman" w:eastAsia="Times New Roman" w:hAnsi="Times New Roman" w:cs="Times New Roman"/>
          <w:b/>
          <w:bCs/>
          <w:color w:val="000000" w:themeColor="text1"/>
          <w:lang w:val="en-US"/>
        </w:rPr>
        <w:t>Fig. S7</w:t>
      </w:r>
      <w:r w:rsidR="004D3B98" w:rsidRPr="00611E17">
        <w:rPr>
          <w:rFonts w:ascii="Times New Roman" w:hAnsi="Times New Roman" w:cs="Times New Roman"/>
          <w:b/>
          <w:bCs/>
          <w:color w:val="000000" w:themeColor="text1"/>
          <w:lang w:val="en-US"/>
        </w:rPr>
        <w:t>.</w:t>
      </w:r>
      <w:r w:rsidR="004D3B98" w:rsidRPr="00611E17">
        <w:rPr>
          <w:color w:val="000000" w:themeColor="text1"/>
          <w:lang w:val="en-US"/>
        </w:rPr>
        <w:t xml:space="preserve"> </w:t>
      </w:r>
      <w:r w:rsidR="004D3B98" w:rsidRPr="00611E17">
        <w:rPr>
          <w:rFonts w:ascii="Times New Roman" w:eastAsia="Times New Roman" w:hAnsi="Times New Roman" w:cs="Times New Roman"/>
          <w:color w:val="000000" w:themeColor="text1"/>
          <w:lang w:val="en-US"/>
        </w:rPr>
        <w:t>Workflow of defining benchmark regions for structural variants.</w:t>
      </w:r>
      <w:r w:rsidR="004D3B98" w:rsidRPr="008D2258">
        <w:rPr>
          <w:rFonts w:ascii="Times New Roman" w:eastAsia="Times New Roman" w:hAnsi="Times New Roman" w:cs="Times New Roman"/>
          <w:b/>
          <w:bCs/>
          <w:color w:val="000000" w:themeColor="text1"/>
          <w:lang w:val="en-US"/>
        </w:rPr>
        <w:t xml:space="preserve">  </w:t>
      </w:r>
    </w:p>
    <w:p w:rsidR="004D3B98" w:rsidRPr="008D2258" w:rsidRDefault="004D3B98" w:rsidP="004D3B98">
      <w:pPr>
        <w:rPr>
          <w:color w:val="000000" w:themeColor="text1"/>
          <w:lang w:val="en-US"/>
        </w:rPr>
      </w:pPr>
    </w:p>
    <w:p w:rsidR="004D3B98" w:rsidRPr="008D2258" w:rsidRDefault="004D3B98" w:rsidP="004D3B98">
      <w:pPr>
        <w:rPr>
          <w:color w:val="000000" w:themeColor="text1"/>
          <w:lang w:val="en-US"/>
        </w:rPr>
      </w:pPr>
      <w:r w:rsidRPr="008D2258">
        <w:rPr>
          <w:noProof/>
          <w:color w:val="000000" w:themeColor="text1"/>
          <w:lang w:val="en-US"/>
        </w:rPr>
        <w:drawing>
          <wp:inline distT="0" distB="0" distL="0" distR="0" wp14:anchorId="77E313D1" wp14:editId="5D7C3528">
            <wp:extent cx="5943600" cy="2995930"/>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2995930"/>
                    </a:xfrm>
                    <a:prstGeom prst="rect">
                      <a:avLst/>
                    </a:prstGeom>
                  </pic:spPr>
                </pic:pic>
              </a:graphicData>
            </a:graphic>
          </wp:inline>
        </w:drawing>
      </w:r>
    </w:p>
    <w:p w:rsidR="004D3B98" w:rsidRPr="008D2258" w:rsidRDefault="00735E9E" w:rsidP="004D3B98">
      <w:pPr>
        <w:spacing w:line="360" w:lineRule="auto"/>
        <w:jc w:val="both"/>
        <w:rPr>
          <w:rFonts w:ascii="Times New Roman" w:hAnsi="Times New Roman" w:cs="Times New Roman"/>
          <w:color w:val="000000" w:themeColor="text1"/>
          <w:lang w:val="en-US"/>
        </w:rPr>
      </w:pPr>
      <w:bookmarkStart w:id="0" w:name="OLE_LINK5"/>
      <w:bookmarkStart w:id="1" w:name="OLE_LINK6"/>
      <w:r>
        <w:rPr>
          <w:rFonts w:ascii="Times New Roman" w:eastAsia="Times New Roman" w:hAnsi="Times New Roman" w:cs="Times New Roman"/>
          <w:b/>
          <w:bCs/>
          <w:color w:val="000000" w:themeColor="text1"/>
          <w:lang w:val="en-US"/>
        </w:rPr>
        <w:t>Fig. S8</w:t>
      </w:r>
      <w:r w:rsidR="004D3B98" w:rsidRPr="008D2258">
        <w:rPr>
          <w:rFonts w:ascii="Times New Roman" w:hAnsi="Times New Roman" w:cs="Times New Roman"/>
          <w:b/>
          <w:bCs/>
          <w:color w:val="000000" w:themeColor="text1"/>
          <w:lang w:val="en-US"/>
        </w:rPr>
        <w:t>.</w:t>
      </w:r>
      <w:r w:rsidR="004D3B98" w:rsidRPr="008D2258">
        <w:rPr>
          <w:rFonts w:ascii="Times New Roman" w:hAnsi="Times New Roman" w:cs="Times New Roman"/>
          <w:color w:val="000000" w:themeColor="text1"/>
          <w:lang w:val="en-US"/>
        </w:rPr>
        <w:t xml:space="preserve"> </w:t>
      </w:r>
      <w:r w:rsidR="004D3B98" w:rsidRPr="008D2258">
        <w:rPr>
          <w:rFonts w:ascii="Times New Roman" w:hAnsi="Times New Roman" w:cs="Times New Roman"/>
          <w:b/>
          <w:bCs/>
          <w:color w:val="000000" w:themeColor="text1"/>
          <w:lang w:val="en-US"/>
        </w:rPr>
        <w:t>(a)</w:t>
      </w:r>
      <w:r w:rsidR="004D3B98" w:rsidRPr="008D2258">
        <w:rPr>
          <w:rFonts w:ascii="Times New Roman" w:hAnsi="Times New Roman" w:cs="Times New Roman"/>
          <w:color w:val="000000" w:themeColor="text1"/>
          <w:lang w:val="en-US"/>
        </w:rPr>
        <w:t xml:space="preserve"> Comparison of Mendelian violation rate inside and outside the benchmark regions across different variant types. </w:t>
      </w:r>
      <w:r w:rsidR="004D3B98" w:rsidRPr="008D2258">
        <w:rPr>
          <w:rFonts w:ascii="Times New Roman" w:hAnsi="Times New Roman" w:cs="Times New Roman"/>
          <w:b/>
          <w:bCs/>
          <w:color w:val="000000" w:themeColor="text1"/>
          <w:lang w:val="en-US"/>
        </w:rPr>
        <w:t>(b)</w:t>
      </w:r>
      <w:r w:rsidR="004D3B98" w:rsidRPr="008D2258">
        <w:rPr>
          <w:rFonts w:ascii="Times New Roman" w:eastAsia="Times New Roman" w:hAnsi="Times New Roman" w:cs="Times New Roman"/>
          <w:color w:val="000000" w:themeColor="text1"/>
          <w:lang w:val="en-US"/>
        </w:rPr>
        <w:t xml:space="preserve"> Discordant variants detected by twins (D5 and D6), Mendelian discordant variants detected by trios (D5-F7-M8 and D6-F7-M8), and Mendelian discordant variants detected by Quartet family (D5-D6-F7-M8).</w:t>
      </w:r>
    </w:p>
    <w:bookmarkEnd w:id="0"/>
    <w:bookmarkEnd w:id="1"/>
    <w:p w:rsidR="004D3B98" w:rsidRPr="008D2258" w:rsidRDefault="004D3B98" w:rsidP="004D3B98">
      <w:pPr>
        <w:jc w:val="both"/>
        <w:rPr>
          <w:rFonts w:ascii="Times New Roman" w:hAnsi="Times New Roman" w:cs="Times New Roman"/>
          <w:color w:val="000000" w:themeColor="text1"/>
          <w:lang w:val="en-US"/>
        </w:rPr>
      </w:pPr>
    </w:p>
    <w:p w:rsidR="004D3B98" w:rsidRPr="008D2258" w:rsidRDefault="00602F71" w:rsidP="004D3B98">
      <w:pPr>
        <w:jc w:val="center"/>
        <w:rPr>
          <w:rFonts w:ascii="Times New Roman" w:hAnsi="Times New Roman" w:cs="Times New Roman"/>
          <w:color w:val="000000" w:themeColor="text1"/>
          <w:lang w:val="en-US"/>
        </w:rPr>
      </w:pPr>
      <w:r w:rsidRPr="00602F71">
        <w:rPr>
          <w:rFonts w:ascii="Times New Roman" w:hAnsi="Times New Roman" w:cs="Times New Roman"/>
          <w:color w:val="000000" w:themeColor="text1"/>
          <w:lang w:val="en-US"/>
        </w:rPr>
        <w:drawing>
          <wp:inline distT="0" distB="0" distL="0" distR="0" wp14:anchorId="6ACC9C34" wp14:editId="52C405CC">
            <wp:extent cx="5715000" cy="6680200"/>
            <wp:effectExtent l="0" t="0" r="0" b="0"/>
            <wp:docPr id="5228579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857937" name=""/>
                    <pic:cNvPicPr/>
                  </pic:nvPicPr>
                  <pic:blipFill>
                    <a:blip r:embed="rId12"/>
                    <a:stretch>
                      <a:fillRect/>
                    </a:stretch>
                  </pic:blipFill>
                  <pic:spPr>
                    <a:xfrm>
                      <a:off x="0" y="0"/>
                      <a:ext cx="5715000" cy="6680200"/>
                    </a:xfrm>
                    <a:prstGeom prst="rect">
                      <a:avLst/>
                    </a:prstGeom>
                  </pic:spPr>
                </pic:pic>
              </a:graphicData>
            </a:graphic>
          </wp:inline>
        </w:drawing>
      </w:r>
    </w:p>
    <w:p w:rsidR="004D3B98" w:rsidRPr="008D2258" w:rsidRDefault="005F4035" w:rsidP="004D3B98">
      <w:pPr>
        <w:spacing w:line="360" w:lineRule="auto"/>
        <w:jc w:val="both"/>
        <w:rPr>
          <w:rFonts w:ascii="Times New Roman" w:hAnsi="Times New Roman" w:cs="Times New Roman"/>
          <w:color w:val="000000" w:themeColor="text1"/>
          <w:lang w:val="en-US"/>
        </w:rPr>
      </w:pPr>
      <w:r>
        <w:rPr>
          <w:rFonts w:ascii="Times New Roman" w:eastAsia="Times New Roman" w:hAnsi="Times New Roman" w:cs="Times New Roman"/>
          <w:b/>
          <w:bCs/>
          <w:color w:val="000000" w:themeColor="text1"/>
          <w:lang w:val="en-US"/>
        </w:rPr>
        <w:t>Fig. S9</w:t>
      </w:r>
      <w:r w:rsidR="004D3B98" w:rsidRPr="008D2258">
        <w:rPr>
          <w:rFonts w:ascii="Times New Roman" w:hAnsi="Times New Roman" w:cs="Times New Roman"/>
          <w:b/>
          <w:bCs/>
          <w:color w:val="000000" w:themeColor="text1"/>
          <w:lang w:val="en-US"/>
        </w:rPr>
        <w:t>.</w:t>
      </w:r>
      <w:r w:rsidR="004D3B98" w:rsidRPr="008D2258">
        <w:rPr>
          <w:rFonts w:ascii="Times New Roman" w:hAnsi="Times New Roman" w:cs="Times New Roman"/>
          <w:color w:val="000000" w:themeColor="text1"/>
          <w:lang w:val="en-US"/>
        </w:rPr>
        <w:t xml:space="preserve"> The scatterplot of the first two eigenvectors generated from PCA displayed clustering of the Quartet samples. Four different variant types from 11 batches short-read sequencing datasets are shown as PCA plots. (</w:t>
      </w:r>
      <w:r w:rsidR="004D3B98" w:rsidRPr="008D2258">
        <w:rPr>
          <w:rFonts w:ascii="Times New Roman" w:hAnsi="Times New Roman" w:cs="Times New Roman"/>
          <w:b/>
          <w:bCs/>
          <w:color w:val="000000" w:themeColor="text1"/>
          <w:lang w:val="en-US"/>
        </w:rPr>
        <w:t>a</w:t>
      </w:r>
      <w:r w:rsidR="004D3B98" w:rsidRPr="008D2258">
        <w:rPr>
          <w:rFonts w:ascii="Times New Roman" w:hAnsi="Times New Roman" w:cs="Times New Roman"/>
          <w:color w:val="000000" w:themeColor="text1"/>
          <w:lang w:val="en-US"/>
        </w:rPr>
        <w:t>) SNVs; (</w:t>
      </w:r>
      <w:r w:rsidR="004D3B98" w:rsidRPr="008D2258">
        <w:rPr>
          <w:rFonts w:ascii="Times New Roman" w:hAnsi="Times New Roman" w:cs="Times New Roman"/>
          <w:b/>
          <w:bCs/>
          <w:color w:val="000000" w:themeColor="text1"/>
          <w:lang w:val="en-US"/>
        </w:rPr>
        <w:t>b</w:t>
      </w:r>
      <w:r w:rsidR="004D3B98" w:rsidRPr="008D2258">
        <w:rPr>
          <w:rFonts w:ascii="Times New Roman" w:hAnsi="Times New Roman" w:cs="Times New Roman"/>
          <w:color w:val="000000" w:themeColor="text1"/>
          <w:lang w:val="en-US"/>
        </w:rPr>
        <w:t>) Small indels; (</w:t>
      </w:r>
      <w:r w:rsidR="004D3B98" w:rsidRPr="008D2258">
        <w:rPr>
          <w:rFonts w:ascii="Times New Roman" w:hAnsi="Times New Roman" w:cs="Times New Roman"/>
          <w:b/>
          <w:bCs/>
          <w:color w:val="000000" w:themeColor="text1"/>
          <w:lang w:val="en-US"/>
        </w:rPr>
        <w:t>c</w:t>
      </w:r>
      <w:r w:rsidR="004D3B98" w:rsidRPr="008D2258">
        <w:rPr>
          <w:rFonts w:ascii="Times New Roman" w:hAnsi="Times New Roman" w:cs="Times New Roman"/>
          <w:color w:val="000000" w:themeColor="text1"/>
          <w:lang w:val="en-US"/>
        </w:rPr>
        <w:t>) Large deletions; and (</w:t>
      </w:r>
      <w:r w:rsidR="004D3B98" w:rsidRPr="008D2258">
        <w:rPr>
          <w:rFonts w:ascii="Times New Roman" w:hAnsi="Times New Roman" w:cs="Times New Roman"/>
          <w:b/>
          <w:bCs/>
          <w:color w:val="000000" w:themeColor="text1"/>
          <w:lang w:val="en-US"/>
        </w:rPr>
        <w:t>d</w:t>
      </w:r>
      <w:r w:rsidR="004D3B98" w:rsidRPr="008D2258">
        <w:rPr>
          <w:rFonts w:ascii="Times New Roman" w:hAnsi="Times New Roman" w:cs="Times New Roman"/>
          <w:color w:val="000000" w:themeColor="text1"/>
          <w:lang w:val="en-US"/>
        </w:rPr>
        <w:t>) Large insertions.</w:t>
      </w:r>
    </w:p>
    <w:p w:rsidR="004D3B98" w:rsidRPr="008D2258" w:rsidRDefault="001E5A96" w:rsidP="004D3B98">
      <w:pPr>
        <w:jc w:val="center"/>
        <w:rPr>
          <w:rFonts w:ascii="Times New Roman" w:hAnsi="Times New Roman" w:cs="Times New Roman"/>
          <w:color w:val="000000" w:themeColor="text1"/>
          <w:lang w:val="en-US"/>
        </w:rPr>
      </w:pPr>
      <w:r w:rsidRPr="001E5A96">
        <w:rPr>
          <w:rFonts w:ascii="Times New Roman" w:hAnsi="Times New Roman" w:cs="Times New Roman"/>
          <w:color w:val="000000" w:themeColor="text1"/>
          <w:lang w:val="en-US"/>
        </w:rPr>
        <w:lastRenderedPageBreak/>
        <w:drawing>
          <wp:inline distT="0" distB="0" distL="0" distR="0" wp14:anchorId="19681BA0" wp14:editId="22F0A3FE">
            <wp:extent cx="5943600" cy="6083935"/>
            <wp:effectExtent l="0" t="0" r="0" b="0"/>
            <wp:docPr id="40896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96911" name=""/>
                    <pic:cNvPicPr/>
                  </pic:nvPicPr>
                  <pic:blipFill>
                    <a:blip r:embed="rId13"/>
                    <a:stretch>
                      <a:fillRect/>
                    </a:stretch>
                  </pic:blipFill>
                  <pic:spPr>
                    <a:xfrm>
                      <a:off x="0" y="0"/>
                      <a:ext cx="5943600" cy="6083935"/>
                    </a:xfrm>
                    <a:prstGeom prst="rect">
                      <a:avLst/>
                    </a:prstGeom>
                  </pic:spPr>
                </pic:pic>
              </a:graphicData>
            </a:graphic>
          </wp:inline>
        </w:drawing>
      </w:r>
    </w:p>
    <w:p w:rsidR="004D3B98" w:rsidRPr="008D2258" w:rsidRDefault="00BE100A" w:rsidP="004D3B98">
      <w:pPr>
        <w:spacing w:line="360" w:lineRule="auto"/>
        <w:jc w:val="both"/>
        <w:rPr>
          <w:rFonts w:ascii="Times New Roman" w:hAnsi="Times New Roman" w:cs="Times New Roman"/>
          <w:color w:val="000000" w:themeColor="text1"/>
          <w:lang w:val="en-US"/>
        </w:rPr>
      </w:pPr>
      <w:r>
        <w:rPr>
          <w:rFonts w:ascii="Times New Roman" w:eastAsia="Times New Roman" w:hAnsi="Times New Roman" w:cs="Times New Roman"/>
          <w:b/>
          <w:bCs/>
          <w:color w:val="000000" w:themeColor="text1"/>
          <w:lang w:val="en-US"/>
        </w:rPr>
        <w:t>Fig. S10</w:t>
      </w:r>
      <w:r w:rsidR="004D3B98" w:rsidRPr="008D2258">
        <w:rPr>
          <w:rFonts w:ascii="Times New Roman" w:hAnsi="Times New Roman" w:cs="Times New Roman"/>
          <w:b/>
          <w:bCs/>
          <w:color w:val="000000" w:themeColor="text1"/>
          <w:lang w:val="en-US"/>
        </w:rPr>
        <w:t>.</w:t>
      </w:r>
      <w:r w:rsidR="004D3B98" w:rsidRPr="008D2258">
        <w:rPr>
          <w:rFonts w:ascii="Times New Roman" w:hAnsi="Times New Roman" w:cs="Times New Roman"/>
          <w:color w:val="000000" w:themeColor="text1"/>
          <w:lang w:val="en-US"/>
        </w:rPr>
        <w:t xml:space="preserve"> Variants called outside the benchmark regions showed </w:t>
      </w:r>
      <w:r w:rsidR="004D3B98" w:rsidRPr="008D2258">
        <w:rPr>
          <w:rFonts w:ascii="Times New Roman" w:hAnsi="Times New Roman" w:cs="Times New Roman" w:hint="eastAsia"/>
          <w:color w:val="000000" w:themeColor="text1"/>
          <w:lang w:val="en-US"/>
        </w:rPr>
        <w:t>more</w:t>
      </w:r>
      <w:r w:rsidR="004D3B98" w:rsidRPr="008D2258">
        <w:rPr>
          <w:rFonts w:ascii="Times New Roman" w:hAnsi="Times New Roman" w:cs="Times New Roman"/>
          <w:color w:val="000000" w:themeColor="text1"/>
          <w:lang w:val="en-US"/>
        </w:rPr>
        <w:t xml:space="preserve"> </w:t>
      </w:r>
      <w:r w:rsidR="004D3B98" w:rsidRPr="008D2258">
        <w:rPr>
          <w:rFonts w:ascii="Times New Roman" w:hAnsi="Times New Roman" w:cs="Times New Roman" w:hint="eastAsia"/>
          <w:color w:val="000000" w:themeColor="text1"/>
          <w:lang w:val="en-US"/>
        </w:rPr>
        <w:t>severe</w:t>
      </w:r>
      <w:r w:rsidR="004D3B98" w:rsidRPr="008D2258">
        <w:rPr>
          <w:rFonts w:ascii="Times New Roman" w:hAnsi="Times New Roman" w:cs="Times New Roman"/>
          <w:color w:val="000000" w:themeColor="text1"/>
          <w:lang w:val="en-US"/>
        </w:rPr>
        <w:t xml:space="preserve"> batch effects than variants called inside the benchmark regions. Small variants called inside and outside of benchmark regions from 11 batches of short-read sequencing datasets are shown as PCA plots. (</w:t>
      </w:r>
      <w:r w:rsidR="004D3B98" w:rsidRPr="008D2258">
        <w:rPr>
          <w:rFonts w:ascii="Times New Roman" w:hAnsi="Times New Roman" w:cs="Times New Roman"/>
          <w:b/>
          <w:bCs/>
          <w:color w:val="000000" w:themeColor="text1"/>
          <w:lang w:val="en-US"/>
        </w:rPr>
        <w:t>a</w:t>
      </w:r>
      <w:r w:rsidR="004D3B98" w:rsidRPr="008D2258">
        <w:rPr>
          <w:rFonts w:ascii="Times New Roman" w:hAnsi="Times New Roman" w:cs="Times New Roman"/>
          <w:color w:val="000000" w:themeColor="text1"/>
          <w:lang w:val="en-US"/>
        </w:rPr>
        <w:t>) SNVs called inside the benchmark regions; (</w:t>
      </w:r>
      <w:r w:rsidR="004D3B98" w:rsidRPr="008D2258">
        <w:rPr>
          <w:rFonts w:ascii="Times New Roman" w:hAnsi="Times New Roman" w:cs="Times New Roman"/>
          <w:b/>
          <w:bCs/>
          <w:color w:val="000000" w:themeColor="text1"/>
          <w:lang w:val="en-US"/>
        </w:rPr>
        <w:t>b</w:t>
      </w:r>
      <w:r w:rsidR="004D3B98" w:rsidRPr="008D2258">
        <w:rPr>
          <w:rFonts w:ascii="Times New Roman" w:hAnsi="Times New Roman" w:cs="Times New Roman"/>
          <w:color w:val="000000" w:themeColor="text1"/>
          <w:lang w:val="en-US"/>
        </w:rPr>
        <w:t>) Small indels called inside the benchmark regions; (</w:t>
      </w:r>
      <w:r w:rsidR="004D3B98" w:rsidRPr="008D2258">
        <w:rPr>
          <w:rFonts w:ascii="Times New Roman" w:hAnsi="Times New Roman" w:cs="Times New Roman"/>
          <w:b/>
          <w:bCs/>
          <w:color w:val="000000" w:themeColor="text1"/>
          <w:lang w:val="en-US"/>
        </w:rPr>
        <w:t>c</w:t>
      </w:r>
      <w:r w:rsidR="004D3B98" w:rsidRPr="008D2258">
        <w:rPr>
          <w:rFonts w:ascii="Times New Roman" w:hAnsi="Times New Roman" w:cs="Times New Roman"/>
          <w:color w:val="000000" w:themeColor="text1"/>
          <w:lang w:val="en-US"/>
        </w:rPr>
        <w:t>) SNVs called outside the benchmark regions; and (</w:t>
      </w:r>
      <w:r w:rsidR="004D3B98" w:rsidRPr="008D2258">
        <w:rPr>
          <w:rFonts w:ascii="Times New Roman" w:hAnsi="Times New Roman" w:cs="Times New Roman"/>
          <w:b/>
          <w:bCs/>
          <w:color w:val="000000" w:themeColor="text1"/>
          <w:lang w:val="en-US"/>
        </w:rPr>
        <w:t>d</w:t>
      </w:r>
      <w:r w:rsidR="004D3B98" w:rsidRPr="008D2258">
        <w:rPr>
          <w:rFonts w:ascii="Times New Roman" w:hAnsi="Times New Roman" w:cs="Times New Roman"/>
          <w:color w:val="000000" w:themeColor="text1"/>
          <w:lang w:val="en-US"/>
        </w:rPr>
        <w:t>) Small indels called outside the benchmark regions.</w:t>
      </w:r>
    </w:p>
    <w:p w:rsidR="004D3B98" w:rsidRPr="00FF19FE" w:rsidRDefault="004D3B98">
      <w:pPr>
        <w:rPr>
          <w:lang w:val="en-US"/>
        </w:rPr>
      </w:pPr>
    </w:p>
    <w:sectPr w:rsidR="004D3B98" w:rsidRPr="00FF19F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178"/>
    <w:rsid w:val="00016A2E"/>
    <w:rsid w:val="000D7672"/>
    <w:rsid w:val="001015E2"/>
    <w:rsid w:val="001E5A96"/>
    <w:rsid w:val="00220D96"/>
    <w:rsid w:val="002C061C"/>
    <w:rsid w:val="004C5D29"/>
    <w:rsid w:val="004D3B98"/>
    <w:rsid w:val="00577819"/>
    <w:rsid w:val="005D5BA2"/>
    <w:rsid w:val="005F4035"/>
    <w:rsid w:val="00600562"/>
    <w:rsid w:val="00602F71"/>
    <w:rsid w:val="00611E17"/>
    <w:rsid w:val="0063499A"/>
    <w:rsid w:val="006634A3"/>
    <w:rsid w:val="00713947"/>
    <w:rsid w:val="00735E9E"/>
    <w:rsid w:val="00740C32"/>
    <w:rsid w:val="00893633"/>
    <w:rsid w:val="008B331A"/>
    <w:rsid w:val="008F7E20"/>
    <w:rsid w:val="00914E46"/>
    <w:rsid w:val="00967F57"/>
    <w:rsid w:val="00980A50"/>
    <w:rsid w:val="00A148D0"/>
    <w:rsid w:val="00AE64D2"/>
    <w:rsid w:val="00B94CD8"/>
    <w:rsid w:val="00BE100A"/>
    <w:rsid w:val="00C33178"/>
    <w:rsid w:val="00C941DD"/>
    <w:rsid w:val="00DA5050"/>
    <w:rsid w:val="00DB4532"/>
    <w:rsid w:val="00E546F1"/>
    <w:rsid w:val="00E65854"/>
    <w:rsid w:val="00FF19FE"/>
  </w:rsids>
  <m:mathPr>
    <m:mathFont m:val="Cambria Math"/>
    <m:brkBin m:val="before"/>
    <m:brkBinSub m:val="--"/>
    <m:smallFrac m:val="0"/>
    <m:dispDef/>
    <m:lMargin m:val="0"/>
    <m:rMargin m:val="0"/>
    <m:defJc m:val="centerGroup"/>
    <m:wrapIndent m:val="1440"/>
    <m:intLim m:val="subSup"/>
    <m:naryLim m:val="undOvr"/>
  </m:mathPr>
  <w:themeFontLang w:val="en-CN"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B26E5498-EDCE-5847-B857-E778A8B7A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CN"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TotalTime>
  <Pages>10</Pages>
  <Words>473</Words>
  <Characters>2697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22</cp:revision>
  <dcterms:created xsi:type="dcterms:W3CDTF">2023-11-06T07:21:00Z</dcterms:created>
  <dcterms:modified xsi:type="dcterms:W3CDTF">2023-11-13T07:18:00Z</dcterms:modified>
</cp:coreProperties>
</file>